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B6AB" w14:textId="77777777" w:rsidR="00242F0D" w:rsidRDefault="00E36BD9">
      <w:pPr>
        <w:pStyle w:val="BodyText"/>
        <w:spacing w:before="0"/>
        <w:ind w:left="105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01233FC">
          <v:group id="_x0000_s1026" style="width:552.3pt;height:87.4pt;mso-position-horizontal-relative:char;mso-position-vertical-relative:line" coordsize="11046,1748">
            <v:rect id="_x0000_s1029" style="position:absolute;width:11046;height:1748" fillcolor="#18453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504;top:361;width:3995;height:951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1046;height:1748" filled="f" stroked="f">
              <v:textbox inset="0,0,0,0">
                <w:txbxContent>
                  <w:p w14:paraId="1561242A" w14:textId="77777777" w:rsidR="00242F0D" w:rsidRDefault="00E36BD9">
                    <w:pPr>
                      <w:spacing w:before="312"/>
                      <w:ind w:left="383"/>
                      <w:rPr>
                        <w:rFonts w:ascii="Georgia"/>
                        <w:b/>
                        <w:sz w:val="40"/>
                      </w:rPr>
                    </w:pPr>
                    <w:r>
                      <w:rPr>
                        <w:rFonts w:ascii="Georgia"/>
                        <w:b/>
                        <w:color w:val="FFFFFF"/>
                        <w:sz w:val="40"/>
                      </w:rPr>
                      <w:t>Faculty Senate</w:t>
                    </w:r>
                  </w:p>
                  <w:p w14:paraId="749D543D" w14:textId="03D0CB4F" w:rsidR="000B1001" w:rsidRDefault="000B1001">
                    <w:pPr>
                      <w:ind w:left="383" w:right="4956"/>
                      <w:rPr>
                        <w:rFonts w:ascii="Georgia"/>
                        <w:color w:val="FFFFFF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>Draft</w:t>
                    </w:r>
                    <w:r w:rsidR="00E36BD9">
                      <w:rPr>
                        <w:rFonts w:ascii="Georgia"/>
                        <w:color w:val="FFFFFF"/>
                        <w:sz w:val="28"/>
                      </w:rPr>
                      <w:t xml:space="preserve"> </w:t>
                    </w:r>
                    <w:r w:rsidR="00E36BD9">
                      <w:rPr>
                        <w:rFonts w:ascii="Georgia"/>
                        <w:color w:val="FFFFFF"/>
                        <w:sz w:val="28"/>
                      </w:rPr>
                      <w:t xml:space="preserve">Resolution </w:t>
                    </w:r>
                  </w:p>
                  <w:p w14:paraId="4AB51C06" w14:textId="4FFB3E99" w:rsidR="00242F0D" w:rsidRDefault="00E36BD9">
                    <w:pPr>
                      <w:ind w:left="383" w:right="4956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>November 16, 2021</w:t>
                    </w:r>
                  </w:p>
                </w:txbxContent>
              </v:textbox>
            </v:shape>
            <w10:anchorlock/>
          </v:group>
        </w:pict>
      </w:r>
    </w:p>
    <w:p w14:paraId="5363B09C" w14:textId="77777777" w:rsidR="00242F0D" w:rsidRDefault="00242F0D">
      <w:pPr>
        <w:pStyle w:val="BodyText"/>
        <w:spacing w:before="3"/>
        <w:ind w:left="0" w:firstLine="0"/>
        <w:rPr>
          <w:rFonts w:ascii="Times New Roman"/>
          <w:sz w:val="28"/>
        </w:rPr>
      </w:pPr>
    </w:p>
    <w:p w14:paraId="327B3F7E" w14:textId="77777777" w:rsidR="00242F0D" w:rsidRDefault="00E36BD9">
      <w:pPr>
        <w:pStyle w:val="BodyText"/>
        <w:tabs>
          <w:tab w:val="left" w:pos="2453"/>
        </w:tabs>
        <w:spacing w:before="100" w:line="288" w:lineRule="auto"/>
        <w:ind w:right="817"/>
      </w:pPr>
      <w:proofErr w:type="gramStart"/>
      <w:r>
        <w:rPr>
          <w:i/>
        </w:rPr>
        <w:t>Whereas,</w:t>
      </w:r>
      <w:proofErr w:type="gramEnd"/>
      <w:r>
        <w:rPr>
          <w:i/>
        </w:rPr>
        <w:tab/>
      </w:r>
      <w:r>
        <w:t>The University predicted pandemic-associated budget shortfalls</w:t>
      </w:r>
      <w:r>
        <w:rPr>
          <w:spacing w:val="-27"/>
        </w:rPr>
        <w:t xml:space="preserve"> </w:t>
      </w:r>
      <w:r>
        <w:t>in state funding of $43M and tuition of $63M resulted in non-union academic managers, faculty, and academic staff being subjected to 10 months of 1</w:t>
      </w:r>
      <w:r>
        <w:t>-8% salary reductions, 18 months of halved retirement matches, and a planned 3-year gap between merit raises;</w:t>
      </w:r>
      <w:r>
        <w:rPr>
          <w:spacing w:val="-2"/>
        </w:rPr>
        <w:t xml:space="preserve"> </w:t>
      </w:r>
      <w:r>
        <w:t>and,</w:t>
      </w:r>
    </w:p>
    <w:p w14:paraId="3D3F910D" w14:textId="77777777" w:rsidR="00242F0D" w:rsidRDefault="00E36BD9">
      <w:pPr>
        <w:pStyle w:val="BodyText"/>
        <w:tabs>
          <w:tab w:val="left" w:pos="2455"/>
        </w:tabs>
        <w:spacing w:line="288" w:lineRule="auto"/>
        <w:ind w:left="2455" w:right="1487"/>
      </w:pPr>
      <w:proofErr w:type="gramStart"/>
      <w:r>
        <w:rPr>
          <w:i/>
        </w:rPr>
        <w:t>Whereas,</w:t>
      </w:r>
      <w:proofErr w:type="gramEnd"/>
      <w:r>
        <w:rPr>
          <w:i/>
        </w:rPr>
        <w:tab/>
      </w:r>
      <w:r>
        <w:t>The University’s actual shortfall in state funding was $0 and tuition income was $7M higher than expected;</w:t>
      </w:r>
      <w:r>
        <w:rPr>
          <w:spacing w:val="-9"/>
        </w:rPr>
        <w:t xml:space="preserve"> </w:t>
      </w:r>
      <w:r>
        <w:t>and,</w:t>
      </w:r>
    </w:p>
    <w:p w14:paraId="4AAC761D" w14:textId="77777777" w:rsidR="00242F0D" w:rsidRDefault="00E36BD9">
      <w:pPr>
        <w:pStyle w:val="BodyText"/>
        <w:tabs>
          <w:tab w:val="left" w:pos="2453"/>
        </w:tabs>
        <w:spacing w:line="288" w:lineRule="auto"/>
        <w:ind w:left="2453" w:right="850" w:hanging="1440"/>
      </w:pPr>
      <w:proofErr w:type="gramStart"/>
      <w:r>
        <w:rPr>
          <w:i/>
        </w:rPr>
        <w:t>Whereas,</w:t>
      </w:r>
      <w:proofErr w:type="gramEnd"/>
      <w:r>
        <w:rPr>
          <w:i/>
        </w:rPr>
        <w:tab/>
      </w:r>
      <w:r>
        <w:t>The Univers</w:t>
      </w:r>
      <w:r>
        <w:t xml:space="preserve">ity received Federal COVID </w:t>
      </w:r>
      <w:r>
        <w:rPr>
          <w:u w:val="single"/>
        </w:rPr>
        <w:t>non-student-aid</w:t>
      </w:r>
      <w:r>
        <w:t xml:space="preserve"> relief of over $86M through the Higher Education Emergency Relief Fund; and,</w:t>
      </w:r>
    </w:p>
    <w:p w14:paraId="553C20EF" w14:textId="77777777" w:rsidR="00242F0D" w:rsidRDefault="00E36BD9">
      <w:pPr>
        <w:pStyle w:val="BodyText"/>
        <w:tabs>
          <w:tab w:val="left" w:pos="2453"/>
        </w:tabs>
        <w:spacing w:line="288" w:lineRule="auto"/>
        <w:ind w:right="770"/>
      </w:pPr>
      <w:proofErr w:type="gramStart"/>
      <w:r>
        <w:rPr>
          <w:i/>
        </w:rPr>
        <w:t>Whereas,</w:t>
      </w:r>
      <w:proofErr w:type="gramEnd"/>
      <w:r>
        <w:rPr>
          <w:i/>
        </w:rPr>
        <w:tab/>
      </w:r>
      <w:r>
        <w:t>The University’s investments saw a 42% return over the past year; and,</w:t>
      </w:r>
    </w:p>
    <w:p w14:paraId="7EC847F6" w14:textId="77777777" w:rsidR="00242F0D" w:rsidRDefault="00E36BD9">
      <w:pPr>
        <w:pStyle w:val="BodyText"/>
        <w:tabs>
          <w:tab w:val="left" w:pos="2454"/>
        </w:tabs>
        <w:spacing w:line="288" w:lineRule="auto"/>
        <w:ind w:right="788"/>
      </w:pPr>
      <w:proofErr w:type="gramStart"/>
      <w:r>
        <w:rPr>
          <w:i/>
        </w:rPr>
        <w:t>Whereas,</w:t>
      </w:r>
      <w:proofErr w:type="gramEnd"/>
      <w:r>
        <w:rPr>
          <w:i/>
        </w:rPr>
        <w:tab/>
      </w:r>
      <w:r>
        <w:t>The University’s reductions in salary and retir</w:t>
      </w:r>
      <w:r>
        <w:t>ement</w:t>
      </w:r>
      <w:r>
        <w:rPr>
          <w:spacing w:val="-27"/>
        </w:rPr>
        <w:t xml:space="preserve"> </w:t>
      </w:r>
      <w:r>
        <w:t>contributions are the most severe and longest lasting within the Big 10; be</w:t>
      </w:r>
      <w:r>
        <w:rPr>
          <w:spacing w:val="-16"/>
        </w:rPr>
        <w:t xml:space="preserve"> </w:t>
      </w:r>
      <w:r>
        <w:t>it</w:t>
      </w:r>
    </w:p>
    <w:p w14:paraId="647DB215" w14:textId="77777777" w:rsidR="00242F0D" w:rsidRDefault="00E36BD9">
      <w:pPr>
        <w:pStyle w:val="BodyText"/>
        <w:tabs>
          <w:tab w:val="left" w:pos="2454"/>
        </w:tabs>
        <w:spacing w:line="288" w:lineRule="auto"/>
        <w:ind w:right="617" w:hanging="1440"/>
      </w:pPr>
      <w:r>
        <w:rPr>
          <w:i/>
        </w:rPr>
        <w:t>Resolved,</w:t>
      </w:r>
      <w:r>
        <w:rPr>
          <w:i/>
        </w:rPr>
        <w:tab/>
      </w:r>
      <w:r>
        <w:t>That Faculty Senate endorse a prompt retroactive restoration of all pandemic associated salary reductions and retirement matches, and a reinstatement of the FY22</w:t>
      </w:r>
      <w:r>
        <w:t xml:space="preserve"> merit raise to non-union academic managers, faculty, and academic staff; and be it</w:t>
      </w:r>
      <w:r>
        <w:rPr>
          <w:spacing w:val="-9"/>
        </w:rPr>
        <w:t xml:space="preserve"> </w:t>
      </w:r>
      <w:r>
        <w:t>further</w:t>
      </w:r>
    </w:p>
    <w:p w14:paraId="4525CA70" w14:textId="77777777" w:rsidR="00242F0D" w:rsidRDefault="00E36BD9">
      <w:pPr>
        <w:pStyle w:val="BodyText"/>
        <w:tabs>
          <w:tab w:val="left" w:pos="2454"/>
        </w:tabs>
        <w:spacing w:line="288" w:lineRule="auto"/>
        <w:ind w:right="876" w:hanging="1440"/>
      </w:pPr>
      <w:r>
        <w:rPr>
          <w:i/>
        </w:rPr>
        <w:t>Resolved,</w:t>
      </w:r>
      <w:r>
        <w:rPr>
          <w:i/>
        </w:rPr>
        <w:tab/>
      </w:r>
      <w:proofErr w:type="gramStart"/>
      <w:r>
        <w:t>That</w:t>
      </w:r>
      <w:proofErr w:type="gramEnd"/>
      <w:r>
        <w:t xml:space="preserve"> such a retroactive restoration include former non-union academic managers, faculty, and academic staff subjected to pandemic pay and benefit reductions who were employed between July 1, 2020 and December 31,</w:t>
      </w:r>
      <w:r>
        <w:rPr>
          <w:spacing w:val="-5"/>
        </w:rPr>
        <w:t xml:space="preserve"> </w:t>
      </w:r>
      <w:r>
        <w:t>2021.</w:t>
      </w:r>
    </w:p>
    <w:sectPr w:rsidR="00242F0D">
      <w:type w:val="continuous"/>
      <w:pgSz w:w="12240" w:h="15840"/>
      <w:pgMar w:top="26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F0D"/>
    <w:rsid w:val="000B1001"/>
    <w:rsid w:val="00242F0D"/>
    <w:rsid w:val="00E3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41A8FF1"/>
  <w15:docId w15:val="{76ABDA1A-BF19-4760-838F-A0AAD96F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454" w:hanging="144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17C60F0C-0F77-4FFC-A60A-184CE8CCD8DF}"/>
</file>

<file path=customXml/itemProps2.xml><?xml version="1.0" encoding="utf-8"?>
<ds:datastoreItem xmlns:ds="http://schemas.openxmlformats.org/officeDocument/2006/customXml" ds:itemID="{F0EC0FB4-6727-43E6-819C-70A56D9FAA12}"/>
</file>

<file path=customXml/itemProps3.xml><?xml version="1.0" encoding="utf-8"?>
<ds:datastoreItem xmlns:ds="http://schemas.openxmlformats.org/officeDocument/2006/customXml" ds:itemID="{99860262-CC43-441D-8C3F-6713453DA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Silvestri, Tyler</dc:creator>
  <cp:lastModifiedBy>Thrush, Taylor</cp:lastModifiedBy>
  <cp:revision>3</cp:revision>
  <dcterms:created xsi:type="dcterms:W3CDTF">2021-11-16T19:35:00Z</dcterms:created>
  <dcterms:modified xsi:type="dcterms:W3CDTF">2021-11-16T19:36:00Z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2021-11-16T00:00:00Z</vt:filetime>
  </property>
  <property fmtid="{D5CDD505-2E9C-101B-9397-08002B2CF9AE}" pid="5" name="ContentTypeId">
    <vt:lpwstr>0x010100373BE68F7849A845B253768CFB280D40</vt:lpwstr>
  </property>
</Properties>
</file>