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159.673279pt;margin-top:73.040001pt;width:292.6pt;height:26.5pt;mso-position-horizontal-relative:page;mso-position-vertical-relative:page;z-index:-251893760" type="#_x0000_t202" filled="false" stroked="false">
            <v:textbox inset="0,0,0,0">
              <w:txbxContent>
                <w:p>
                  <w:pPr>
                    <w:spacing w:line="245" w:lineRule="exact" w:before="0"/>
                    <w:ind w:left="2" w:right="0" w:firstLine="0"/>
                    <w:jc w:val="center"/>
                    <w:rPr>
                      <w:b/>
                      <w:sz w:val="22"/>
                    </w:rPr>
                  </w:pPr>
                  <w:r>
                    <w:rPr>
                      <w:b/>
                      <w:sz w:val="22"/>
                    </w:rPr>
                    <w:t>COMPREHENSIVE LIST FROM STANDING COMMITTEES</w:t>
                  </w:r>
                </w:p>
                <w:p>
                  <w:pPr>
                    <w:spacing w:before="0"/>
                    <w:ind w:left="0" w:right="0" w:firstLine="0"/>
                    <w:jc w:val="center"/>
                    <w:rPr>
                      <w:b/>
                      <w:sz w:val="22"/>
                    </w:rPr>
                  </w:pPr>
                  <w:r>
                    <w:rPr>
                      <w:b/>
                      <w:sz w:val="22"/>
                    </w:rPr>
                    <w:t>COMPILED FROM THE FACULTY SENATE SURVEY FOR 2016-2017</w:t>
                  </w:r>
                </w:p>
              </w:txbxContent>
            </v:textbox>
            <w10:wrap type="none"/>
          </v:shape>
        </w:pict>
      </w:r>
      <w:r>
        <w:rPr/>
        <w:pict>
          <v:shape style="position:absolute;margin-left:70.988960pt;margin-top:113.347038pt;width:256.8500pt;height:26.5pt;mso-position-horizontal-relative:page;mso-position-vertical-relative:page;z-index:-251892736" type="#_x0000_t202" filled="false" stroked="false">
            <v:textbox inset="0,0,0,0">
              <w:txbxContent>
                <w:p>
                  <w:pPr>
                    <w:spacing w:line="245" w:lineRule="exact" w:before="0"/>
                    <w:ind w:left="20" w:right="0" w:firstLine="0"/>
                    <w:jc w:val="left"/>
                    <w:rPr>
                      <w:b/>
                      <w:sz w:val="22"/>
                    </w:rPr>
                  </w:pPr>
                  <w:r>
                    <w:rPr>
                      <w:b/>
                      <w:sz w:val="22"/>
                    </w:rPr>
                    <w:t>University Committee on Academic Governance (UCAG)</w:t>
                  </w:r>
                </w:p>
                <w:p>
                  <w:pPr>
                    <w:spacing w:before="0"/>
                    <w:ind w:left="20" w:right="0" w:firstLine="0"/>
                    <w:jc w:val="left"/>
                    <w:rPr>
                      <w:b/>
                      <w:sz w:val="22"/>
                    </w:rPr>
                  </w:pPr>
                  <w:r>
                    <w:rPr>
                      <w:b/>
                      <w:sz w:val="22"/>
                    </w:rPr>
                    <w:t>Gayle Lourens, Chairperson</w:t>
                  </w:r>
                </w:p>
              </w:txbxContent>
            </v:textbox>
            <w10:wrap type="none"/>
          </v:shape>
        </w:pict>
      </w:r>
      <w:r>
        <w:rPr/>
        <w:pict>
          <v:shape style="position:absolute;margin-left:88.984161pt;margin-top:137.884857pt;width:7.05pt;height:15.55pt;mso-position-horizontal-relative:page;mso-position-vertical-relative:page;z-index:-251891712" type="#_x0000_t202" filled="false" stroked="false">
            <v:textbox inset="0,0,0,0">
              <w:txbxContent>
                <w:p>
                  <w:pPr>
                    <w:pStyle w:val="BodyText"/>
                    <w:rPr>
                      <w:rFonts w:ascii="Symbol" w:hAnsi="Symbol"/>
                    </w:rPr>
                  </w:pPr>
                  <w:r>
                    <w:rPr>
                      <w:rFonts w:ascii="Symbol" w:hAnsi="Symbol"/>
                      <w:w w:val="100"/>
                    </w:rPr>
                    <w:t></w:t>
                  </w:r>
                </w:p>
              </w:txbxContent>
            </v:textbox>
            <w10:wrap type="none"/>
          </v:shape>
        </w:pict>
      </w:r>
      <w:r>
        <w:rPr/>
        <w:pict>
          <v:shape style="position:absolute;margin-left:106.990402pt;margin-top:140.704163pt;width:359.25pt;height:26.5pt;mso-position-horizontal-relative:page;mso-position-vertical-relative:page;z-index:-251890688" type="#_x0000_t202" filled="false" stroked="false">
            <v:textbox inset="0,0,0,0">
              <w:txbxContent>
                <w:p>
                  <w:pPr>
                    <w:pStyle w:val="BodyText"/>
                    <w:spacing w:line="245" w:lineRule="exact" w:before="0"/>
                  </w:pPr>
                  <w:r>
                    <w:rPr/>
                    <w:t>Query College Bylaws and provide information and a report on how colleges are</w:t>
                  </w:r>
                </w:p>
                <w:p>
                  <w:pPr>
                    <w:pStyle w:val="BodyText"/>
                    <w:spacing w:before="0"/>
                  </w:pPr>
                  <w:r>
                    <w:rPr/>
                    <w:t>addressing/referencing academic specialists.</w:t>
                  </w:r>
                </w:p>
              </w:txbxContent>
            </v:textbox>
            <w10:wrap type="none"/>
          </v:shape>
        </w:pict>
      </w:r>
      <w:r>
        <w:rPr/>
        <w:pict>
          <v:shape style="position:absolute;margin-left:70.988960pt;margin-top:181.0112pt;width:271.5pt;height:26.5pt;mso-position-horizontal-relative:page;mso-position-vertical-relative:page;z-index:-251889664" type="#_x0000_t202" filled="false" stroked="false">
            <v:textbox inset="0,0,0,0">
              <w:txbxContent>
                <w:p>
                  <w:pPr>
                    <w:spacing w:line="245" w:lineRule="exact" w:before="0"/>
                    <w:ind w:left="20" w:right="0" w:firstLine="0"/>
                    <w:jc w:val="left"/>
                    <w:rPr>
                      <w:b/>
                      <w:sz w:val="22"/>
                    </w:rPr>
                  </w:pPr>
                  <w:r>
                    <w:rPr>
                      <w:b/>
                      <w:sz w:val="22"/>
                    </w:rPr>
                    <w:t>University Committee on Undergraduate Education (UCUE)</w:t>
                  </w:r>
                </w:p>
                <w:p>
                  <w:pPr>
                    <w:spacing w:before="0"/>
                    <w:ind w:left="20" w:right="0" w:firstLine="0"/>
                    <w:jc w:val="left"/>
                    <w:rPr>
                      <w:b/>
                      <w:sz w:val="22"/>
                    </w:rPr>
                  </w:pPr>
                  <w:r>
                    <w:rPr>
                      <w:b/>
                      <w:sz w:val="22"/>
                    </w:rPr>
                    <w:t>Richard Miksicek, Chairperson</w:t>
                  </w:r>
                </w:p>
              </w:txbxContent>
            </v:textbox>
            <w10:wrap type="none"/>
          </v:shape>
        </w:pict>
      </w:r>
      <w:r>
        <w:rPr/>
        <w:pict>
          <v:shape style="position:absolute;margin-left:88.984161pt;margin-top:221.318237pt;width:451.65pt;height:26.5pt;mso-position-horizontal-relative:page;mso-position-vertical-relative:page;z-index:-251888640" type="#_x0000_t202" filled="false" stroked="false">
            <v:textbox inset="0,0,0,0">
              <w:txbxContent>
                <w:p>
                  <w:pPr>
                    <w:pStyle w:val="BodyText"/>
                    <w:spacing w:line="245" w:lineRule="exact" w:before="0"/>
                  </w:pPr>
                  <w:r>
                    <w:rPr/>
                    <w:t>UCUE Identified 15 that would resonate, but many are recurrent. Below are some key current issues</w:t>
                  </w:r>
                </w:p>
                <w:p>
                  <w:pPr>
                    <w:pStyle w:val="BodyText"/>
                    <w:spacing w:before="0"/>
                  </w:pPr>
                  <w:r>
                    <w:rPr/>
                    <w:t>of concern:</w:t>
                  </w:r>
                </w:p>
              </w:txbxContent>
            </v:textbox>
            <w10:wrap type="none"/>
          </v:shape>
        </w:pict>
      </w:r>
      <w:r>
        <w:rPr/>
        <w:pict>
          <v:shape style="position:absolute;margin-left:88.984161pt;margin-top:245.977509pt;width:7.05pt;height:45.7pt;mso-position-horizontal-relative:page;mso-position-vertical-relative:page;z-index:-251887616" type="#_x0000_t202" filled="false" stroked="false">
            <v:textbox inset="0,0,0,0">
              <w:txbxContent>
                <w:p>
                  <w:pPr>
                    <w:pStyle w:val="BodyText"/>
                    <w:rPr>
                      <w:rFonts w:ascii="Symbol" w:hAnsi="Symbol"/>
                    </w:rPr>
                  </w:pPr>
                  <w:r>
                    <w:rPr>
                      <w:rFonts w:ascii="Symbol" w:hAnsi="Symbol"/>
                      <w:w w:val="100"/>
                    </w:rPr>
                    <w:t></w:t>
                  </w:r>
                </w:p>
                <w:p>
                  <w:pPr>
                    <w:pStyle w:val="BodyText"/>
                    <w:spacing w:before="30"/>
                    <w:rPr>
                      <w:rFonts w:ascii="Symbol" w:hAnsi="Symbol"/>
                    </w:rPr>
                  </w:pPr>
                  <w:r>
                    <w:rPr>
                      <w:rFonts w:ascii="Symbol" w:hAnsi="Symbol"/>
                      <w:w w:val="100"/>
                    </w:rPr>
                    <w:t></w:t>
                  </w:r>
                </w:p>
                <w:p>
                  <w:pPr>
                    <w:pStyle w:val="BodyText"/>
                    <w:spacing w:before="33"/>
                    <w:rPr>
                      <w:rFonts w:ascii="Symbol" w:hAnsi="Symbol"/>
                    </w:rPr>
                  </w:pPr>
                  <w:r>
                    <w:rPr>
                      <w:rFonts w:ascii="Symbol" w:hAnsi="Symbol"/>
                      <w:w w:val="100"/>
                    </w:rPr>
                    <w:t></w:t>
                  </w:r>
                </w:p>
              </w:txbxContent>
            </v:textbox>
            <w10:wrap type="none"/>
          </v:shape>
        </w:pict>
      </w:r>
      <w:r>
        <w:rPr/>
        <w:pict>
          <v:shape style="position:absolute;margin-left:106.990402pt;margin-top:248.796799pt;width:403.3pt;height:43.2pt;mso-position-horizontal-relative:page;mso-position-vertical-relative:page;z-index:-251886592" type="#_x0000_t202" filled="false" stroked="false">
            <v:textbox inset="0,0,0,0">
              <w:txbxContent>
                <w:p>
                  <w:pPr>
                    <w:pStyle w:val="BodyText"/>
                    <w:spacing w:line="245" w:lineRule="exact" w:before="0"/>
                  </w:pPr>
                  <w:r>
                    <w:rPr/>
                    <w:t>Commercialization of academic activities, e.g., for profit note taking and advising services.</w:t>
                  </w:r>
                </w:p>
                <w:p>
                  <w:pPr>
                    <w:pStyle w:val="BodyText"/>
                    <w:spacing w:line="271" w:lineRule="auto" w:before="31"/>
                    <w:ind w:right="1614"/>
                  </w:pPr>
                  <w:r>
                    <w:rPr/>
                    <w:t>Development of cross-campus standards for freshmen seminar courses. Impact of social media on teaching.</w:t>
                  </w:r>
                </w:p>
              </w:txbxContent>
            </v:textbox>
            <w10:wrap type="none"/>
          </v:shape>
        </w:pict>
      </w:r>
      <w:r>
        <w:rPr/>
        <w:pict>
          <v:shape style="position:absolute;margin-left:71pt;margin-top:306.756805pt;width:169.2pt;height:26.5pt;mso-position-horizontal-relative:page;mso-position-vertical-relative:page;z-index:-251885568" type="#_x0000_t202" filled="false" stroked="false">
            <v:textbox inset="0,0,0,0">
              <w:txbxContent>
                <w:p>
                  <w:pPr>
                    <w:spacing w:line="245" w:lineRule="exact" w:before="0"/>
                    <w:ind w:left="20" w:right="0" w:firstLine="0"/>
                    <w:jc w:val="left"/>
                    <w:rPr>
                      <w:b/>
                      <w:sz w:val="22"/>
                    </w:rPr>
                  </w:pPr>
                  <w:r>
                    <w:rPr>
                      <w:b/>
                      <w:sz w:val="22"/>
                    </w:rPr>
                    <w:t>University Committee on Curriculum</w:t>
                  </w:r>
                </w:p>
                <w:p>
                  <w:pPr>
                    <w:spacing w:before="0"/>
                    <w:ind w:left="20" w:right="0" w:firstLine="0"/>
                    <w:jc w:val="left"/>
                    <w:rPr>
                      <w:b/>
                      <w:sz w:val="22"/>
                    </w:rPr>
                  </w:pPr>
                  <w:r>
                    <w:rPr>
                      <w:b/>
                      <w:sz w:val="22"/>
                    </w:rPr>
                    <w:t>Jerry Urquhart, Chairperson</w:t>
                  </w:r>
                </w:p>
              </w:txbxContent>
            </v:textbox>
            <w10:wrap type="none"/>
          </v:shape>
        </w:pict>
      </w:r>
      <w:r>
        <w:rPr/>
        <w:pict>
          <v:shape style="position:absolute;margin-left:89.006241pt;margin-top:331.416077pt;width:7.05pt;height:29.6pt;mso-position-horizontal-relative:page;mso-position-vertical-relative:page;z-index:-251884544" type="#_x0000_t202" filled="false" stroked="false">
            <v:textbox inset="0,0,0,0">
              <w:txbxContent>
                <w:p>
                  <w:pPr>
                    <w:pStyle w:val="BodyText"/>
                    <w:rPr>
                      <w:rFonts w:ascii="Symbol" w:hAnsi="Symbol"/>
                    </w:rPr>
                  </w:pPr>
                  <w:r>
                    <w:rPr>
                      <w:rFonts w:ascii="Symbol" w:hAnsi="Symbol"/>
                      <w:w w:val="100"/>
                    </w:rPr>
                    <w:t></w:t>
                  </w:r>
                </w:p>
                <w:p>
                  <w:pPr>
                    <w:pStyle w:val="BodyText"/>
                    <w:spacing w:before="11"/>
                    <w:rPr>
                      <w:rFonts w:ascii="Symbol" w:hAnsi="Symbol"/>
                    </w:rPr>
                  </w:pPr>
                  <w:r>
                    <w:rPr>
                      <w:rFonts w:ascii="Symbol" w:hAnsi="Symbol"/>
                      <w:w w:val="100"/>
                    </w:rPr>
                    <w:t></w:t>
                  </w:r>
                </w:p>
              </w:txbxContent>
            </v:textbox>
            <w10:wrap type="none"/>
          </v:shape>
        </w:pict>
      </w:r>
      <w:r>
        <w:rPr/>
        <w:pict>
          <v:shape style="position:absolute;margin-left:107.012482pt;margin-top:334.235352pt;width:351.5pt;height:27.1pt;mso-position-horizontal-relative:page;mso-position-vertical-relative:page;z-index:-251883520" type="#_x0000_t202" filled="false" stroked="false">
            <v:textbox inset="0,0,0,0">
              <w:txbxContent>
                <w:p>
                  <w:pPr>
                    <w:pStyle w:val="BodyText"/>
                    <w:spacing w:line="245" w:lineRule="exact" w:before="0"/>
                  </w:pPr>
                  <w:r>
                    <w:rPr/>
                    <w:t>Campus wide grade inflation.</w:t>
                  </w:r>
                </w:p>
                <w:p>
                  <w:pPr>
                    <w:pStyle w:val="BodyText"/>
                    <w:spacing w:before="12"/>
                  </w:pPr>
                  <w:r>
                    <w:rPr/>
                    <w:t>Evaluate the role of academic specialists in faculty affairs (such as curriculum).</w:t>
                  </w:r>
                </w:p>
              </w:txbxContent>
            </v:textbox>
            <w10:wrap type="none"/>
          </v:shape>
        </w:pict>
      </w:r>
      <w:r>
        <w:rPr/>
        <w:pict>
          <v:shape style="position:absolute;margin-left:71.011040pt;margin-top:375.149597pt;width:184.25pt;height:26.4pt;mso-position-horizontal-relative:page;mso-position-vertical-relative:page;z-index:-251882496" type="#_x0000_t202" filled="false" stroked="false">
            <v:textbox inset="0,0,0,0">
              <w:txbxContent>
                <w:p>
                  <w:pPr>
                    <w:spacing w:line="244" w:lineRule="exact" w:before="0"/>
                    <w:ind w:left="20" w:right="0" w:firstLine="0"/>
                    <w:jc w:val="left"/>
                    <w:rPr>
                      <w:b/>
                      <w:sz w:val="22"/>
                    </w:rPr>
                  </w:pPr>
                  <w:r>
                    <w:rPr>
                      <w:b/>
                      <w:sz w:val="22"/>
                    </w:rPr>
                    <w:t>University Committee on Faculty Affairs</w:t>
                  </w:r>
                </w:p>
                <w:p>
                  <w:pPr>
                    <w:spacing w:line="268" w:lineRule="exact" w:before="0"/>
                    <w:ind w:left="20" w:right="0" w:firstLine="0"/>
                    <w:jc w:val="left"/>
                    <w:rPr>
                      <w:b/>
                      <w:sz w:val="22"/>
                    </w:rPr>
                  </w:pPr>
                  <w:r>
                    <w:rPr>
                      <w:b/>
                      <w:sz w:val="22"/>
                    </w:rPr>
                    <w:t>Phylis Floyd, Chairperson</w:t>
                  </w:r>
                </w:p>
              </w:txbxContent>
            </v:textbox>
            <w10:wrap type="none"/>
          </v:shape>
        </w:pict>
      </w:r>
      <w:r>
        <w:rPr/>
        <w:pict>
          <v:shape style="position:absolute;margin-left:89.006241pt;margin-top:399.698456pt;width:7.1pt;height:85.65pt;mso-position-horizontal-relative:page;mso-position-vertical-relative:page;z-index:-251881472" type="#_x0000_t202" filled="false" stroked="false">
            <v:textbox inset="0,0,0,0">
              <w:txbxContent>
                <w:p>
                  <w:pPr>
                    <w:pStyle w:val="BodyText"/>
                    <w:rPr>
                      <w:rFonts w:ascii="Symbol" w:hAnsi="Symbol"/>
                    </w:rPr>
                  </w:pPr>
                  <w:r>
                    <w:rPr>
                      <w:rFonts w:ascii="Symbol" w:hAnsi="Symbol"/>
                      <w:w w:val="100"/>
                    </w:rPr>
                    <w:t></w:t>
                  </w:r>
                </w:p>
                <w:p>
                  <w:pPr>
                    <w:pStyle w:val="BodyText"/>
                    <w:spacing w:before="11"/>
                    <w:rPr>
                      <w:rFonts w:ascii="Symbol" w:hAnsi="Symbol"/>
                    </w:rPr>
                  </w:pPr>
                  <w:r>
                    <w:rPr>
                      <w:rFonts w:ascii="Symbol" w:hAnsi="Symbol"/>
                      <w:w w:val="100"/>
                    </w:rPr>
                    <w:t></w:t>
                  </w:r>
                </w:p>
                <w:p>
                  <w:pPr>
                    <w:pStyle w:val="BodyText"/>
                    <w:spacing w:before="11"/>
                    <w:rPr>
                      <w:rFonts w:ascii="Symbol" w:hAnsi="Symbol"/>
                    </w:rPr>
                  </w:pPr>
                  <w:r>
                    <w:rPr>
                      <w:rFonts w:ascii="Symbol" w:hAnsi="Symbol"/>
                      <w:w w:val="100"/>
                    </w:rPr>
                    <w:t></w:t>
                  </w:r>
                </w:p>
                <w:p>
                  <w:pPr>
                    <w:pStyle w:val="BodyText"/>
                    <w:spacing w:before="12"/>
                    <w:rPr>
                      <w:rFonts w:ascii="Symbol" w:hAnsi="Symbol"/>
                    </w:rPr>
                  </w:pPr>
                  <w:r>
                    <w:rPr>
                      <w:rFonts w:ascii="Symbol" w:hAnsi="Symbol"/>
                      <w:w w:val="100"/>
                    </w:rPr>
                    <w:t></w:t>
                  </w:r>
                </w:p>
                <w:p>
                  <w:pPr>
                    <w:pStyle w:val="BodyText"/>
                    <w:spacing w:before="11"/>
                    <w:rPr>
                      <w:rFonts w:ascii="Symbol" w:hAnsi="Symbol"/>
                    </w:rPr>
                  </w:pPr>
                  <w:r>
                    <w:rPr>
                      <w:rFonts w:ascii="Symbol" w:hAnsi="Symbol"/>
                      <w:w w:val="100"/>
                    </w:rPr>
                    <w:t></w:t>
                  </w:r>
                </w:p>
                <w:p>
                  <w:pPr>
                    <w:pStyle w:val="BodyText"/>
                    <w:spacing w:before="9"/>
                    <w:rPr>
                      <w:rFonts w:ascii="Symbol" w:hAnsi="Symbol"/>
                    </w:rPr>
                  </w:pPr>
                  <w:r>
                    <w:rPr>
                      <w:rFonts w:ascii="Symbol" w:hAnsi="Symbol"/>
                      <w:w w:val="100"/>
                    </w:rPr>
                    <w:t></w:t>
                  </w:r>
                </w:p>
              </w:txbxContent>
            </v:textbox>
            <w10:wrap type="none"/>
          </v:shape>
        </w:pict>
      </w:r>
      <w:r>
        <w:rPr/>
        <w:pict>
          <v:shape style="position:absolute;margin-left:107.012482pt;margin-top:402.517761pt;width:413.05pt;height:124.7pt;mso-position-horizontal-relative:page;mso-position-vertical-relative:page;z-index:-251880448" type="#_x0000_t202" filled="false" stroked="false">
            <v:textbox inset="0,0,0,0">
              <w:txbxContent>
                <w:p>
                  <w:pPr>
                    <w:pStyle w:val="BodyText"/>
                    <w:spacing w:line="245" w:lineRule="exact" w:before="0"/>
                  </w:pPr>
                  <w:r>
                    <w:rPr/>
                    <w:t>Percentage of increasing licensing revenue to faculty.</w:t>
                  </w:r>
                </w:p>
                <w:p>
                  <w:pPr>
                    <w:pStyle w:val="BodyText"/>
                    <w:spacing w:line="252" w:lineRule="auto" w:before="12"/>
                    <w:ind w:right="4895"/>
                  </w:pPr>
                  <w:r>
                    <w:rPr/>
                    <w:t>Revision to license and patent. Evaluate online courses and learning.</w:t>
                  </w:r>
                </w:p>
                <w:p>
                  <w:pPr>
                    <w:pStyle w:val="BodyText"/>
                    <w:spacing w:line="266" w:lineRule="exact" w:before="0"/>
                  </w:pPr>
                  <w:r>
                    <w:rPr/>
                    <w:t>Assessment of student learning on online learning.</w:t>
                  </w:r>
                </w:p>
                <w:p>
                  <w:pPr>
                    <w:pStyle w:val="BodyText"/>
                    <w:spacing w:before="12"/>
                  </w:pPr>
                  <w:r>
                    <w:rPr/>
                    <w:t>Salary Issues of MSU within Big 10 Academic Alliance rankings.</w:t>
                  </w:r>
                </w:p>
                <w:p>
                  <w:pPr>
                    <w:pStyle w:val="BodyText"/>
                    <w:spacing w:before="10"/>
                    <w:ind w:right="1"/>
                  </w:pPr>
                  <w:r>
                    <w:rPr/>
                    <w:t>Corruption of the tenure system caused by units’ loss of tenure lines when individuals fail to achieve tenure.</w:t>
                  </w:r>
                </w:p>
                <w:p>
                  <w:pPr>
                    <w:pStyle w:val="BodyText"/>
                    <w:spacing w:line="252" w:lineRule="auto" w:before="13"/>
                    <w:ind w:right="2255" w:hanging="1"/>
                  </w:pPr>
                  <w:r>
                    <w:rPr/>
                    <w:t>Increased reliance on specialists and fixed term faculty in teaching. The slipping rank of MSU on the 100 best colleges.</w:t>
                  </w:r>
                </w:p>
              </w:txbxContent>
            </v:textbox>
            <w10:wrap type="none"/>
          </v:shape>
        </w:pict>
      </w:r>
      <w:r>
        <w:rPr/>
        <w:pict>
          <v:shape style="position:absolute;margin-left:89.02832pt;margin-top:497.269989pt;width:7.05pt;height:29.6pt;mso-position-horizontal-relative:page;mso-position-vertical-relative:page;z-index:-251879424" type="#_x0000_t202" filled="false" stroked="false">
            <v:textbox inset="0,0,0,0">
              <w:txbxContent>
                <w:p>
                  <w:pPr>
                    <w:pStyle w:val="BodyText"/>
                    <w:rPr>
                      <w:rFonts w:ascii="Symbol" w:hAnsi="Symbol"/>
                    </w:rPr>
                  </w:pPr>
                  <w:r>
                    <w:rPr>
                      <w:rFonts w:ascii="Symbol" w:hAnsi="Symbol"/>
                      <w:w w:val="100"/>
                    </w:rPr>
                    <w:t></w:t>
                  </w:r>
                </w:p>
                <w:p>
                  <w:pPr>
                    <w:pStyle w:val="BodyText"/>
                    <w:spacing w:before="11"/>
                    <w:rPr>
                      <w:rFonts w:ascii="Symbol" w:hAnsi="Symbol"/>
                    </w:rPr>
                  </w:pPr>
                  <w:r>
                    <w:rPr>
                      <w:rFonts w:ascii="Symbol" w:hAnsi="Symbol"/>
                      <w:w w:val="100"/>
                    </w:rPr>
                    <w:t></w:t>
                  </w:r>
                </w:p>
              </w:txbxContent>
            </v:textbox>
            <w10:wrap type="none"/>
          </v:shape>
        </w:pict>
      </w:r>
      <w:r>
        <w:rPr/>
        <w:pict>
          <v:shape style="position:absolute;margin-left:71.044159pt;margin-top:540.893127pt;width:186.5pt;height:26.5pt;mso-position-horizontal-relative:page;mso-position-vertical-relative:page;z-index:-251878400" type="#_x0000_t202" filled="false" stroked="false">
            <v:textbox inset="0,0,0,0">
              <w:txbxContent>
                <w:p>
                  <w:pPr>
                    <w:spacing w:line="245" w:lineRule="exact" w:before="0"/>
                    <w:ind w:left="20" w:right="0" w:firstLine="0"/>
                    <w:jc w:val="left"/>
                    <w:rPr>
                      <w:b/>
                      <w:sz w:val="22"/>
                    </w:rPr>
                  </w:pPr>
                  <w:r>
                    <w:rPr>
                      <w:b/>
                      <w:sz w:val="22"/>
                    </w:rPr>
                    <w:t>University Committee on Faculty Tenure</w:t>
                  </w:r>
                </w:p>
                <w:p>
                  <w:pPr>
                    <w:spacing w:before="0"/>
                    <w:ind w:left="20" w:right="0" w:firstLine="0"/>
                    <w:jc w:val="left"/>
                    <w:rPr>
                      <w:b/>
                      <w:sz w:val="22"/>
                    </w:rPr>
                  </w:pPr>
                  <w:r>
                    <w:rPr>
                      <w:b/>
                      <w:sz w:val="22"/>
                    </w:rPr>
                    <w:t>Michael Dease, Chairperson</w:t>
                  </w:r>
                </w:p>
              </w:txbxContent>
            </v:textbox>
            <w10:wrap type="none"/>
          </v:shape>
        </w:pict>
      </w:r>
      <w:r>
        <w:rPr/>
        <w:pict>
          <v:shape style="position:absolute;margin-left:89.03936pt;margin-top:578.988037pt;width:7.05pt;height:57.55pt;mso-position-horizontal-relative:page;mso-position-vertical-relative:page;z-index:-251877376" type="#_x0000_t202" filled="false" stroked="false">
            <v:textbox inset="0,0,0,0">
              <w:txbxContent>
                <w:p>
                  <w:pPr>
                    <w:pStyle w:val="BodyText"/>
                    <w:rPr>
                      <w:rFonts w:ascii="Symbol" w:hAnsi="Symbol"/>
                    </w:rPr>
                  </w:pPr>
                  <w:r>
                    <w:rPr>
                      <w:rFonts w:ascii="Symbol" w:hAnsi="Symbol"/>
                      <w:w w:val="100"/>
                    </w:rPr>
                    <w:t></w:t>
                  </w:r>
                </w:p>
                <w:p>
                  <w:pPr>
                    <w:pStyle w:val="BodyText"/>
                    <w:spacing w:before="11"/>
                    <w:rPr>
                      <w:rFonts w:ascii="Symbol" w:hAnsi="Symbol"/>
                    </w:rPr>
                  </w:pPr>
                  <w:r>
                    <w:rPr>
                      <w:rFonts w:ascii="Symbol" w:hAnsi="Symbol"/>
                      <w:w w:val="100"/>
                    </w:rPr>
                    <w:t></w:t>
                  </w:r>
                </w:p>
                <w:p>
                  <w:pPr>
                    <w:pStyle w:val="BodyText"/>
                    <w:spacing w:before="11"/>
                    <w:rPr>
                      <w:rFonts w:ascii="Symbol" w:hAnsi="Symbol"/>
                    </w:rPr>
                  </w:pPr>
                  <w:r>
                    <w:rPr>
                      <w:rFonts w:ascii="Symbol" w:hAnsi="Symbol"/>
                      <w:w w:val="100"/>
                    </w:rPr>
                    <w:t></w:t>
                  </w:r>
                </w:p>
                <w:p>
                  <w:pPr>
                    <w:pStyle w:val="BodyText"/>
                    <w:spacing w:before="9"/>
                    <w:rPr>
                      <w:rFonts w:ascii="Symbol" w:hAnsi="Symbol"/>
                    </w:rPr>
                  </w:pPr>
                  <w:r>
                    <w:rPr>
                      <w:rFonts w:ascii="Symbol" w:hAnsi="Symbol"/>
                      <w:w w:val="100"/>
                    </w:rPr>
                    <w:t></w:t>
                  </w:r>
                </w:p>
              </w:txbxContent>
            </v:textbox>
            <w10:wrap type="none"/>
          </v:shape>
        </w:pict>
      </w:r>
      <w:r>
        <w:rPr/>
        <w:pict>
          <v:shape style="position:absolute;margin-left:107.045601pt;margin-top:581.807373pt;width:424.8pt;height:96.6pt;mso-position-horizontal-relative:page;mso-position-vertical-relative:page;z-index:-251876352" type="#_x0000_t202" filled="false" stroked="false">
            <v:textbox inset="0,0,0,0">
              <w:txbxContent>
                <w:p>
                  <w:pPr>
                    <w:pStyle w:val="BodyText"/>
                    <w:spacing w:line="245" w:lineRule="exact" w:before="0"/>
                  </w:pPr>
                  <w:r>
                    <w:rPr/>
                    <w:t>High tuition and student debt.</w:t>
                  </w:r>
                </w:p>
                <w:p>
                  <w:pPr>
                    <w:pStyle w:val="BodyText"/>
                    <w:spacing w:before="12"/>
                  </w:pPr>
                  <w:r>
                    <w:rPr/>
                    <w:t>Recruiting, retaining and rewarding exceptional faculty.</w:t>
                  </w:r>
                </w:p>
                <w:p>
                  <w:pPr>
                    <w:pStyle w:val="BodyText"/>
                    <w:spacing w:before="12"/>
                  </w:pPr>
                  <w:r>
                    <w:rPr/>
                    <w:t>Declining university benefits (especially related to health coverage).</w:t>
                  </w:r>
                </w:p>
                <w:p>
                  <w:pPr>
                    <w:pStyle w:val="BodyText"/>
                    <w:spacing w:before="10"/>
                    <w:ind w:right="5"/>
                  </w:pPr>
                  <w:r>
                    <w:rPr/>
                    <w:t>Presentations by the New Dean of the College of Human Medicine and the new Director of the Bioengineering Institute.</w:t>
                  </w:r>
                </w:p>
                <w:p>
                  <w:pPr>
                    <w:pStyle w:val="BodyText"/>
                    <w:spacing w:line="252" w:lineRule="auto" w:before="13"/>
                    <w:ind w:right="5004"/>
                  </w:pPr>
                  <w:r>
                    <w:rPr/>
                    <w:t>Greater clarity in budget prioritization. Mechanisms to reduce student debt.</w:t>
                  </w:r>
                </w:p>
              </w:txbxContent>
            </v:textbox>
            <w10:wrap type="none"/>
          </v:shape>
        </w:pict>
      </w:r>
      <w:r>
        <w:rPr/>
        <w:pict>
          <v:shape style="position:absolute;margin-left:89.0504pt;margin-top:648.473816pt;width:7.05pt;height:29.6pt;mso-position-horizontal-relative:page;mso-position-vertical-relative:page;z-index:-251875328" type="#_x0000_t202" filled="false" stroked="false">
            <v:textbox inset="0,0,0,0">
              <w:txbxContent>
                <w:p>
                  <w:pPr>
                    <w:pStyle w:val="BodyText"/>
                    <w:rPr>
                      <w:rFonts w:ascii="Symbol" w:hAnsi="Symbol"/>
                    </w:rPr>
                  </w:pPr>
                  <w:r>
                    <w:rPr>
                      <w:rFonts w:ascii="Symbol" w:hAnsi="Symbol"/>
                      <w:w w:val="100"/>
                    </w:rPr>
                    <w:t></w:t>
                  </w:r>
                </w:p>
                <w:p>
                  <w:pPr>
                    <w:pStyle w:val="BodyText"/>
                    <w:spacing w:before="11"/>
                    <w:rPr>
                      <w:rFonts w:ascii="Symbol" w:hAnsi="Symbol"/>
                    </w:rPr>
                  </w:pPr>
                  <w:r>
                    <w:rPr>
                      <w:rFonts w:ascii="Symbol" w:hAnsi="Symbol"/>
                      <w:w w:val="100"/>
                    </w:rPr>
                    <w:t></w:t>
                  </w:r>
                </w:p>
              </w:txbxContent>
            </v:textbox>
            <w10:wrap type="none"/>
          </v:shape>
        </w:pict>
      </w:r>
    </w:p>
    <w:p>
      <w:pPr>
        <w:spacing w:after="0"/>
        <w:rPr>
          <w:sz w:val="2"/>
          <w:szCs w:val="2"/>
        </w:rPr>
        <w:sectPr>
          <w:type w:val="continuous"/>
          <w:pgSz w:w="12240" w:h="15840"/>
          <w:pgMar w:top="1460" w:bottom="280" w:left="1300" w:right="1320"/>
        </w:sectPr>
      </w:pPr>
    </w:p>
    <w:p>
      <w:pPr>
        <w:rPr>
          <w:sz w:val="2"/>
          <w:szCs w:val="2"/>
        </w:rPr>
      </w:pPr>
      <w:r>
        <w:rPr/>
        <w:pict>
          <v:shape style="position:absolute;margin-left:71pt;margin-top:73.040001pt;width:197.8pt;height:26.5pt;mso-position-horizontal-relative:page;mso-position-vertical-relative:page;z-index:-251874304" type="#_x0000_t202" filled="false" stroked="false">
            <v:textbox inset="0,0,0,0">
              <w:txbxContent>
                <w:p>
                  <w:pPr>
                    <w:spacing w:line="245" w:lineRule="exact" w:before="0"/>
                    <w:ind w:left="20" w:right="0" w:firstLine="0"/>
                    <w:jc w:val="left"/>
                    <w:rPr>
                      <w:b/>
                      <w:sz w:val="22"/>
                    </w:rPr>
                  </w:pPr>
                  <w:r>
                    <w:rPr>
                      <w:b/>
                      <w:sz w:val="22"/>
                    </w:rPr>
                    <w:t>University Committee on Graduate Studies</w:t>
                  </w:r>
                </w:p>
                <w:p>
                  <w:pPr>
                    <w:spacing w:before="0"/>
                    <w:ind w:left="20" w:right="0" w:firstLine="0"/>
                    <w:jc w:val="left"/>
                    <w:rPr>
                      <w:b/>
                      <w:sz w:val="22"/>
                    </w:rPr>
                  </w:pPr>
                  <w:r>
                    <w:rPr>
                      <w:b/>
                      <w:sz w:val="22"/>
                    </w:rPr>
                    <w:t>Chris Hogan, Chairperson</w:t>
                  </w:r>
                </w:p>
              </w:txbxContent>
            </v:textbox>
            <w10:wrap type="none"/>
          </v:shape>
        </w:pict>
      </w:r>
      <w:r>
        <w:rPr/>
        <w:pict>
          <v:shape style="position:absolute;margin-left:89.006241pt;margin-top:97.699265pt;width:7.05pt;height:29.6pt;mso-position-horizontal-relative:page;mso-position-vertical-relative:page;z-index:-251873280" type="#_x0000_t202" filled="false" stroked="false">
            <v:textbox inset="0,0,0,0">
              <w:txbxContent>
                <w:p>
                  <w:pPr>
                    <w:pStyle w:val="BodyText"/>
                    <w:rPr>
                      <w:rFonts w:ascii="Symbol" w:hAnsi="Symbol"/>
                    </w:rPr>
                  </w:pPr>
                  <w:r>
                    <w:rPr>
                      <w:rFonts w:ascii="Symbol" w:hAnsi="Symbol"/>
                      <w:w w:val="100"/>
                    </w:rPr>
                    <w:t></w:t>
                  </w:r>
                </w:p>
                <w:p>
                  <w:pPr>
                    <w:pStyle w:val="BodyText"/>
                    <w:spacing w:before="11"/>
                    <w:rPr>
                      <w:rFonts w:ascii="Symbol" w:hAnsi="Symbol"/>
                    </w:rPr>
                  </w:pPr>
                  <w:r>
                    <w:rPr>
                      <w:rFonts w:ascii="Symbol" w:hAnsi="Symbol"/>
                      <w:w w:val="100"/>
                    </w:rPr>
                    <w:t></w:t>
                  </w:r>
                </w:p>
              </w:txbxContent>
            </v:textbox>
            <w10:wrap type="none"/>
          </v:shape>
        </w:pict>
      </w:r>
      <w:r>
        <w:rPr/>
        <w:pict>
          <v:shape style="position:absolute;margin-left:106.990402pt;margin-top:100.518562pt;width:423.2pt;height:122.15pt;mso-position-horizontal-relative:page;mso-position-vertical-relative:page;z-index:-251872256" type="#_x0000_t202" filled="false" stroked="false">
            <v:textbox inset="0,0,0,0">
              <w:txbxContent>
                <w:p>
                  <w:pPr>
                    <w:pStyle w:val="BodyText"/>
                    <w:spacing w:line="245" w:lineRule="exact" w:before="0"/>
                  </w:pPr>
                  <w:r>
                    <w:rPr/>
                    <w:t>Part one on Instruction.</w:t>
                  </w:r>
                </w:p>
                <w:p>
                  <w:pPr>
                    <w:pStyle w:val="BodyText"/>
                    <w:spacing w:line="237" w:lineRule="auto" w:before="14"/>
                    <w:ind w:right="245"/>
                  </w:pPr>
                  <w:r>
                    <w:rPr/>
                    <w:t>UCGS regularly reviews graduate program and curriculum proposals and changes, providing input on how to make our graduate programs more competitive.</w:t>
                  </w:r>
                </w:p>
                <w:p>
                  <w:pPr>
                    <w:pStyle w:val="BodyText"/>
                    <w:spacing w:before="14"/>
                  </w:pPr>
                  <w:r>
                    <w:rPr/>
                    <w:t>UCGS regularly evaluates proposals related to non-synchronous instructional media, for example fully-online graduate degree and post-graduate certificate programs. The committee works to develop standards to evaluate new degree proposals and change-of-requirements proposals to ensure the academic integrity of these degrees.</w:t>
                  </w:r>
                </w:p>
                <w:p>
                  <w:pPr>
                    <w:pStyle w:val="BodyText"/>
                    <w:spacing w:line="237" w:lineRule="auto" w:before="15"/>
                    <w:ind w:right="366"/>
                  </w:pPr>
                  <w:r>
                    <w:rPr/>
                    <w:t>UCGS annually makes recommendations related to graduate RA and TE compensation and benefits.</w:t>
                  </w:r>
                </w:p>
              </w:txbxContent>
            </v:textbox>
            <w10:wrap type="none"/>
          </v:shape>
        </w:pict>
      </w:r>
      <w:r>
        <w:rPr/>
        <w:pict>
          <v:shape style="position:absolute;margin-left:89.017281pt;margin-top:139.110306pt;width:7.05pt;height:15.55pt;mso-position-horizontal-relative:page;mso-position-vertical-relative:page;z-index:-251871232" type="#_x0000_t202" filled="false" stroked="false">
            <v:textbox inset="0,0,0,0">
              <w:txbxContent>
                <w:p>
                  <w:pPr>
                    <w:pStyle w:val="BodyText"/>
                    <w:rPr>
                      <w:rFonts w:ascii="Symbol" w:hAnsi="Symbol"/>
                    </w:rPr>
                  </w:pPr>
                  <w:r>
                    <w:rPr>
                      <w:rFonts w:ascii="Symbol" w:hAnsi="Symbol"/>
                      <w:w w:val="100"/>
                    </w:rPr>
                    <w:t></w:t>
                  </w:r>
                </w:p>
              </w:txbxContent>
            </v:textbox>
            <w10:wrap type="none"/>
          </v:shape>
        </w:pict>
      </w:r>
      <w:r>
        <w:rPr/>
        <w:pict>
          <v:shape style="position:absolute;margin-left:88.995201pt;margin-top:193.46022pt;width:7.05pt;height:15.55pt;mso-position-horizontal-relative:page;mso-position-vertical-relative:page;z-index:-251870208" type="#_x0000_t202" filled="false" stroked="false">
            <v:textbox inset="0,0,0,0">
              <w:txbxContent>
                <w:p>
                  <w:pPr>
                    <w:pStyle w:val="BodyText"/>
                    <w:rPr>
                      <w:rFonts w:ascii="Symbol" w:hAnsi="Symbol"/>
                    </w:rPr>
                  </w:pPr>
                  <w:r>
                    <w:rPr>
                      <w:rFonts w:ascii="Symbol" w:hAnsi="Symbol"/>
                      <w:w w:val="100"/>
                    </w:rPr>
                    <w:t></w:t>
                  </w:r>
                </w:p>
              </w:txbxContent>
            </v:textbox>
            <w10:wrap type="none"/>
          </v:shape>
        </w:pict>
      </w:r>
      <w:r>
        <w:rPr/>
        <w:pict>
          <v:shape style="position:absolute;margin-left:71pt;margin-top:236.476166pt;width:187.6pt;height:26.5pt;mso-position-horizontal-relative:page;mso-position-vertical-relative:page;z-index:-251869184" type="#_x0000_t202" filled="false" stroked="false">
            <v:textbox inset="0,0,0,0">
              <w:txbxContent>
                <w:p>
                  <w:pPr>
                    <w:spacing w:line="245" w:lineRule="exact" w:before="0"/>
                    <w:ind w:left="20" w:right="0" w:firstLine="0"/>
                    <w:jc w:val="left"/>
                    <w:rPr>
                      <w:b/>
                      <w:sz w:val="22"/>
                    </w:rPr>
                  </w:pPr>
                  <w:r>
                    <w:rPr>
                      <w:b/>
                      <w:sz w:val="22"/>
                    </w:rPr>
                    <w:t>University Committee on Student Affairs</w:t>
                  </w:r>
                </w:p>
                <w:p>
                  <w:pPr>
                    <w:spacing w:before="0"/>
                    <w:ind w:left="20" w:right="0" w:firstLine="0"/>
                    <w:jc w:val="left"/>
                    <w:rPr>
                      <w:b/>
                      <w:sz w:val="22"/>
                    </w:rPr>
                  </w:pPr>
                  <w:r>
                    <w:rPr>
                      <w:b/>
                      <w:sz w:val="22"/>
                    </w:rPr>
                    <w:t>Alexandria Kuhl, Chairperson</w:t>
                  </w:r>
                </w:p>
              </w:txbxContent>
            </v:textbox>
            <w10:wrap type="none"/>
          </v:shape>
        </w:pict>
      </w:r>
      <w:r>
        <w:rPr/>
        <w:pict>
          <v:shape style="position:absolute;margin-left:88.995201pt;margin-top:274.571106pt;width:7.05pt;height:15.55pt;mso-position-horizontal-relative:page;mso-position-vertical-relative:page;z-index:-251868160" type="#_x0000_t202" filled="false" stroked="false">
            <v:textbox inset="0,0,0,0">
              <w:txbxContent>
                <w:p>
                  <w:pPr>
                    <w:pStyle w:val="BodyText"/>
                    <w:rPr>
                      <w:rFonts w:ascii="Symbol" w:hAnsi="Symbol"/>
                    </w:rPr>
                  </w:pPr>
                  <w:r>
                    <w:rPr>
                      <w:rFonts w:ascii="Symbol" w:hAnsi="Symbol"/>
                      <w:w w:val="100"/>
                    </w:rPr>
                    <w:t></w:t>
                  </w:r>
                </w:p>
              </w:txbxContent>
            </v:textbox>
            <w10:wrap type="none"/>
          </v:shape>
        </w:pict>
      </w:r>
      <w:r>
        <w:rPr/>
        <w:pict>
          <v:shape style="position:absolute;margin-left:107.001442pt;margin-top:277.390411pt;width:433.55pt;height:145.8pt;mso-position-horizontal-relative:page;mso-position-vertical-relative:page;z-index:-251867136" type="#_x0000_t202" filled="false" stroked="false">
            <v:textbox inset="0,0,0,0">
              <w:txbxContent>
                <w:p>
                  <w:pPr>
                    <w:pStyle w:val="BodyText"/>
                    <w:spacing w:line="245" w:lineRule="exact" w:before="0"/>
                  </w:pPr>
                  <w:r>
                    <w:rPr/>
                    <w:t>Providing mental health services and ensuring that with the new reorganization students are not</w:t>
                  </w:r>
                </w:p>
                <w:p>
                  <w:pPr>
                    <w:pStyle w:val="BodyText"/>
                  </w:pPr>
                  <w:r>
                    <w:rPr/>
                    <w:t>left in need.</w:t>
                  </w:r>
                </w:p>
                <w:p>
                  <w:pPr>
                    <w:pStyle w:val="BodyText"/>
                    <w:spacing w:line="271" w:lineRule="auto" w:before="32"/>
                    <w:ind w:right="406" w:hanging="1"/>
                  </w:pPr>
                  <w:r>
                    <w:rPr/>
                    <w:t>Increasing access to all buildings on campus for students with disabilities (many are lacking). Continuing to improve the climate surrounding diversity and women's issues on campus.</w:t>
                  </w:r>
                </w:p>
                <w:p>
                  <w:pPr>
                    <w:pStyle w:val="BodyText"/>
                    <w:spacing w:line="256" w:lineRule="auto" w:before="0"/>
                    <w:ind w:right="385"/>
                  </w:pPr>
                  <w:r>
                    <w:rPr/>
                    <w:t>Ensuring safety of pedestrians in light of the increased reliance on mopeds (and bicycles to a lesser extent), particularly those driving on the sidewalk.</w:t>
                  </w:r>
                </w:p>
                <w:p>
                  <w:pPr>
                    <w:pStyle w:val="BodyText"/>
                    <w:spacing w:line="259" w:lineRule="auto" w:before="14"/>
                    <w:ind w:right="44"/>
                  </w:pPr>
                  <w:r>
                    <w:rPr/>
                    <w:t>This was not on the survey, but concerns about the newly implemented academic dishonesty policy arose in our discussions. While good in theory, the policy (anecdotally) disproportionately affects ESL students, and fails to distinguish between major and minor offenses, potentially limiting future opportunities for students.</w:t>
                  </w:r>
                </w:p>
              </w:txbxContent>
            </v:textbox>
            <w10:wrap type="none"/>
          </v:shape>
        </w:pict>
      </w:r>
      <w:r>
        <w:rPr/>
        <w:pict>
          <v:shape style="position:absolute;margin-left:89.006241pt;margin-top:304.092072pt;width:7.1pt;height:45.8pt;mso-position-horizontal-relative:page;mso-position-vertical-relative:page;z-index:-251866112" type="#_x0000_t202" filled="false" stroked="false">
            <v:textbox inset="0,0,0,0">
              <w:txbxContent>
                <w:p>
                  <w:pPr>
                    <w:pStyle w:val="BodyText"/>
                    <w:rPr>
                      <w:rFonts w:ascii="Symbol" w:hAnsi="Symbol"/>
                    </w:rPr>
                  </w:pPr>
                  <w:r>
                    <w:rPr>
                      <w:rFonts w:ascii="Symbol" w:hAnsi="Symbol"/>
                      <w:w w:val="100"/>
                    </w:rPr>
                    <w:t></w:t>
                  </w:r>
                </w:p>
                <w:p>
                  <w:pPr>
                    <w:pStyle w:val="BodyText"/>
                    <w:spacing w:before="32"/>
                    <w:rPr>
                      <w:rFonts w:ascii="Symbol" w:hAnsi="Symbol"/>
                    </w:rPr>
                  </w:pPr>
                  <w:r>
                    <w:rPr>
                      <w:rFonts w:ascii="Symbol" w:hAnsi="Symbol"/>
                      <w:w w:val="100"/>
                    </w:rPr>
                    <w:t></w:t>
                  </w:r>
                </w:p>
                <w:p>
                  <w:pPr>
                    <w:pStyle w:val="BodyText"/>
                    <w:spacing w:before="33"/>
                    <w:rPr>
                      <w:rFonts w:ascii="Symbol" w:hAnsi="Symbol"/>
                    </w:rPr>
                  </w:pPr>
                  <w:r>
                    <w:rPr>
                      <w:rFonts w:ascii="Symbol" w:hAnsi="Symbol"/>
                      <w:w w:val="100"/>
                    </w:rPr>
                    <w:t></w:t>
                  </w:r>
                </w:p>
              </w:txbxContent>
            </v:textbox>
            <w10:wrap type="none"/>
          </v:shape>
        </w:pict>
      </w:r>
      <w:r>
        <w:rPr/>
        <w:pict>
          <v:shape style="position:absolute;margin-left:89.02832pt;margin-top:363.86261pt;width:7.05pt;height:15.55pt;mso-position-horizontal-relative:page;mso-position-vertical-relative:page;z-index:-251865088" type="#_x0000_t202" filled="false" stroked="false">
            <v:textbox inset="0,0,0,0">
              <w:txbxContent>
                <w:p>
                  <w:pPr>
                    <w:pStyle w:val="BodyText"/>
                    <w:rPr>
                      <w:rFonts w:ascii="Symbol" w:hAnsi="Symbol"/>
                    </w:rPr>
                  </w:pPr>
                  <w:r>
                    <w:rPr>
                      <w:rFonts w:ascii="Symbol" w:hAnsi="Symbol"/>
                      <w:w w:val="100"/>
                    </w:rPr>
                    <w:t></w:t>
                  </w:r>
                </w:p>
              </w:txbxContent>
            </v:textbox>
            <w10:wrap type="none"/>
          </v:shape>
        </w:pict>
      </w:r>
      <w:r>
        <w:rPr/>
        <w:pict>
          <v:shape style="position:absolute;margin-left:71.033119pt;margin-top:432.667999pt;width:293.45pt;height:26.5pt;mso-position-horizontal-relative:page;mso-position-vertical-relative:page;z-index:-251864064" type="#_x0000_t202" filled="false" stroked="false">
            <v:textbox inset="0,0,0,0">
              <w:txbxContent>
                <w:p>
                  <w:pPr>
                    <w:spacing w:line="245" w:lineRule="exact" w:before="0"/>
                    <w:ind w:left="20" w:right="0" w:firstLine="0"/>
                    <w:jc w:val="left"/>
                    <w:rPr>
                      <w:b/>
                      <w:sz w:val="22"/>
                    </w:rPr>
                  </w:pPr>
                  <w:r>
                    <w:rPr>
                      <w:b/>
                      <w:sz w:val="22"/>
                    </w:rPr>
                    <w:t>COGS (COGS is not a standing committee but report requested.)</w:t>
                  </w:r>
                </w:p>
                <w:p>
                  <w:pPr>
                    <w:spacing w:before="0"/>
                    <w:ind w:left="20" w:right="0" w:firstLine="0"/>
                    <w:jc w:val="left"/>
                    <w:rPr>
                      <w:b/>
                      <w:sz w:val="22"/>
                    </w:rPr>
                  </w:pPr>
                  <w:r>
                    <w:rPr>
                      <w:b/>
                      <w:sz w:val="22"/>
                    </w:rPr>
                    <w:t>Dee Jordon, COGS President</w:t>
                  </w:r>
                </w:p>
              </w:txbxContent>
            </v:textbox>
            <w10:wrap type="none"/>
          </v:shape>
        </w:pict>
      </w:r>
      <w:r>
        <w:rPr/>
        <w:pict>
          <v:shape style="position:absolute;margin-left:89.02832pt;margin-top:470.652557pt;width:7.05pt;height:15.55pt;mso-position-horizontal-relative:page;mso-position-vertical-relative:page;z-index:-251863040" type="#_x0000_t202" filled="false" stroked="false">
            <v:textbox inset="0,0,0,0">
              <w:txbxContent>
                <w:p>
                  <w:pPr>
                    <w:pStyle w:val="BodyText"/>
                    <w:rPr>
                      <w:rFonts w:ascii="Symbol" w:hAnsi="Symbol"/>
                    </w:rPr>
                  </w:pPr>
                  <w:r>
                    <w:rPr>
                      <w:rFonts w:ascii="Symbol" w:hAnsi="Symbol"/>
                      <w:w w:val="100"/>
                    </w:rPr>
                    <w:t></w:t>
                  </w:r>
                </w:p>
              </w:txbxContent>
            </v:textbox>
            <w10:wrap type="none"/>
          </v:shape>
        </w:pict>
      </w:r>
      <w:r>
        <w:rPr/>
        <w:pict>
          <v:shape style="position:absolute;margin-left:107.034561pt;margin-top:473.471832pt;width:432.75pt;height:244.9pt;mso-position-horizontal-relative:page;mso-position-vertical-relative:page;z-index:-251862016" type="#_x0000_t202" filled="false" stroked="false">
            <v:textbox inset="0,0,0,0">
              <w:txbxContent>
                <w:p>
                  <w:pPr>
                    <w:pStyle w:val="BodyText"/>
                    <w:spacing w:line="245" w:lineRule="exact" w:before="0"/>
                  </w:pPr>
                  <w:r>
                    <w:rPr/>
                    <w:t>The Council of Graduate Students (COGS) is the governing body for all graduate and professional</w:t>
                  </w:r>
                </w:p>
                <w:p>
                  <w:pPr>
                    <w:pStyle w:val="BodyText"/>
                    <w:spacing w:before="0"/>
                  </w:pPr>
                  <w:r>
                    <w:rPr/>
                    <w:t>students at MSU</w:t>
                  </w:r>
                </w:p>
                <w:p>
                  <w:pPr>
                    <w:pStyle w:val="BodyText"/>
                    <w:spacing w:before="12"/>
                    <w:ind w:right="506"/>
                  </w:pPr>
                  <w:r>
                    <w:rPr/>
                    <w:t>COGS is a tax collecting unit. The COGS tax is up for renewal every 3 years, the most recent renewal occurred in 2016. Renewal of the COGS tax is by student vote. All graduate and professional students are eligible to vote for the tax renewal and increase if applicable.</w:t>
                  </w:r>
                </w:p>
                <w:p>
                  <w:pPr>
                    <w:pStyle w:val="BodyText"/>
                    <w:spacing w:before="13"/>
                    <w:ind w:right="118"/>
                  </w:pPr>
                  <w:r>
                    <w:rPr/>
                    <w:t>COGS consist of a nine-member Executive Board (five elected Officers, two appointed positions and two professional school liaisons), an 84-member Full Council (representing Departments/Programs and Student Groups across campus)</w:t>
                  </w:r>
                </w:p>
                <w:p>
                  <w:pPr>
                    <w:pStyle w:val="BodyText"/>
                    <w:spacing w:line="244" w:lineRule="auto" w:before="10"/>
                    <w:ind w:right="369"/>
                  </w:pPr>
                  <w:r>
                    <w:rPr/>
                    <w:t>COGS is dedicated to advancing the well-being and professional interests of graduate and professional students at Michigan State University through education, advocacy and service. COGS is governed by a Constitution and Bylaws, and meetings are conducted using parliamentary procedures.</w:t>
                  </w:r>
                </w:p>
                <w:p>
                  <w:pPr>
                    <w:pStyle w:val="BodyText"/>
                    <w:spacing w:before="1"/>
                    <w:ind w:right="371"/>
                  </w:pPr>
                  <w:r>
                    <w:rPr/>
                    <w:t>COGS meets once a month to discuss and pass legislation for action items relevant to graduate/professional student initiatives, to advocate on behalf of constituent concerns and determine ways to support the MSU and Greater Lasing Community.</w:t>
                  </w:r>
                </w:p>
                <w:p>
                  <w:pPr>
                    <w:pStyle w:val="BodyText"/>
                    <w:spacing w:before="13"/>
                    <w:ind w:left="21" w:right="90"/>
                  </w:pPr>
                  <w:r>
                    <w:rPr/>
                    <w:t>COGS has nine internal committees and COGS Board Members and Representatives serve on all University-level Committees including the University Council, Steering Committee, Faculty Senate and University Committee for Graduate Studies</w:t>
                  </w:r>
                </w:p>
              </w:txbxContent>
            </v:textbox>
            <w10:wrap type="none"/>
          </v:shape>
        </w:pict>
      </w:r>
      <w:r>
        <w:rPr/>
        <w:pict>
          <v:shape style="position:absolute;margin-left:89.02832pt;margin-top:498.131104pt;width:7.05pt;height:15.55pt;mso-position-horizontal-relative:page;mso-position-vertical-relative:page;z-index:-251860992" type="#_x0000_t202" filled="false" stroked="false">
            <v:textbox inset="0,0,0,0">
              <w:txbxContent>
                <w:p>
                  <w:pPr>
                    <w:pStyle w:val="BodyText"/>
                    <w:rPr>
                      <w:rFonts w:ascii="Symbol" w:hAnsi="Symbol"/>
                    </w:rPr>
                  </w:pPr>
                  <w:r>
                    <w:rPr>
                      <w:rFonts w:ascii="Symbol" w:hAnsi="Symbol"/>
                      <w:w w:val="100"/>
                    </w:rPr>
                    <w:t></w:t>
                  </w:r>
                </w:p>
              </w:txbxContent>
            </v:textbox>
            <w10:wrap type="none"/>
          </v:shape>
        </w:pict>
      </w:r>
      <w:r>
        <w:rPr/>
        <w:pict>
          <v:shape style="position:absolute;margin-left:89.03936pt;margin-top:539.045349pt;width:7.05pt;height:15.55pt;mso-position-horizontal-relative:page;mso-position-vertical-relative:page;z-index:-251859968" type="#_x0000_t202" filled="false" stroked="false">
            <v:textbox inset="0,0,0,0">
              <w:txbxContent>
                <w:p>
                  <w:pPr>
                    <w:pStyle w:val="BodyText"/>
                    <w:rPr>
                      <w:rFonts w:ascii="Symbol" w:hAnsi="Symbol"/>
                    </w:rPr>
                  </w:pPr>
                  <w:r>
                    <w:rPr>
                      <w:rFonts w:ascii="Symbol" w:hAnsi="Symbol"/>
                      <w:w w:val="100"/>
                    </w:rPr>
                    <w:t></w:t>
                  </w:r>
                </w:p>
              </w:txbxContent>
            </v:textbox>
            <w10:wrap type="none"/>
          </v:shape>
        </w:pict>
      </w:r>
      <w:r>
        <w:rPr/>
        <w:pict>
          <v:shape style="position:absolute;margin-left:89.0504pt;margin-top:579.849182pt;width:7.05pt;height:15.55pt;mso-position-horizontal-relative:page;mso-position-vertical-relative:page;z-index:-251858944" type="#_x0000_t202" filled="false" stroked="false">
            <v:textbox inset="0,0,0,0">
              <w:txbxContent>
                <w:p>
                  <w:pPr>
                    <w:pStyle w:val="BodyText"/>
                    <w:rPr>
                      <w:rFonts w:ascii="Symbol" w:hAnsi="Symbol"/>
                    </w:rPr>
                  </w:pPr>
                  <w:r>
                    <w:rPr>
                      <w:rFonts w:ascii="Symbol" w:hAnsi="Symbol"/>
                      <w:w w:val="100"/>
                    </w:rPr>
                    <w:t></w:t>
                  </w:r>
                </w:p>
              </w:txbxContent>
            </v:textbox>
            <w10:wrap type="none"/>
          </v:shape>
        </w:pict>
      </w:r>
      <w:r>
        <w:rPr/>
        <w:pict>
          <v:shape style="position:absolute;margin-left:89.06144pt;margin-top:607.327759pt;width:7.05pt;height:15.55pt;mso-position-horizontal-relative:page;mso-position-vertical-relative:page;z-index:-251857920" type="#_x0000_t202" filled="false" stroked="false">
            <v:textbox inset="0,0,0,0">
              <w:txbxContent>
                <w:p>
                  <w:pPr>
                    <w:pStyle w:val="BodyText"/>
                    <w:rPr>
                      <w:rFonts w:ascii="Symbol" w:hAnsi="Symbol"/>
                    </w:rPr>
                  </w:pPr>
                  <w:r>
                    <w:rPr>
                      <w:rFonts w:ascii="Symbol" w:hAnsi="Symbol"/>
                      <w:w w:val="100"/>
                    </w:rPr>
                    <w:t></w:t>
                  </w:r>
                </w:p>
              </w:txbxContent>
            </v:textbox>
            <w10:wrap type="none"/>
          </v:shape>
        </w:pict>
      </w:r>
      <w:r>
        <w:rPr/>
        <w:pict>
          <v:shape style="position:absolute;margin-left:89.072479pt;margin-top:634.684875pt;width:7.05pt;height:15.55pt;mso-position-horizontal-relative:page;mso-position-vertical-relative:page;z-index:-251856896" type="#_x0000_t202" filled="false" stroked="false">
            <v:textbox inset="0,0,0,0">
              <w:txbxContent>
                <w:p>
                  <w:pPr>
                    <w:pStyle w:val="BodyText"/>
                    <w:rPr>
                      <w:rFonts w:ascii="Symbol" w:hAnsi="Symbol"/>
                    </w:rPr>
                  </w:pPr>
                  <w:r>
                    <w:rPr>
                      <w:rFonts w:ascii="Symbol" w:hAnsi="Symbol"/>
                      <w:w w:val="100"/>
                    </w:rPr>
                    <w:t></w:t>
                  </w:r>
                </w:p>
              </w:txbxContent>
            </v:textbox>
            <w10:wrap type="none"/>
          </v:shape>
        </w:pict>
      </w:r>
      <w:r>
        <w:rPr/>
        <w:pict>
          <v:shape style="position:absolute;margin-left:89.083519pt;margin-top:675.599121pt;width:7.05pt;height:15.55pt;mso-position-horizontal-relative:page;mso-position-vertical-relative:page;z-index:-251855872" type="#_x0000_t202" filled="false" stroked="false">
            <v:textbox inset="0,0,0,0">
              <w:txbxContent>
                <w:p>
                  <w:pPr>
                    <w:pStyle w:val="BodyText"/>
                    <w:rPr>
                      <w:rFonts w:ascii="Symbol" w:hAnsi="Symbol"/>
                    </w:rPr>
                  </w:pPr>
                  <w:r>
                    <w:rPr>
                      <w:rFonts w:ascii="Symbol" w:hAnsi="Symbol"/>
                      <w:w w:val="100"/>
                    </w:rPr>
                    <w:t></w:t>
                  </w:r>
                </w:p>
              </w:txbxContent>
            </v:textbox>
            <w10:wrap type="none"/>
          </v:shape>
        </w:pict>
      </w:r>
    </w:p>
    <w:sectPr>
      <w:pgSz w:w="12240" w:h="15840"/>
      <w:pgMar w:top="1460" w:bottom="2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spacing w:before="21"/>
      <w:ind w:left="20"/>
    </w:pPr>
    <w:rPr>
      <w:rFonts w:ascii="Calibri" w:hAnsi="Calibri" w:eastAsia="Calibri" w:cs="Calibri"/>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AD53A2BD-86ED-45E7-A597-5ED0FE195ACF}"/>
</file>

<file path=customXml/itemProps2.xml><?xml version="1.0" encoding="utf-8"?>
<ds:datastoreItem xmlns:ds="http://schemas.openxmlformats.org/officeDocument/2006/customXml" ds:itemID="{88149B56-4C55-4E0A-A469-861B572A85B9}"/>
</file>

<file path=customXml/itemProps3.xml><?xml version="1.0" encoding="utf-8"?>
<ds:datastoreItem xmlns:ds="http://schemas.openxmlformats.org/officeDocument/2006/customXml" ds:itemID="{4EE56449-EF06-43AE-94B3-7F73B86EC5D7}"/>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Powell, John W.</dc:creator>
  <dcterms:created xsi:type="dcterms:W3CDTF">2023-05-05T18:31:50Z</dcterms:created>
  <dcterms:modified xsi:type="dcterms:W3CDTF">2023-05-05T18:31:50Z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2023-05-05T00:00:00Z</vt:filetime>
  </property>
  <property fmtid="{D5CDD505-2E9C-101B-9397-08002B2CF9AE}" pid="3" name="Creator">
    <vt:lpwstr>Adobe Acrobat Pro 11.0.18</vt:lpwstr>
  </property>
  <property fmtid="{D5CDD505-2E9C-101B-9397-08002B2CF9AE}" pid="4" name="LastSaved">
    <vt:filetime>2023-05-05T00:00:00Z</vt:filetime>
  </property>
  <property fmtid="{D5CDD505-2E9C-101B-9397-08002B2CF9AE}" pid="5" name="ContentTypeId">
    <vt:lpwstr>0x010100373BE68F7849A845B253768CFB280D40</vt:lpwstr>
  </property>
</Properties>
</file>