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rPr>
          <w:rFonts w:ascii="Times New Roman"/>
          <w:sz w:val="19"/>
        </w:rPr>
      </w:pPr>
    </w:p>
    <w:p>
      <w:pPr>
        <w:pStyle w:val="BodyText"/>
        <w:spacing w:line="297" w:lineRule="auto" w:before="98"/>
        <w:ind w:left="100" w:right="770" w:firstLine="0"/>
      </w:pPr>
      <w:r>
        <w:rPr>
          <w:color w:val="201F1E"/>
        </w:rPr>
        <w:t>Faculty Senate encourages the University Committee on Academic Governance to:</w:t>
      </w:r>
    </w:p>
    <w:p>
      <w:pPr>
        <w:pStyle w:val="ListParagraph"/>
        <w:numPr>
          <w:ilvl w:val="0"/>
          <w:numId w:val="1"/>
        </w:numPr>
        <w:tabs>
          <w:tab w:pos="1180" w:val="left" w:leader="none"/>
        </w:tabs>
        <w:spacing w:line="300" w:lineRule="auto" w:before="87" w:after="0"/>
        <w:ind w:left="1180" w:right="229" w:hanging="360"/>
        <w:jc w:val="left"/>
        <w:rPr>
          <w:sz w:val="28"/>
        </w:rPr>
      </w:pPr>
      <w:r>
        <w:rPr/>
        <w:pict>
          <v:shape style="position:absolute;margin-left:83.88752pt;margin-top:36.869003pt;width:424.5pt;height:445pt;mso-position-horizontal-relative:page;mso-position-vertical-relative:paragraph;z-index:-251747328" coordorigin="1678,737" coordsize="8490,8900" path="m2489,5757l2420,5757,2342,5777,2268,5797,2197,5817,2130,5857,2065,5897,2004,5957,1692,6257,1682,6277,1678,6297,1679,6317,1685,6357,1700,6397,1725,6417,1760,6477,1805,6517,4807,9517,4856,9557,4899,9597,4938,9617,4971,9637,5058,9637,5350,9337,5405,9277,5451,9217,5488,9157,5495,9137,4798,9137,2179,6517,2365,6337,2424,6277,2486,6237,2552,6217,2622,6197,3492,6197,3442,6157,3368,6117,3296,6057,3155,5977,3086,5937,3019,5917,2952,5877,2869,5857,2788,5817,2634,5777,2560,5777,2489,5757xm3492,6197l2758,6197,2824,6217,2893,6237,3037,6277,3113,6317,3179,6357,3247,6397,3316,6437,3387,6477,3459,6537,3532,6577,3607,6637,3665,6677,3724,6737,3783,6777,3902,6897,3962,6937,4143,7117,4204,7177,4264,7237,4321,7297,4376,7357,4430,7417,4481,7477,4530,7537,4577,7577,4623,7637,4666,7697,4707,7737,4760,7817,4810,7877,4856,7957,4899,8017,4938,8077,4973,8137,5005,8197,5071,8337,5099,8417,5119,8497,5128,8577,5129,8657,5117,8737,5089,8817,5045,8877,4987,8957,4798,9137,5495,9137,5517,9077,5537,8997,5548,8937,5551,8857,5548,8797,5539,8717,5524,8637,5503,8557,5476,8477,5443,8397,5416,8337,5386,8277,5353,8197,5317,8137,5277,8077,5235,7997,5190,7937,5141,7857,5090,7797,4994,7657,4952,7617,4908,7557,4862,7497,4815,7437,4766,7377,4716,7337,4664,7277,4610,7217,4555,7157,4498,7097,4439,7037,4379,6977,4318,6917,4255,6837,4130,6717,4068,6677,3947,6557,3886,6497,3827,6457,3768,6397,3593,6277,3517,6217,3492,6197xm6357,8337l6286,8337,6296,8357,6346,8357,6357,8337xm6394,8317l6255,8317,6266,8337,6381,8337,6394,8317xm3794,4497l3536,4497,3478,4517,3460,4537,3441,4537,3421,4557,3401,4577,3380,4577,3357,4597,3333,4617,3308,4657,3015,4937,3005,4957,3001,4977,3002,4997,3009,5037,3023,5057,3048,5097,3083,5137,3128,5197,6245,8317,6407,8317,6420,8297,6432,8297,6443,8277,6451,8257,6458,8257,6463,8237,6466,8237,6469,8217,6470,8217,6470,8197,6468,8197,6465,8177,6460,8177,6454,8157,6447,8157,6438,8137,6428,8137,4995,6697,5118,6577,5151,6537,5187,6517,5967,6517,5944,6497,5878,6457,5815,6417,5755,6377,5697,6337,4633,6337,3499,5197,3654,5037,3680,5017,3705,4997,3728,4977,3749,4957,3770,4957,3792,4937,3836,4937,3910,4917,4518,4917,4499,4897,4443,4857,4387,4797,4332,4757,4202,4677,4075,4597,4013,4577,3938,4537,3794,4497xm7111,7597l6991,7597,7005,7617,7100,7617,7111,7597xm5967,6517l5367,6517,5420,6537,5476,6557,5535,6577,5597,6617,5661,6657,5728,6697,5798,6737,5870,6797,5945,6837,6023,6897,6943,7557,6960,7577,6976,7597,7124,7597,7137,7577,7150,7577,7165,7557,7178,7537,7188,7537,7196,7517,7202,7497,7207,7497,7209,7477,7210,7477,7210,7457,7207,7457,7204,7437,7198,7437,7191,7417,7184,7417,7175,7397,7165,7397,7153,7377,7139,7357,7122,7357,7102,7337,7077,7317,7043,7297,7002,7257,6952,7217,6086,6597,6014,6557,5967,6517xm7416,7297l7336,7297,7350,7317,7402,7317,7416,7297xm4772,3317l4613,3317,4598,3337,4583,3337,4566,3357,4551,3377,4538,3397,4526,3397,4517,3417,4510,3437,4504,3437,4500,3457,4497,3457,4497,3477,4498,3497,4501,3497,4506,3517,4512,3537,4520,3537,4530,3557,4541,3577,7206,7157,7229,7197,7251,7217,7271,7237,7289,7257,7306,7277,7321,7297,7430,7297,7444,7277,7459,7257,7473,7257,7485,7237,7495,7217,7503,7217,7508,7197,7512,7177,7514,7177,7514,7157,7513,7157,7510,7137,7506,7137,7501,7117,7495,7117,7488,7097,7479,7077,7470,7077,6773,6157,7189,5737,6463,5737,5023,3837,5463,3837,4788,3337,4772,3317xm4518,4917l3910,4917,3988,4937,4069,4957,4154,4997,4212,5037,4272,5077,4333,5137,4395,5177,4459,5237,4524,5297,4583,5357,4638,5417,4688,5477,4734,5537,4775,5597,4810,5657,4839,5717,4863,5777,4881,5837,4892,5877,4896,5937,4895,5977,4886,6037,4869,6077,4845,6117,4812,6157,4633,6337,5697,6337,5642,6317,5590,6277,5540,6257,5493,6237,5447,6217,5404,6197,5363,6197,5324,6177,5250,6177,5252,6117,5250,6057,5244,5997,5233,5937,5217,5877,5196,5817,5170,5737,5139,5677,5102,5597,5059,5537,5010,5457,4956,5377,4907,5317,4855,5257,4798,5197,4737,5137,4671,5057,4613,4997,4556,4957,4518,4917xm8404,6297l8333,6297,8343,6317,8393,6317,8404,6297xm7811,5577l7347,5577,8285,6277,8298,6277,8311,6297,8428,6297,8441,6277,8456,6257,8472,6257,8487,6237,8500,6217,8511,6197,8519,6197,8525,6177,8528,6157,8528,6157,8524,6137,8518,6117,8508,6117,8495,6097,8479,6077,8459,6057,8436,6037,8409,6017,8378,5997,7811,5577xm8830,5877l8712,5877,8722,5897,8817,5897,8830,5877xm6140,1877l6088,1877,5462,2497,5453,2517,5448,2537,5450,2557,5456,2577,5471,2617,5495,2657,5531,2697,5576,2737,8693,5857,8702,5877,8842,5877,8855,5857,8868,5857,8880,5837,8891,5837,8899,5817,8906,5797,8911,5797,8914,5777,8917,5777,8918,5757,8918,5757,8916,5737,8912,5737,8907,5717,8900,5717,8893,5697,8885,5697,8876,5677,7474,4277,7856,3897,7102,3897,5957,2757,6467,2257,6469,2237,6466,2237,6464,2217,6460,2217,6454,2197,6446,2177,6437,2177,6425,2157,6411,2137,6395,2117,6377,2097,6357,2077,6335,2057,6311,2037,6287,2017,6264,1977,6243,1957,6222,1957,6203,1937,6185,1917,6169,1897,6153,1897,6140,1877xm5463,3837l5024,3837,6943,5257,6463,5737,7189,5737,7347,5577,7811,5577,5463,3837xm10067,4637l9982,4637,9992,4657,10055,4657,10067,4637xm7386,1697l7023,1697,9942,4617,9952,4617,9962,4637,10091,4637,10104,4617,10117,4597,10129,4597,10139,4577,10148,4557,10154,4557,10159,4537,10163,4537,10166,4517,10167,4517,10167,4497,10165,4497,10162,4477,10157,4477,10151,4457,10144,4457,10135,4437,10125,4437,7386,1697xm3660,4477l3597,4497,3726,4497,3660,4477xm7611,3417l7584,3417,7102,3897,7856,3897,7956,3797,7957,3777,7954,3777,7951,3757,7946,3757,7940,3737,7932,3737,7923,3717,7912,3697,7898,3677,7883,3657,7865,3637,7846,3617,7824,3597,7800,3577,7774,3557,7750,3537,7728,3497,7708,3497,7690,3477,7674,3457,7659,3457,7645,3437,7621,3437,7611,3417xm4742,3297l4639,3297,4626,3317,4757,3317,4742,3297xm4689,3277l4677,3277,4665,3297,4702,3297,4689,3277xm7260,737l7220,737,6255,1697,6249,1717,6248,1717,6250,1737,6253,1737,6258,1757,6264,1757,6273,1777,6283,1797,6296,1797,6310,1817,6327,1837,6345,1857,6366,1877,6388,1917,6435,1957,6458,1977,6480,1997,6500,2017,6519,2037,6536,2037,6551,2057,6565,2057,6578,2077,6600,2077,6609,2097,6629,2097,7023,1697,7386,1697,7206,1517,7600,1117,7602,1117,7599,1097,7597,1097,7592,1077,7586,1057,7579,1057,7569,1037,7557,1017,7543,997,7527,997,7509,977,7489,937,7467,917,7443,897,7419,877,7396,857,7374,837,7354,817,7335,797,7317,777,7301,777,7286,757,7272,757,7260,737xe" filled="true" fillcolor="#c0c0c0" stroked="false">
            <v:path arrowok="t"/>
            <v:fill opacity="32768f" type="solid"/>
            <w10:wrap type="none"/>
          </v:shape>
        </w:pict>
      </w:r>
      <w:r>
        <w:rPr>
          <w:color w:val="201F1E"/>
          <w:sz w:val="28"/>
        </w:rPr>
        <w:t>In coordination with the Secretary for Academic Governance, better publicize the process of academic governance and how people are elected or appointed to academic governance</w:t>
      </w:r>
      <w:r>
        <w:rPr>
          <w:color w:val="201F1E"/>
          <w:spacing w:val="-36"/>
          <w:sz w:val="28"/>
        </w:rPr>
        <w:t> </w:t>
      </w:r>
      <w:r>
        <w:rPr>
          <w:color w:val="201F1E"/>
          <w:sz w:val="28"/>
        </w:rPr>
        <w:t>bodies;</w:t>
      </w:r>
    </w:p>
    <w:p>
      <w:pPr>
        <w:pStyle w:val="ListParagraph"/>
        <w:numPr>
          <w:ilvl w:val="0"/>
          <w:numId w:val="1"/>
        </w:numPr>
        <w:tabs>
          <w:tab w:pos="1180" w:val="left" w:leader="none"/>
        </w:tabs>
        <w:spacing w:line="300" w:lineRule="auto" w:before="0" w:after="0"/>
        <w:ind w:left="1180" w:right="201" w:hanging="360"/>
        <w:jc w:val="left"/>
        <w:rPr>
          <w:sz w:val="28"/>
        </w:rPr>
      </w:pPr>
      <w:r>
        <w:rPr>
          <w:color w:val="201F1E"/>
          <w:sz w:val="28"/>
        </w:rPr>
        <w:t>Ask candidates to provide a Diversity, Equity, and Inclusion (DEI) statement as part of the application materials for service on academic governance bodies;</w:t>
      </w:r>
      <w:r>
        <w:rPr>
          <w:color w:val="201F1E"/>
          <w:spacing w:val="-2"/>
          <w:sz w:val="28"/>
        </w:rPr>
        <w:t> </w:t>
      </w:r>
      <w:r>
        <w:rPr>
          <w:color w:val="201F1E"/>
          <w:sz w:val="28"/>
        </w:rPr>
        <w:t>and</w:t>
      </w:r>
    </w:p>
    <w:p>
      <w:pPr>
        <w:pStyle w:val="ListParagraph"/>
        <w:numPr>
          <w:ilvl w:val="0"/>
          <w:numId w:val="1"/>
        </w:numPr>
        <w:tabs>
          <w:tab w:pos="1180" w:val="left" w:leader="none"/>
        </w:tabs>
        <w:spacing w:line="297" w:lineRule="auto" w:before="0" w:after="0"/>
        <w:ind w:left="1180" w:right="139" w:hanging="360"/>
        <w:jc w:val="left"/>
        <w:rPr>
          <w:sz w:val="28"/>
        </w:rPr>
      </w:pPr>
      <w:r>
        <w:rPr>
          <w:color w:val="201F1E"/>
          <w:sz w:val="28"/>
        </w:rPr>
        <w:t>Explore the creation of a university standing committee on DEI charged with advancing DEI within academic</w:t>
      </w:r>
      <w:r>
        <w:rPr>
          <w:color w:val="201F1E"/>
          <w:spacing w:val="-14"/>
          <w:sz w:val="28"/>
        </w:rPr>
        <w:t> </w:t>
      </w:r>
      <w:r>
        <w:rPr>
          <w:color w:val="201F1E"/>
          <w:sz w:val="28"/>
        </w:rPr>
        <w:t>governance.</w:t>
      </w:r>
    </w:p>
    <w:p>
      <w:pPr>
        <w:pStyle w:val="BodyText"/>
        <w:ind w:left="0" w:firstLine="0"/>
        <w:rPr>
          <w:sz w:val="32"/>
        </w:rPr>
      </w:pPr>
    </w:p>
    <w:p>
      <w:pPr>
        <w:pStyle w:val="Heading1"/>
        <w:spacing w:line="355" w:lineRule="auto" w:before="202"/>
      </w:pPr>
      <w:r>
        <w:rPr/>
        <w:t>Introduced by A. Kepsel Approved:</w:t>
      </w:r>
    </w:p>
    <w:p>
      <w:pPr>
        <w:spacing w:after="0" w:line="355" w:lineRule="auto"/>
        <w:sectPr>
          <w:headerReference w:type="default" r:id="rId5"/>
          <w:type w:val="continuous"/>
          <w:pgSz w:w="12240" w:h="15840"/>
          <w:pgMar w:header="300" w:top="2000" w:bottom="280" w:left="1340" w:right="1360"/>
        </w:sectPr>
      </w:pPr>
    </w:p>
    <w:p>
      <w:pPr>
        <w:pStyle w:val="BodyText"/>
        <w:spacing w:before="7"/>
        <w:ind w:left="0" w:firstLine="0"/>
        <w:rPr>
          <w:b/>
          <w:sz w:val="18"/>
        </w:rPr>
      </w:pPr>
    </w:p>
    <w:p>
      <w:pPr>
        <w:pStyle w:val="BodyText"/>
        <w:spacing w:before="98"/>
        <w:ind w:left="100" w:firstLine="0"/>
      </w:pPr>
      <w:r>
        <w:rPr>
          <w:color w:val="201F1E"/>
        </w:rPr>
        <w:t>Faculty Senate encourages the faculty of Michigan State University to:</w:t>
      </w:r>
    </w:p>
    <w:p>
      <w:pPr>
        <w:pStyle w:val="ListParagraph"/>
        <w:numPr>
          <w:ilvl w:val="0"/>
          <w:numId w:val="2"/>
        </w:numPr>
        <w:tabs>
          <w:tab w:pos="1180" w:val="left" w:leader="none"/>
        </w:tabs>
        <w:spacing w:line="276" w:lineRule="auto" w:before="163" w:after="0"/>
        <w:ind w:left="1180" w:right="292" w:hanging="360"/>
        <w:jc w:val="left"/>
        <w:rPr>
          <w:sz w:val="28"/>
        </w:rPr>
      </w:pPr>
      <w:r>
        <w:rPr/>
        <w:pict>
          <v:shape style="position:absolute;margin-left:83.88752pt;margin-top:61.788998pt;width:424.5pt;height:445pt;mso-position-horizontal-relative:page;mso-position-vertical-relative:paragraph;z-index:-251746304" coordorigin="1678,1236" coordsize="8490,8900" path="m2489,6256l2420,6256,2342,6276,2268,6296,2197,6316,2130,6356,2065,6396,2004,6456,1692,6756,1682,6776,1678,6796,1679,6816,1685,6856,1700,6896,1725,6916,1760,6976,1805,7016,4807,10016,4856,10056,4899,10096,4938,10116,4971,10136,5058,10136,5350,9836,5405,9776,5451,9716,5488,9656,5495,9636,4798,9636,2179,7016,2365,6836,2424,6776,2486,6736,2552,6716,2622,6696,3492,6696,3442,6656,3368,6616,3296,6556,3155,6476,3086,6436,3019,6416,2952,6376,2869,6356,2788,6316,2634,6276,2560,6276,2489,6256xm3492,6696l2758,6696,2824,6716,2893,6736,3037,6776,3113,6816,3179,6856,3247,6896,3316,6936,3387,6976,3459,7036,3532,7076,3607,7136,3665,7176,3724,7236,3783,7276,3902,7396,3962,7436,4143,7616,4204,7676,4264,7736,4321,7796,4376,7856,4430,7916,4481,7976,4530,8036,4577,8076,4623,8136,4666,8196,4707,8236,4760,8316,4810,8376,4856,8456,4899,8516,4938,8576,4973,8636,5005,8696,5071,8836,5099,8916,5119,8996,5128,9076,5129,9156,5117,9236,5089,9316,5045,9376,4987,9456,4798,9636,5495,9636,5517,9576,5537,9496,5548,9436,5551,9356,5548,9296,5539,9216,5524,9136,5503,9056,5476,8976,5443,8896,5416,8836,5386,8776,5353,8696,5317,8636,5277,8576,5235,8496,5190,8436,5141,8356,5090,8296,4994,8156,4952,8116,4908,8056,4862,7996,4815,7936,4766,7876,4716,7836,4664,7776,4610,7716,4555,7656,4498,7596,4439,7536,4379,7476,4318,7416,4255,7336,4130,7216,4068,7176,3947,7056,3886,6996,3827,6956,3768,6896,3593,6776,3517,6716,3492,6696xm6357,8836l6286,8836,6296,8856,6346,8856,6357,8836xm6394,8816l6255,8816,6266,8836,6381,8836,6394,8816xm3794,4996l3536,4996,3478,5016,3460,5036,3441,5036,3421,5056,3401,5076,3380,5076,3357,5096,3333,5116,3308,5156,3015,5436,3005,5456,3001,5476,3002,5496,3009,5536,3023,5556,3048,5596,3083,5636,3128,5696,6245,8816,6407,8816,6420,8796,6432,8796,6443,8776,6451,8756,6458,8756,6463,8736,6466,8736,6469,8716,6470,8716,6470,8696,6468,8696,6465,8676,6460,8676,6454,8656,6447,8656,6438,8636,6428,8636,4995,7196,5118,7076,5151,7036,5187,7016,5967,7016,5944,6996,5878,6956,5815,6916,5755,6876,5697,6836,4633,6836,3499,5696,3654,5536,3680,5516,3705,5496,3728,5476,3749,5456,3770,5456,3792,5436,3836,5436,3910,5416,4518,5416,4499,5396,4443,5356,4387,5296,4332,5256,4202,5176,4075,5096,4013,5076,3938,5036,3794,4996xm7111,8096l6991,8096,7005,8116,7100,8116,7111,8096xm5967,7016l5367,7016,5420,7036,5476,7056,5535,7076,5597,7116,5661,7156,5728,7196,5798,7236,5870,7296,5945,7336,6023,7396,6943,8056,6960,8076,6976,8096,7124,8096,7137,8076,7150,8076,7165,8056,7178,8036,7188,8036,7196,8016,7202,7996,7207,7996,7209,7976,7210,7976,7210,7956,7207,7956,7204,7936,7198,7936,7191,7916,7184,7916,7175,7896,7165,7896,7153,7876,7139,7856,7122,7856,7102,7836,7077,7816,7043,7796,7002,7756,6952,7716,6086,7096,6014,7056,5967,7016xm7416,7796l7336,7796,7350,7816,7402,7816,7416,7796xm4772,3816l4613,3816,4598,3836,4583,3836,4566,3856,4551,3876,4538,3896,4526,3896,4517,3916,4510,3936,4504,3936,4500,3956,4497,3956,4497,3976,4498,3996,4501,3996,4506,4016,4512,4036,4520,4036,4530,4056,4541,4076,7206,7656,7229,7696,7251,7716,7271,7736,7289,7756,7306,7776,7321,7796,7430,7796,7444,7776,7459,7756,7473,7756,7485,7736,7495,7716,7503,7716,7508,7696,7512,7676,7514,7676,7514,7656,7513,7656,7510,7636,7506,7636,7501,7616,7495,7616,7488,7596,7479,7576,7470,7576,6773,6656,7189,6236,6463,6236,5023,4336,5463,4336,4788,3836,4772,3816xm4518,5416l3910,5416,3988,5436,4069,5456,4154,5496,4212,5536,4272,5576,4333,5636,4395,5676,4459,5736,4524,5796,4583,5856,4638,5916,4688,5976,4734,6036,4775,6096,4810,6156,4839,6216,4863,6276,4881,6336,4892,6376,4896,6436,4895,6476,4886,6536,4869,6576,4845,6616,4812,6656,4633,6836,5697,6836,5642,6816,5590,6776,5540,6756,5493,6736,5447,6716,5404,6696,5363,6696,5324,6676,5250,6676,5252,6616,5250,6556,5244,6496,5233,6436,5217,6376,5196,6316,5170,6236,5139,6176,5102,6096,5059,6036,5010,5956,4956,5876,4907,5816,4855,5756,4798,5696,4737,5636,4671,5556,4613,5496,4556,5456,4518,5416xm8404,6796l8333,6796,8343,6816,8393,6816,8404,6796xm7811,6076l7347,6076,8285,6776,8298,6776,8311,6796,8428,6796,8441,6776,8456,6756,8472,6756,8487,6736,8500,6716,8511,6696,8519,6696,8525,6676,8528,6656,8528,6656,8524,6636,8518,6616,8508,6616,8495,6596,8479,6576,8459,6556,8436,6536,8409,6516,8378,6496,7811,6076xm8830,6376l8712,6376,8722,6396,8817,6396,8830,6376xm6140,2376l6088,2376,5462,2996,5453,3016,5448,3036,5450,3056,5456,3076,5471,3116,5495,3156,5531,3196,5576,3236,8693,6356,8702,6376,8842,6376,8855,6356,8868,6356,8880,6336,8891,6336,8899,6316,8906,6296,8911,6296,8914,6276,8917,6276,8918,6256,8918,6256,8916,6236,8912,6236,8907,6216,8900,6216,8893,6196,8885,6196,8876,6176,7474,4776,7856,4396,7102,4396,5957,3256,6467,2756,6469,2736,6466,2736,6464,2716,6460,2716,6454,2696,6446,2676,6437,2676,6425,2656,6411,2636,6395,2616,6377,2596,6357,2576,6335,2556,6311,2536,6287,2516,6264,2476,6243,2456,6222,2456,6203,2436,6185,2416,6169,2396,6153,2396,6140,2376xm5463,4336l5024,4336,6943,5756,6463,6236,7189,6236,7347,6076,7811,6076,5463,4336xm10067,5136l9982,5136,9992,5156,10055,5156,10067,5136xm7386,2196l7023,2196,9942,5116,9952,5116,9962,5136,10091,5136,10104,5116,10117,5096,10129,5096,10139,5076,10148,5056,10154,5056,10159,5036,10163,5036,10166,5016,10167,5016,10167,4996,10165,4996,10162,4976,10157,4976,10151,4956,10144,4956,10135,4936,10125,4936,7386,2196xm3660,4976l3597,4996,3726,4996,3660,4976xm7611,3916l7584,3916,7102,4396,7856,4396,7956,4296,7957,4276,7954,4276,7951,4256,7946,4256,7940,4236,7932,4236,7923,4216,7912,4196,7898,4176,7883,4156,7865,4136,7846,4116,7824,4096,7800,4076,7774,4056,7750,4036,7728,3996,7708,3996,7690,3976,7674,3956,7659,3956,7645,3936,7621,3936,7611,3916xm4742,3796l4639,3796,4626,3816,4757,3816,4742,3796xm4689,3776l4677,3776,4665,3796,4702,3796,4689,3776xm7260,1236l7220,1236,6255,2196,6249,2216,6248,2216,6250,2236,6253,2236,6258,2256,6264,2256,6273,2276,6283,2296,6296,2296,6310,2316,6327,2336,6345,2356,6366,2376,6388,2416,6435,2456,6458,2476,6480,2496,6500,2516,6519,2536,6536,2536,6551,2556,6565,2556,6578,2576,6600,2576,6609,2596,6629,2596,7023,2196,7386,2196,7206,2016,7600,1616,7602,1616,7599,1596,7597,1596,7592,1576,7586,1556,7579,1556,7569,1536,7557,1516,7543,1496,7527,1496,7509,1476,7489,1436,7467,1416,7443,1396,7419,1376,7396,1356,7374,1336,7354,1316,7335,1296,7317,1276,7301,1276,7286,1256,7272,1256,7260,1236xe" filled="true" fillcolor="#c0c0c0" stroked="false">
            <v:path arrowok="t"/>
            <v:fill opacity="32768f" type="solid"/>
            <w10:wrap type="none"/>
          </v:shape>
        </w:pict>
      </w:r>
      <w:r>
        <w:rPr>
          <w:color w:val="201F1E"/>
          <w:sz w:val="28"/>
        </w:rPr>
        <w:t>Incorporate diversity, equity, and inclusion into their</w:t>
      </w:r>
      <w:r>
        <w:rPr>
          <w:color w:val="201F1E"/>
          <w:spacing w:val="-32"/>
          <w:sz w:val="28"/>
        </w:rPr>
        <w:t> </w:t>
      </w:r>
      <w:r>
        <w:rPr>
          <w:color w:val="201F1E"/>
          <w:sz w:val="28"/>
        </w:rPr>
        <w:t>teaching practices by diversifying readings, case studies, and examples to amplify the voices of women and Black, Indigenous, and people of color (BIPOC), reducing the cost of textbooks and other required class material as much as possible, and removing other barriers to the classroom, including accessibility;</w:t>
      </w:r>
      <w:r>
        <w:rPr>
          <w:color w:val="201F1E"/>
          <w:spacing w:val="-1"/>
          <w:sz w:val="28"/>
        </w:rPr>
        <w:t> </w:t>
      </w:r>
      <w:r>
        <w:rPr>
          <w:color w:val="201F1E"/>
          <w:sz w:val="28"/>
        </w:rPr>
        <w:t>and</w:t>
      </w:r>
    </w:p>
    <w:p>
      <w:pPr>
        <w:pStyle w:val="ListParagraph"/>
        <w:numPr>
          <w:ilvl w:val="0"/>
          <w:numId w:val="2"/>
        </w:numPr>
        <w:tabs>
          <w:tab w:pos="1180" w:val="left" w:leader="none"/>
        </w:tabs>
        <w:spacing w:line="276" w:lineRule="auto" w:before="2" w:after="0"/>
        <w:ind w:left="1180" w:right="372" w:hanging="360"/>
        <w:jc w:val="left"/>
        <w:rPr>
          <w:sz w:val="28"/>
        </w:rPr>
      </w:pPr>
      <w:r>
        <w:rPr>
          <w:color w:val="201F1E"/>
          <w:sz w:val="28"/>
        </w:rPr>
        <w:t>Commit to personal development on DEI issues by reading materials from underrepresented authors, participating in trainings on DEI and implicit bias, listening to recommendations from BIPOC, and examining how their own actions and beliefs are part of the</w:t>
      </w:r>
      <w:r>
        <w:rPr>
          <w:color w:val="201F1E"/>
          <w:spacing w:val="-5"/>
          <w:sz w:val="28"/>
        </w:rPr>
        <w:t> </w:t>
      </w:r>
      <w:r>
        <w:rPr>
          <w:color w:val="201F1E"/>
          <w:sz w:val="28"/>
        </w:rPr>
        <w:t>problem.</w:t>
      </w:r>
    </w:p>
    <w:p>
      <w:pPr>
        <w:pStyle w:val="BodyText"/>
        <w:spacing w:before="5"/>
        <w:ind w:left="0" w:firstLine="0"/>
        <w:rPr>
          <w:sz w:val="41"/>
        </w:rPr>
      </w:pPr>
    </w:p>
    <w:p>
      <w:pPr>
        <w:pStyle w:val="Heading1"/>
        <w:spacing w:line="355" w:lineRule="auto"/>
      </w:pPr>
      <w:r>
        <w:rPr/>
        <w:t>Introduced by A. Kepsel Approved:</w:t>
      </w:r>
    </w:p>
    <w:p>
      <w:pPr>
        <w:spacing w:after="0" w:line="355" w:lineRule="auto"/>
        <w:sectPr>
          <w:pgSz w:w="12240" w:h="15840"/>
          <w:pgMar w:header="300" w:footer="0" w:top="2000" w:bottom="280" w:left="1340" w:right="1360"/>
        </w:sectPr>
      </w:pPr>
    </w:p>
    <w:p>
      <w:pPr>
        <w:pStyle w:val="BodyText"/>
        <w:spacing w:before="7"/>
        <w:ind w:left="0" w:firstLine="0"/>
        <w:rPr>
          <w:b/>
          <w:sz w:val="18"/>
        </w:rPr>
      </w:pPr>
    </w:p>
    <w:p>
      <w:pPr>
        <w:pStyle w:val="BodyText"/>
        <w:spacing w:line="297" w:lineRule="auto" w:before="98"/>
        <w:ind w:left="100" w:right="168" w:firstLine="0"/>
      </w:pPr>
      <w:r>
        <w:rPr>
          <w:color w:val="201F1E"/>
        </w:rPr>
        <w:t>Faculty Senate encourages colleges and departments at Michigan State University to:</w:t>
      </w:r>
    </w:p>
    <w:p>
      <w:pPr>
        <w:pStyle w:val="ListParagraph"/>
        <w:numPr>
          <w:ilvl w:val="0"/>
          <w:numId w:val="3"/>
        </w:numPr>
        <w:tabs>
          <w:tab w:pos="1180" w:val="left" w:leader="none"/>
        </w:tabs>
        <w:spacing w:line="276" w:lineRule="auto" w:before="87" w:after="0"/>
        <w:ind w:left="1180" w:right="585" w:hanging="360"/>
        <w:jc w:val="left"/>
        <w:rPr>
          <w:sz w:val="28"/>
        </w:rPr>
      </w:pPr>
      <w:r>
        <w:rPr/>
        <w:pict>
          <v:shape style="position:absolute;margin-left:83.88752pt;margin-top:36.869003pt;width:424.5pt;height:445pt;mso-position-horizontal-relative:page;mso-position-vertical-relative:paragraph;z-index:-251745280" coordorigin="1678,737" coordsize="8490,8900" path="m2489,5757l2420,5757,2342,5777,2268,5797,2197,5817,2130,5857,2065,5897,2004,5957,1692,6257,1682,6277,1678,6297,1679,6317,1685,6357,1700,6397,1725,6417,1760,6477,1805,6517,4807,9517,4856,9557,4899,9597,4938,9617,4971,9637,5058,9637,5350,9337,5405,9277,5451,9217,5488,9157,5495,9137,4798,9137,2179,6517,2365,6337,2424,6277,2486,6237,2552,6217,2622,6197,3492,6197,3442,6157,3368,6117,3296,6057,3155,5977,3086,5937,3019,5917,2952,5877,2869,5857,2788,5817,2634,5777,2560,5777,2489,5757xm3492,6197l2758,6197,2824,6217,2893,6237,3037,6277,3113,6317,3179,6357,3247,6397,3316,6437,3387,6477,3459,6537,3532,6577,3607,6637,3665,6677,3724,6737,3783,6777,3902,6897,3962,6937,4143,7117,4204,7177,4264,7237,4321,7297,4376,7357,4430,7417,4481,7477,4530,7537,4577,7577,4623,7637,4666,7697,4707,7737,4760,7817,4810,7877,4856,7957,4899,8017,4938,8077,4973,8137,5005,8197,5071,8337,5099,8417,5119,8497,5128,8577,5129,8657,5117,8737,5089,8817,5045,8877,4987,8957,4798,9137,5495,9137,5517,9077,5537,8997,5548,8937,5551,8857,5548,8797,5539,8717,5524,8637,5503,8557,5476,8477,5443,8397,5416,8337,5386,8277,5353,8197,5317,8137,5277,8077,5235,7997,5190,7937,5141,7857,5090,7797,4994,7657,4952,7617,4908,7557,4862,7497,4815,7437,4766,7377,4716,7337,4664,7277,4610,7217,4555,7157,4498,7097,4439,7037,4379,6977,4318,6917,4255,6837,4130,6717,4068,6677,3947,6557,3886,6497,3827,6457,3768,6397,3593,6277,3517,6217,3492,6197xm6357,8337l6286,8337,6296,8357,6346,8357,6357,8337xm6394,8317l6255,8317,6266,8337,6381,8337,6394,8317xm3794,4497l3536,4497,3478,4517,3460,4537,3441,4537,3421,4557,3401,4577,3380,4577,3357,4597,3333,4617,3308,4657,3015,4937,3005,4957,3001,4977,3002,4997,3009,5037,3023,5057,3048,5097,3083,5137,3128,5197,6245,8317,6407,8317,6420,8297,6432,8297,6443,8277,6451,8257,6458,8257,6463,8237,6466,8237,6469,8217,6470,8217,6470,8197,6468,8197,6465,8177,6460,8177,6454,8157,6447,8157,6438,8137,6428,8137,4995,6697,5118,6577,5151,6537,5187,6517,5967,6517,5944,6497,5878,6457,5815,6417,5755,6377,5697,6337,4633,6337,3499,5197,3654,5037,3680,5017,3705,4997,3728,4977,3749,4957,3770,4957,3792,4937,3836,4937,3910,4917,4518,4917,4499,4897,4443,4857,4387,4797,4332,4757,4202,4677,4075,4597,4013,4577,3938,4537,3794,4497xm7111,7597l6991,7597,7005,7617,7100,7617,7111,7597xm5967,6517l5367,6517,5420,6537,5476,6557,5535,6577,5597,6617,5661,6657,5728,6697,5798,6737,5870,6797,5945,6837,6023,6897,6943,7557,6960,7577,6976,7597,7124,7597,7137,7577,7150,7577,7165,7557,7178,7537,7188,7537,7196,7517,7202,7497,7207,7497,7209,7477,7210,7477,7210,7457,7207,7457,7204,7437,7198,7437,7191,7417,7184,7417,7175,7397,7165,7397,7153,7377,7139,7357,7122,7357,7102,7337,7077,7317,7043,7297,7002,7257,6952,7217,6086,6597,6014,6557,5967,6517xm7416,7297l7336,7297,7350,7317,7402,7317,7416,7297xm4772,3317l4613,3317,4598,3337,4583,3337,4566,3357,4551,3377,4538,3397,4526,3397,4517,3417,4510,3437,4504,3437,4500,3457,4497,3457,4497,3477,4498,3497,4501,3497,4506,3517,4512,3537,4520,3537,4530,3557,4541,3577,7206,7157,7229,7197,7251,7217,7271,7237,7289,7257,7306,7277,7321,7297,7430,7297,7444,7277,7459,7257,7473,7257,7485,7237,7495,7217,7503,7217,7508,7197,7512,7177,7514,7177,7514,7157,7513,7157,7510,7137,7506,7137,7501,7117,7495,7117,7488,7097,7479,7077,7470,7077,6773,6157,7189,5737,6463,5737,5023,3837,5463,3837,4788,3337,4772,3317xm4518,4917l3910,4917,3988,4937,4069,4957,4154,4997,4212,5037,4272,5077,4333,5137,4395,5177,4459,5237,4524,5297,4583,5357,4638,5417,4688,5477,4734,5537,4775,5597,4810,5657,4839,5717,4863,5777,4881,5837,4892,5877,4896,5937,4895,5977,4886,6037,4869,6077,4845,6117,4812,6157,4633,6337,5697,6337,5642,6317,5590,6277,5540,6257,5493,6237,5447,6217,5404,6197,5363,6197,5324,6177,5250,6177,5252,6117,5250,6057,5244,5997,5233,5937,5217,5877,5196,5817,5170,5737,5139,5677,5102,5597,5059,5537,5010,5457,4956,5377,4907,5317,4855,5257,4798,5197,4737,5137,4671,5057,4613,4997,4556,4957,4518,4917xm8404,6297l8333,6297,8343,6317,8393,6317,8404,6297xm7811,5577l7347,5577,8285,6277,8298,6277,8311,6297,8428,6297,8441,6277,8456,6257,8472,6257,8487,6237,8500,6217,8511,6197,8519,6197,8525,6177,8528,6157,8528,6157,8524,6137,8518,6117,8508,6117,8495,6097,8479,6077,8459,6057,8436,6037,8409,6017,8378,5997,7811,5577xm8830,5877l8712,5877,8722,5897,8817,5897,8830,5877xm6140,1877l6088,1877,5462,2497,5453,2517,5448,2537,5450,2557,5456,2577,5471,2617,5495,2657,5531,2697,5576,2737,8693,5857,8702,5877,8842,5877,8855,5857,8868,5857,8880,5837,8891,5837,8899,5817,8906,5797,8911,5797,8914,5777,8917,5777,8918,5757,8918,5757,8916,5737,8912,5737,8907,5717,8900,5717,8893,5697,8885,5697,8876,5677,7474,4277,7856,3897,7102,3897,5957,2757,6467,2257,6469,2237,6466,2237,6464,2217,6460,2217,6454,2197,6446,2177,6437,2177,6425,2157,6411,2137,6395,2117,6377,2097,6357,2077,6335,2057,6311,2037,6287,2017,6264,1977,6243,1957,6222,1957,6203,1937,6185,1917,6169,1897,6153,1897,6140,1877xm5463,3837l5024,3837,6943,5257,6463,5737,7189,5737,7347,5577,7811,5577,5463,3837xm10067,4637l9982,4637,9992,4657,10055,4657,10067,4637xm7386,1697l7023,1697,9942,4617,9952,4617,9962,4637,10091,4637,10104,4617,10117,4597,10129,4597,10139,4577,10148,4557,10154,4557,10159,4537,10163,4537,10166,4517,10167,4517,10167,4497,10165,4497,10162,4477,10157,4477,10151,4457,10144,4457,10135,4437,10125,4437,7386,1697xm3660,4477l3597,4497,3726,4497,3660,4477xm7611,3417l7584,3417,7102,3897,7856,3897,7956,3797,7957,3777,7954,3777,7951,3757,7946,3757,7940,3737,7932,3737,7923,3717,7912,3697,7898,3677,7883,3657,7865,3637,7846,3617,7824,3597,7800,3577,7774,3557,7750,3537,7728,3497,7708,3497,7690,3477,7674,3457,7659,3457,7645,3437,7621,3437,7611,3417xm4742,3297l4639,3297,4626,3317,4757,3317,4742,3297xm4689,3277l4677,3277,4665,3297,4702,3297,4689,3277xm7260,737l7220,737,6255,1697,6249,1717,6248,1717,6250,1737,6253,1737,6258,1757,6264,1757,6273,1777,6283,1797,6296,1797,6310,1817,6327,1837,6345,1857,6366,1877,6388,1917,6435,1957,6458,1977,6480,1997,6500,2017,6519,2037,6536,2037,6551,2057,6565,2057,6578,2077,6600,2077,6609,2097,6629,2097,7023,1697,7386,1697,7206,1517,7600,1117,7602,1117,7599,1097,7597,1097,7592,1077,7586,1057,7579,1057,7569,1037,7557,1017,7543,997,7527,997,7509,977,7489,937,7467,917,7443,897,7419,877,7396,857,7374,837,7354,817,7335,797,7317,777,7301,777,7286,757,7272,757,7260,737xe" filled="true" fillcolor="#c0c0c0" stroked="false">
            <v:path arrowok="t"/>
            <v:fill opacity="32768f" type="solid"/>
            <w10:wrap type="none"/>
          </v:shape>
        </w:pict>
      </w:r>
      <w:r>
        <w:rPr>
          <w:color w:val="201F1E"/>
          <w:sz w:val="28"/>
        </w:rPr>
        <w:t>Consider changing college/department bylaws to strengthen diversity, equity and inclusion in the hiring process, such as including at least one person from outside the college/department on search</w:t>
      </w:r>
      <w:r>
        <w:rPr>
          <w:color w:val="201F1E"/>
          <w:spacing w:val="-3"/>
          <w:sz w:val="28"/>
        </w:rPr>
        <w:t> </w:t>
      </w:r>
      <w:r>
        <w:rPr>
          <w:color w:val="201F1E"/>
          <w:sz w:val="28"/>
        </w:rPr>
        <w:t>committees;</w:t>
      </w:r>
    </w:p>
    <w:p>
      <w:pPr>
        <w:pStyle w:val="ListParagraph"/>
        <w:numPr>
          <w:ilvl w:val="0"/>
          <w:numId w:val="3"/>
        </w:numPr>
        <w:tabs>
          <w:tab w:pos="1180" w:val="left" w:leader="none"/>
        </w:tabs>
        <w:spacing w:line="276" w:lineRule="auto" w:before="0" w:after="0"/>
        <w:ind w:left="1180" w:right="306" w:hanging="360"/>
        <w:jc w:val="left"/>
        <w:rPr>
          <w:sz w:val="28"/>
        </w:rPr>
      </w:pPr>
      <w:r>
        <w:rPr>
          <w:color w:val="201F1E"/>
          <w:sz w:val="28"/>
        </w:rPr>
        <w:t>Clearly identify, state, and publicize their efforts around DEI initiatives and regularly have those initiatives reviewed by third parties such as the Office for Inclusion and Intercultural Initiatives;</w:t>
      </w:r>
    </w:p>
    <w:p>
      <w:pPr>
        <w:pStyle w:val="ListParagraph"/>
        <w:numPr>
          <w:ilvl w:val="0"/>
          <w:numId w:val="3"/>
        </w:numPr>
        <w:tabs>
          <w:tab w:pos="1180" w:val="left" w:leader="none"/>
        </w:tabs>
        <w:spacing w:line="276" w:lineRule="auto" w:before="0" w:after="0"/>
        <w:ind w:left="1180" w:right="110" w:hanging="360"/>
        <w:jc w:val="left"/>
        <w:rPr>
          <w:sz w:val="28"/>
        </w:rPr>
      </w:pPr>
      <w:r>
        <w:rPr>
          <w:color w:val="201F1E"/>
          <w:sz w:val="28"/>
        </w:rPr>
        <w:t>Conduct exit interviews when faculty and staff leave the</w:t>
      </w:r>
      <w:r>
        <w:rPr>
          <w:color w:val="201F1E"/>
          <w:spacing w:val="-31"/>
          <w:sz w:val="28"/>
        </w:rPr>
        <w:t> </w:t>
      </w:r>
      <w:r>
        <w:rPr>
          <w:color w:val="201F1E"/>
          <w:sz w:val="28"/>
        </w:rPr>
        <w:t>college or department to ensure that employees are leaving for better opportunities rather than as a result of a culture that is hostile to their individual identities;</w:t>
      </w:r>
      <w:r>
        <w:rPr>
          <w:color w:val="201F1E"/>
          <w:spacing w:val="-2"/>
          <w:sz w:val="28"/>
        </w:rPr>
        <w:t> </w:t>
      </w:r>
      <w:r>
        <w:rPr>
          <w:color w:val="201F1E"/>
          <w:sz w:val="28"/>
        </w:rPr>
        <w:t>and</w:t>
      </w:r>
    </w:p>
    <w:p>
      <w:pPr>
        <w:pStyle w:val="ListParagraph"/>
        <w:numPr>
          <w:ilvl w:val="0"/>
          <w:numId w:val="3"/>
        </w:numPr>
        <w:tabs>
          <w:tab w:pos="1180" w:val="left" w:leader="none"/>
        </w:tabs>
        <w:spacing w:line="300" w:lineRule="auto" w:before="0" w:after="0"/>
        <w:ind w:left="1180" w:right="178" w:hanging="360"/>
        <w:jc w:val="left"/>
        <w:rPr>
          <w:color w:val="201F1E"/>
          <w:sz w:val="28"/>
        </w:rPr>
      </w:pPr>
      <w:r>
        <w:rPr>
          <w:color w:val="201F1E"/>
          <w:sz w:val="28"/>
        </w:rPr>
        <w:t>Consider how language about whether a candidate is the</w:t>
      </w:r>
      <w:r>
        <w:rPr>
          <w:color w:val="201F1E"/>
          <w:spacing w:val="-27"/>
          <w:sz w:val="28"/>
        </w:rPr>
        <w:t> </w:t>
      </w:r>
      <w:r>
        <w:rPr>
          <w:color w:val="201F1E"/>
          <w:sz w:val="28"/>
        </w:rPr>
        <w:t>“right fit” for a college or department environment can be exclusionary and avoid such language as</w:t>
      </w:r>
      <w:r>
        <w:rPr>
          <w:color w:val="201F1E"/>
          <w:spacing w:val="-8"/>
          <w:sz w:val="28"/>
        </w:rPr>
        <w:t> </w:t>
      </w:r>
      <w:r>
        <w:rPr>
          <w:color w:val="201F1E"/>
          <w:sz w:val="28"/>
        </w:rPr>
        <w:t>appropriate.</w:t>
      </w:r>
    </w:p>
    <w:p>
      <w:pPr>
        <w:pStyle w:val="BodyText"/>
        <w:ind w:left="0" w:firstLine="0"/>
        <w:rPr>
          <w:sz w:val="32"/>
        </w:rPr>
      </w:pPr>
    </w:p>
    <w:p>
      <w:pPr>
        <w:pStyle w:val="Heading1"/>
        <w:spacing w:line="360" w:lineRule="auto" w:before="193"/>
      </w:pPr>
      <w:r>
        <w:rPr/>
        <w:t>Introduced by A. Kepsel Approved:</w:t>
      </w:r>
    </w:p>
    <w:p>
      <w:pPr>
        <w:spacing w:after="0" w:line="360" w:lineRule="auto"/>
        <w:sectPr>
          <w:pgSz w:w="12240" w:h="15840"/>
          <w:pgMar w:header="300" w:footer="0" w:top="2000" w:bottom="280" w:left="1340" w:right="1360"/>
        </w:sectPr>
      </w:pPr>
    </w:p>
    <w:p>
      <w:pPr>
        <w:pStyle w:val="ListParagraph"/>
        <w:numPr>
          <w:ilvl w:val="0"/>
          <w:numId w:val="4"/>
        </w:numPr>
        <w:tabs>
          <w:tab w:pos="1180" w:val="left" w:leader="none"/>
        </w:tabs>
        <w:spacing w:line="288" w:lineRule="auto" w:before="167" w:after="0"/>
        <w:ind w:left="1180" w:right="366" w:hanging="360"/>
        <w:jc w:val="left"/>
        <w:rPr>
          <w:sz w:val="28"/>
        </w:rPr>
      </w:pPr>
      <w:r>
        <w:rPr/>
        <w:pict>
          <v:shape style="position:absolute;margin-left:83.88752pt;margin-top:40.869003pt;width:424.5pt;height:445pt;mso-position-horizontal-relative:page;mso-position-vertical-relative:paragraph;z-index:-251744256" coordorigin="1678,817" coordsize="8490,8900" path="m2489,5837l2420,5837,2342,5857,2268,5877,2197,5897,2130,5937,2065,5977,2004,6037,1692,6337,1682,6357,1678,6377,1679,6397,1685,6437,1700,6477,1725,6497,1760,6557,1805,6597,4807,9597,4856,9637,4899,9677,4938,9697,4971,9717,5058,9717,5350,9417,5405,9357,5451,9297,5488,9237,5495,9217,4798,9217,2179,6597,2365,6417,2424,6357,2486,6317,2552,6297,2622,6277,3492,6277,3442,6237,3368,6197,3296,6137,3155,6057,3086,6017,3019,5997,2952,5957,2869,5937,2788,5897,2634,5857,2560,5857,2489,5837xm3492,6277l2758,6277,2824,6297,2893,6317,3037,6357,3113,6397,3179,6437,3247,6477,3316,6517,3387,6557,3459,6617,3532,6657,3607,6717,3665,6757,3724,6817,3783,6857,3902,6977,3962,7017,4143,7197,4204,7257,4264,7317,4321,7377,4376,7437,4430,7497,4481,7557,4530,7617,4577,7657,4623,7717,4666,7777,4707,7817,4760,7897,4810,7957,4856,8037,4899,8097,4938,8157,4973,8217,5005,8277,5071,8417,5099,8497,5119,8577,5128,8657,5129,8737,5117,8817,5089,8897,5045,8957,4987,9037,4798,9217,5495,9217,5517,9157,5537,9077,5548,9017,5551,8937,5548,8877,5539,8797,5524,8717,5503,8637,5476,8557,5443,8477,5416,8417,5386,8357,5353,8277,5317,8217,5277,8157,5235,8077,5190,8017,5141,7937,5090,7877,4994,7737,4952,7697,4908,7637,4862,7577,4815,7517,4766,7457,4716,7417,4664,7357,4610,7297,4555,7237,4498,7177,4439,7117,4379,7057,4318,6997,4255,6917,4130,6797,4068,6757,3947,6637,3886,6577,3827,6537,3768,6477,3593,6357,3517,6297,3492,6277xm6357,8417l6286,8417,6296,8437,6346,8437,6357,8417xm6394,8397l6255,8397,6266,8417,6381,8417,6394,8397xm3794,4577l3536,4577,3478,4597,3460,4617,3441,4617,3421,4637,3401,4657,3380,4657,3357,4677,3333,4697,3308,4737,3015,5017,3005,5037,3001,5057,3002,5077,3009,5117,3023,5137,3048,5177,3083,5217,3128,5277,6245,8397,6407,8397,6420,8377,6432,8377,6443,8357,6451,8337,6458,8337,6463,8317,6466,8317,6469,8297,6470,8297,6470,8277,6468,8277,6465,8257,6460,8257,6454,8237,6447,8237,6438,8217,6428,8217,4995,6777,5118,6657,5151,6617,5187,6597,5967,6597,5944,6577,5878,6537,5815,6497,5755,6457,5697,6417,4633,6417,3499,5277,3654,5117,3680,5097,3705,5077,3728,5057,3749,5037,3770,5037,3792,5017,3836,5017,3910,4997,4518,4997,4499,4977,4443,4937,4387,4877,4332,4837,4202,4757,4075,4677,4013,4657,3938,4617,3794,4577xm7111,7677l6991,7677,7005,7697,7100,7697,7111,7677xm5967,6597l5367,6597,5420,6617,5476,6637,5535,6657,5597,6697,5661,6737,5728,6777,5798,6817,5870,6877,5945,6917,6023,6977,6943,7637,6960,7657,6976,7677,7124,7677,7137,7657,7150,7657,7165,7637,7178,7617,7188,7617,7196,7597,7202,7577,7207,7577,7209,7557,7210,7557,7210,7537,7207,7537,7204,7517,7198,7517,7191,7497,7184,7497,7175,7477,7165,7477,7153,7457,7139,7437,7122,7437,7102,7417,7077,7397,7043,7377,7002,7337,6952,7297,6086,6677,6014,6637,5967,6597xm7416,7377l7336,7377,7350,7397,7402,7397,7416,7377xm4772,3397l4613,3397,4598,3417,4583,3417,4566,3437,4551,3457,4538,3477,4526,3477,4517,3497,4510,3517,4504,3517,4500,3537,4497,3537,4497,3557,4498,3577,4501,3577,4506,3597,4512,3617,4520,3617,4530,3637,4541,3657,7206,7237,7229,7277,7251,7297,7271,7317,7289,7337,7306,7357,7321,7377,7430,7377,7444,7357,7459,7337,7473,7337,7485,7317,7495,7297,7503,7297,7508,7277,7512,7257,7514,7257,7514,7237,7513,7237,7510,7217,7506,7217,7501,7197,7495,7197,7488,7177,7479,7157,7470,7157,6773,6237,7189,5817,6463,5817,5023,3917,5463,3917,4788,3417,4772,3397xm4518,4997l3910,4997,3988,5017,4069,5037,4154,5077,4212,5117,4272,5157,4333,5217,4395,5257,4459,5317,4524,5377,4583,5437,4638,5497,4688,5557,4734,5617,4775,5677,4810,5737,4839,5797,4863,5857,4881,5917,4892,5957,4896,6017,4895,6057,4886,6117,4869,6157,4845,6197,4812,6237,4633,6417,5697,6417,5642,6397,5590,6357,5540,6337,5493,6317,5447,6297,5404,6277,5363,6277,5324,6257,5250,6257,5252,6197,5250,6137,5244,6077,5233,6017,5217,5957,5196,5897,5170,5817,5139,5757,5102,5677,5059,5617,5010,5537,4956,5457,4907,5397,4855,5337,4798,5277,4737,5217,4671,5137,4613,5077,4556,5037,4518,4997xm8404,6377l8333,6377,8343,6397,8393,6397,8404,6377xm7811,5657l7347,5657,8285,6357,8298,6357,8311,6377,8428,6377,8441,6357,8456,6337,8472,6337,8487,6317,8500,6297,8511,6277,8519,6277,8525,6257,8528,6237,8528,6237,8524,6217,8518,6197,8508,6197,8495,6177,8479,6157,8459,6137,8436,6117,8409,6097,8378,6077,7811,5657xm8830,5957l8712,5957,8722,5977,8817,5977,8830,5957xm6140,1957l6088,1957,5462,2577,5453,2597,5448,2617,5450,2637,5456,2657,5471,2697,5495,2737,5531,2777,5576,2817,8693,5937,8702,5957,8842,5957,8855,5937,8868,5937,8880,5917,8891,5917,8899,5897,8906,5877,8911,5877,8914,5857,8917,5857,8918,5837,8918,5837,8916,5817,8912,5817,8907,5797,8900,5797,8893,5777,8885,5777,8876,5757,7474,4357,7856,3977,7102,3977,5957,2837,6467,2337,6469,2317,6466,2317,6464,2297,6460,2297,6454,2277,6446,2257,6437,2257,6425,2237,6411,2217,6395,2197,6377,2177,6357,2157,6335,2137,6311,2117,6287,2097,6264,2057,6243,2037,6222,2037,6203,2017,6185,1997,6169,1977,6153,1977,6140,1957xm5463,3917l5024,3917,6943,5337,6463,5817,7189,5817,7347,5657,7811,5657,5463,3917xm10067,4717l9982,4717,9992,4737,10055,4737,10067,4717xm7386,1777l7023,1777,9942,4697,9952,4697,9962,4717,10091,4717,10104,4697,10117,4677,10129,4677,10139,4657,10148,4637,10154,4637,10159,4617,10163,4617,10166,4597,10167,4597,10167,4577,10165,4577,10162,4557,10157,4557,10151,4537,10144,4537,10135,4517,10125,4517,7386,1777xm3660,4557l3597,4577,3726,4577,3660,4557xm7611,3497l7584,3497,7102,3977,7856,3977,7956,3877,7957,3857,7954,3857,7951,3837,7946,3837,7940,3817,7932,3817,7923,3797,7912,3777,7898,3757,7883,3737,7865,3717,7846,3697,7824,3677,7800,3657,7774,3637,7750,3617,7728,3577,7708,3577,7690,3557,7674,3537,7659,3537,7645,3517,7621,3517,7611,3497xm4742,3377l4639,3377,4626,3397,4757,3397,4742,3377xm4689,3357l4677,3357,4665,3377,4702,3377,4689,3357xm7260,817l7220,817,6255,1777,6249,1797,6248,1797,6250,1817,6253,1817,6258,1837,6264,1837,6273,1857,6283,1877,6296,1877,6310,1897,6327,1917,6345,1937,6366,1957,6388,1997,6435,2037,6458,2057,6480,2077,6500,2097,6519,2117,6536,2117,6551,2137,6565,2137,6578,2157,6600,2157,6609,2177,6629,2177,7023,1777,7386,1777,7206,1597,7600,1197,7602,1197,7599,1177,7597,1177,7592,1157,7586,1137,7579,1137,7569,1117,7557,1097,7543,1077,7527,1077,7509,1057,7489,1017,7467,997,7443,977,7419,957,7396,937,7374,917,7354,897,7335,877,7317,857,7301,857,7286,837,7272,837,7260,817xe" filled="true" fillcolor="#c0c0c0" stroked="false">
            <v:path arrowok="t"/>
            <v:fill opacity="32768f" type="solid"/>
            <w10:wrap type="none"/>
          </v:shape>
        </w:pict>
      </w:r>
      <w:r>
        <w:rPr>
          <w:sz w:val="28"/>
        </w:rPr>
        <w:t>Ask applicants to MSU jobs to include a diversity, equity, and inclusion statement as part of their application</w:t>
      </w:r>
      <w:r>
        <w:rPr>
          <w:spacing w:val="-15"/>
          <w:sz w:val="28"/>
        </w:rPr>
        <w:t> </w:t>
      </w:r>
      <w:r>
        <w:rPr>
          <w:sz w:val="28"/>
        </w:rPr>
        <w:t>materials;</w:t>
      </w:r>
    </w:p>
    <w:p>
      <w:pPr>
        <w:pStyle w:val="ListParagraph"/>
        <w:numPr>
          <w:ilvl w:val="0"/>
          <w:numId w:val="4"/>
        </w:numPr>
        <w:tabs>
          <w:tab w:pos="1180" w:val="left" w:leader="none"/>
        </w:tabs>
        <w:spacing w:line="288" w:lineRule="auto" w:before="0" w:after="0"/>
        <w:ind w:left="1180" w:right="114" w:hanging="360"/>
        <w:jc w:val="left"/>
        <w:rPr>
          <w:sz w:val="28"/>
        </w:rPr>
      </w:pPr>
      <w:r>
        <w:rPr>
          <w:sz w:val="28"/>
        </w:rPr>
        <w:t>Examine hiring practices and strategies to increase the</w:t>
      </w:r>
      <w:r>
        <w:rPr>
          <w:spacing w:val="-38"/>
          <w:sz w:val="28"/>
        </w:rPr>
        <w:t> </w:t>
      </w:r>
      <w:r>
        <w:rPr>
          <w:sz w:val="28"/>
        </w:rPr>
        <w:t>number of faculty and staff who are part of underrepresented</w:t>
      </w:r>
      <w:r>
        <w:rPr>
          <w:spacing w:val="-18"/>
          <w:sz w:val="28"/>
        </w:rPr>
        <w:t> </w:t>
      </w:r>
      <w:r>
        <w:rPr>
          <w:sz w:val="28"/>
        </w:rPr>
        <w:t>groups;</w:t>
      </w:r>
    </w:p>
    <w:p>
      <w:pPr>
        <w:pStyle w:val="ListParagraph"/>
        <w:numPr>
          <w:ilvl w:val="0"/>
          <w:numId w:val="4"/>
        </w:numPr>
        <w:tabs>
          <w:tab w:pos="1180" w:val="left" w:leader="none"/>
        </w:tabs>
        <w:spacing w:line="288" w:lineRule="auto" w:before="0" w:after="0"/>
        <w:ind w:left="1180" w:right="178" w:hanging="360"/>
        <w:jc w:val="left"/>
        <w:rPr>
          <w:sz w:val="28"/>
        </w:rPr>
      </w:pPr>
      <w:r>
        <w:rPr>
          <w:sz w:val="28"/>
        </w:rPr>
        <w:t>Consider how language about whether a candidate is the</w:t>
      </w:r>
      <w:r>
        <w:rPr>
          <w:spacing w:val="-27"/>
          <w:sz w:val="28"/>
        </w:rPr>
        <w:t> </w:t>
      </w:r>
      <w:r>
        <w:rPr>
          <w:sz w:val="28"/>
        </w:rPr>
        <w:t>“right fit” for a given job environment can be exclusionary and avoid such language;</w:t>
      </w:r>
    </w:p>
    <w:p>
      <w:pPr>
        <w:pStyle w:val="ListParagraph"/>
        <w:numPr>
          <w:ilvl w:val="0"/>
          <w:numId w:val="4"/>
        </w:numPr>
        <w:tabs>
          <w:tab w:pos="1180" w:val="left" w:leader="none"/>
        </w:tabs>
        <w:spacing w:line="288" w:lineRule="auto" w:before="0" w:after="0"/>
        <w:ind w:left="1180" w:right="181" w:hanging="360"/>
        <w:jc w:val="left"/>
        <w:rPr>
          <w:sz w:val="28"/>
        </w:rPr>
      </w:pPr>
      <w:r>
        <w:rPr>
          <w:sz w:val="28"/>
        </w:rPr>
        <w:t>Provide additional funding and resources to colleges and departments to hire diversity coordinators and provide</w:t>
      </w:r>
      <w:r>
        <w:rPr>
          <w:spacing w:val="-33"/>
          <w:sz w:val="28"/>
        </w:rPr>
        <w:t> </w:t>
      </w:r>
      <w:r>
        <w:rPr>
          <w:sz w:val="28"/>
        </w:rPr>
        <w:t>ongoing training and opportunities for education on DEI</w:t>
      </w:r>
      <w:r>
        <w:rPr>
          <w:spacing w:val="-11"/>
          <w:sz w:val="28"/>
        </w:rPr>
        <w:t> </w:t>
      </w:r>
      <w:r>
        <w:rPr>
          <w:sz w:val="28"/>
        </w:rPr>
        <w:t>issues;</w:t>
      </w:r>
    </w:p>
    <w:p>
      <w:pPr>
        <w:pStyle w:val="ListParagraph"/>
        <w:numPr>
          <w:ilvl w:val="0"/>
          <w:numId w:val="4"/>
        </w:numPr>
        <w:tabs>
          <w:tab w:pos="1180" w:val="left" w:leader="none"/>
        </w:tabs>
        <w:spacing w:line="288" w:lineRule="auto" w:before="0" w:after="0"/>
        <w:ind w:left="1180" w:right="103" w:hanging="360"/>
        <w:jc w:val="left"/>
        <w:rPr>
          <w:sz w:val="28"/>
        </w:rPr>
      </w:pPr>
      <w:r>
        <w:rPr>
          <w:sz w:val="28"/>
        </w:rPr>
        <w:t>Stop using the GRE as a requirement for admission to</w:t>
      </w:r>
      <w:r>
        <w:rPr>
          <w:spacing w:val="-30"/>
          <w:sz w:val="28"/>
        </w:rPr>
        <w:t> </w:t>
      </w:r>
      <w:r>
        <w:rPr>
          <w:sz w:val="28"/>
        </w:rPr>
        <w:t>graduate programs and stop using standardized testing for admission to undergraduate</w:t>
      </w:r>
      <w:r>
        <w:rPr>
          <w:spacing w:val="-1"/>
          <w:sz w:val="28"/>
        </w:rPr>
        <w:t> </w:t>
      </w:r>
      <w:r>
        <w:rPr>
          <w:sz w:val="28"/>
        </w:rPr>
        <w:t>programs;</w:t>
      </w:r>
    </w:p>
    <w:p>
      <w:pPr>
        <w:pStyle w:val="ListParagraph"/>
        <w:numPr>
          <w:ilvl w:val="0"/>
          <w:numId w:val="4"/>
        </w:numPr>
        <w:tabs>
          <w:tab w:pos="1180" w:val="left" w:leader="none"/>
        </w:tabs>
        <w:spacing w:line="288" w:lineRule="auto" w:before="1" w:after="0"/>
        <w:ind w:left="1180" w:right="1080" w:hanging="360"/>
        <w:jc w:val="left"/>
        <w:rPr>
          <w:sz w:val="28"/>
        </w:rPr>
      </w:pPr>
      <w:r>
        <w:rPr>
          <w:sz w:val="28"/>
        </w:rPr>
        <w:t>Require training on DEI and implicit bias as part of the professional development process and incorporate it in</w:t>
      </w:r>
      <w:r>
        <w:rPr>
          <w:spacing w:val="-31"/>
          <w:sz w:val="28"/>
        </w:rPr>
        <w:t> </w:t>
      </w:r>
      <w:r>
        <w:rPr>
          <w:sz w:val="28"/>
        </w:rPr>
        <w:t>a measurable way as part of the annual goal setting and evaluation</w:t>
      </w:r>
      <w:r>
        <w:rPr>
          <w:spacing w:val="-1"/>
          <w:sz w:val="28"/>
        </w:rPr>
        <w:t> </w:t>
      </w:r>
      <w:r>
        <w:rPr>
          <w:sz w:val="28"/>
        </w:rPr>
        <w:t>process;</w:t>
      </w:r>
    </w:p>
    <w:p>
      <w:pPr>
        <w:pStyle w:val="ListParagraph"/>
        <w:numPr>
          <w:ilvl w:val="0"/>
          <w:numId w:val="4"/>
        </w:numPr>
        <w:tabs>
          <w:tab w:pos="1180" w:val="left" w:leader="none"/>
        </w:tabs>
        <w:spacing w:line="288" w:lineRule="auto" w:before="0" w:after="0"/>
        <w:ind w:left="1180" w:right="130" w:hanging="360"/>
        <w:jc w:val="left"/>
        <w:rPr>
          <w:sz w:val="28"/>
        </w:rPr>
      </w:pPr>
      <w:r>
        <w:rPr>
          <w:sz w:val="28"/>
        </w:rPr>
        <w:t>Create or strengthen mentoring programs on campus for those from underrepresented groups, as well as offer training for mentors, strengthen networks across departments and</w:t>
      </w:r>
      <w:r>
        <w:rPr>
          <w:spacing w:val="-38"/>
          <w:sz w:val="28"/>
        </w:rPr>
        <w:t> </w:t>
      </w:r>
      <w:r>
        <w:rPr>
          <w:sz w:val="28"/>
        </w:rPr>
        <w:t>campus, and appropriately match people with mentors that represent their personal and professional goals;</w:t>
      </w:r>
      <w:r>
        <w:rPr>
          <w:spacing w:val="-3"/>
          <w:sz w:val="28"/>
        </w:rPr>
        <w:t> </w:t>
      </w:r>
      <w:r>
        <w:rPr>
          <w:sz w:val="28"/>
        </w:rPr>
        <w:t>and</w:t>
      </w:r>
    </w:p>
    <w:p>
      <w:pPr>
        <w:pStyle w:val="ListParagraph"/>
        <w:numPr>
          <w:ilvl w:val="0"/>
          <w:numId w:val="4"/>
        </w:numPr>
        <w:tabs>
          <w:tab w:pos="1180" w:val="left" w:leader="none"/>
        </w:tabs>
        <w:spacing w:line="288" w:lineRule="auto" w:before="0" w:after="0"/>
        <w:ind w:left="1180" w:right="1157" w:hanging="360"/>
        <w:jc w:val="left"/>
        <w:rPr>
          <w:sz w:val="28"/>
        </w:rPr>
      </w:pPr>
      <w:r>
        <w:rPr>
          <w:sz w:val="28"/>
        </w:rPr>
        <w:t>Conduct a study of faculty and staff salaries to</w:t>
      </w:r>
      <w:r>
        <w:rPr>
          <w:spacing w:val="-27"/>
          <w:sz w:val="28"/>
        </w:rPr>
        <w:t> </w:t>
      </w:r>
      <w:r>
        <w:rPr>
          <w:sz w:val="28"/>
        </w:rPr>
        <w:t>examine whether there are inequities that negatively impact underrepresented</w:t>
      </w:r>
      <w:r>
        <w:rPr>
          <w:spacing w:val="-1"/>
          <w:sz w:val="28"/>
        </w:rPr>
        <w:t> </w:t>
      </w:r>
      <w:r>
        <w:rPr>
          <w:sz w:val="28"/>
        </w:rPr>
        <w:t>groups.</w:t>
      </w:r>
    </w:p>
    <w:p>
      <w:pPr>
        <w:pStyle w:val="Heading1"/>
        <w:spacing w:line="355" w:lineRule="auto" w:before="77"/>
      </w:pPr>
      <w:r>
        <w:rPr/>
        <w:t>Introduced by A. Kepsel Approved:</w:t>
      </w:r>
    </w:p>
    <w:sectPr>
      <w:headerReference w:type="default" r:id="rId6"/>
      <w:pgSz w:w="12240" w:h="15840"/>
      <w:pgMar w:header="300" w:footer="0" w:top="308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569152">
          <wp:simplePos x="0" y="0"/>
          <wp:positionH relativeFrom="page">
            <wp:posOffset>373378</wp:posOffset>
          </wp:positionH>
          <wp:positionV relativeFrom="page">
            <wp:posOffset>190500</wp:posOffset>
          </wp:positionV>
          <wp:extent cx="7031989" cy="108775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031989" cy="108775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570176">
          <wp:simplePos x="0" y="0"/>
          <wp:positionH relativeFrom="page">
            <wp:posOffset>373378</wp:posOffset>
          </wp:positionH>
          <wp:positionV relativeFrom="page">
            <wp:posOffset>190500</wp:posOffset>
          </wp:positionV>
          <wp:extent cx="7031989" cy="108775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7031989" cy="108775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pt;margin-top:115.837112pt;width:420.35pt;height:39.65pt;mso-position-horizontal-relative:page;mso-position-vertical-relative:page;z-index:-251745280" type="#_x0000_t202" filled="false" stroked="false">
          <v:textbox inset="0,0,0,0">
            <w:txbxContent>
              <w:p>
                <w:pPr>
                  <w:pStyle w:val="BodyText"/>
                  <w:spacing w:before="18"/>
                  <w:ind w:left="20" w:firstLine="0"/>
                </w:pPr>
                <w:r>
                  <w:rPr/>
                  <w:t>Faculty Senate encourages the administration of Michigan State</w:t>
                </w:r>
              </w:p>
              <w:p>
                <w:pPr>
                  <w:pStyle w:val="BodyText"/>
                  <w:spacing w:before="81"/>
                  <w:ind w:left="20" w:firstLine="0"/>
                </w:pPr>
                <w:r>
                  <w:rPr/>
                  <w:t>University to: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80" w:hanging="360"/>
        <w:jc w:val="left"/>
      </w:pPr>
      <w:rPr>
        <w:rFonts w:hint="default" w:ascii="Century Schoolbook" w:hAnsi="Century Schoolbook" w:eastAsia="Century Schoolbook" w:cs="Century Schoolbook"/>
        <w:w w:val="99"/>
        <w:sz w:val="28"/>
        <w:szCs w:val="28"/>
      </w:rPr>
    </w:lvl>
    <w:lvl w:ilvl="1">
      <w:start w:val="0"/>
      <w:numFmt w:val="bullet"/>
      <w:lvlText w:val="•"/>
      <w:lvlJc w:val="left"/>
      <w:pPr>
        <w:ind w:left="2016" w:hanging="360"/>
      </w:pPr>
      <w:rPr>
        <w:rFonts w:hint="default"/>
      </w:rPr>
    </w:lvl>
    <w:lvl w:ilvl="2">
      <w:start w:val="0"/>
      <w:numFmt w:val="bullet"/>
      <w:lvlText w:val="•"/>
      <w:lvlJc w:val="left"/>
      <w:pPr>
        <w:ind w:left="2852" w:hanging="360"/>
      </w:pPr>
      <w:rPr>
        <w:rFonts w:hint="default"/>
      </w:rPr>
    </w:lvl>
    <w:lvl w:ilvl="3">
      <w:start w:val="0"/>
      <w:numFmt w:val="bullet"/>
      <w:lvlText w:val="•"/>
      <w:lvlJc w:val="left"/>
      <w:pPr>
        <w:ind w:left="3688" w:hanging="360"/>
      </w:pPr>
      <w:rPr>
        <w:rFonts w:hint="default"/>
      </w:rPr>
    </w:lvl>
    <w:lvl w:ilvl="4">
      <w:start w:val="0"/>
      <w:numFmt w:val="bullet"/>
      <w:lvlText w:val="•"/>
      <w:lvlJc w:val="left"/>
      <w:pPr>
        <w:ind w:left="4524"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32" w:hanging="360"/>
      </w:pPr>
      <w:rPr>
        <w:rFonts w:hint="default"/>
      </w:rPr>
    </w:lvl>
    <w:lvl w:ilvl="8">
      <w:start w:val="0"/>
      <w:numFmt w:val="bullet"/>
      <w:lvlText w:val="•"/>
      <w:lvlJc w:val="left"/>
      <w:pPr>
        <w:ind w:left="7868" w:hanging="360"/>
      </w:pPr>
      <w:rPr>
        <w:rFonts w:hint="default"/>
      </w:rPr>
    </w:lvl>
  </w:abstractNum>
  <w:abstractNum w:abstractNumId="2">
    <w:multiLevelType w:val="hybridMultilevel"/>
    <w:lvl w:ilvl="0">
      <w:start w:val="1"/>
      <w:numFmt w:val="decimal"/>
      <w:lvlText w:val="%1)"/>
      <w:lvlJc w:val="left"/>
      <w:pPr>
        <w:ind w:left="1180" w:hanging="360"/>
        <w:jc w:val="left"/>
      </w:pPr>
      <w:rPr>
        <w:rFonts w:hint="default"/>
        <w:w w:val="99"/>
      </w:rPr>
    </w:lvl>
    <w:lvl w:ilvl="1">
      <w:start w:val="0"/>
      <w:numFmt w:val="bullet"/>
      <w:lvlText w:val="•"/>
      <w:lvlJc w:val="left"/>
      <w:pPr>
        <w:ind w:left="2016" w:hanging="360"/>
      </w:pPr>
      <w:rPr>
        <w:rFonts w:hint="default"/>
      </w:rPr>
    </w:lvl>
    <w:lvl w:ilvl="2">
      <w:start w:val="0"/>
      <w:numFmt w:val="bullet"/>
      <w:lvlText w:val="•"/>
      <w:lvlJc w:val="left"/>
      <w:pPr>
        <w:ind w:left="2852" w:hanging="360"/>
      </w:pPr>
      <w:rPr>
        <w:rFonts w:hint="default"/>
      </w:rPr>
    </w:lvl>
    <w:lvl w:ilvl="3">
      <w:start w:val="0"/>
      <w:numFmt w:val="bullet"/>
      <w:lvlText w:val="•"/>
      <w:lvlJc w:val="left"/>
      <w:pPr>
        <w:ind w:left="3688" w:hanging="360"/>
      </w:pPr>
      <w:rPr>
        <w:rFonts w:hint="default"/>
      </w:rPr>
    </w:lvl>
    <w:lvl w:ilvl="4">
      <w:start w:val="0"/>
      <w:numFmt w:val="bullet"/>
      <w:lvlText w:val="•"/>
      <w:lvlJc w:val="left"/>
      <w:pPr>
        <w:ind w:left="4524"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32" w:hanging="360"/>
      </w:pPr>
      <w:rPr>
        <w:rFonts w:hint="default"/>
      </w:rPr>
    </w:lvl>
    <w:lvl w:ilvl="8">
      <w:start w:val="0"/>
      <w:numFmt w:val="bullet"/>
      <w:lvlText w:val="•"/>
      <w:lvlJc w:val="left"/>
      <w:pPr>
        <w:ind w:left="7868" w:hanging="360"/>
      </w:pPr>
      <w:rPr>
        <w:rFonts w:hint="default"/>
      </w:rPr>
    </w:lvl>
  </w:abstractNum>
  <w:abstractNum w:abstractNumId="1">
    <w:multiLevelType w:val="hybridMultilevel"/>
    <w:lvl w:ilvl="0">
      <w:start w:val="1"/>
      <w:numFmt w:val="decimal"/>
      <w:lvlText w:val="%1)"/>
      <w:lvlJc w:val="left"/>
      <w:pPr>
        <w:ind w:left="1180" w:hanging="360"/>
        <w:jc w:val="left"/>
      </w:pPr>
      <w:rPr>
        <w:rFonts w:hint="default" w:ascii="Century Schoolbook" w:hAnsi="Century Schoolbook" w:eastAsia="Century Schoolbook" w:cs="Century Schoolbook"/>
        <w:w w:val="99"/>
        <w:sz w:val="28"/>
        <w:szCs w:val="28"/>
      </w:rPr>
    </w:lvl>
    <w:lvl w:ilvl="1">
      <w:start w:val="0"/>
      <w:numFmt w:val="bullet"/>
      <w:lvlText w:val="•"/>
      <w:lvlJc w:val="left"/>
      <w:pPr>
        <w:ind w:left="2016" w:hanging="360"/>
      </w:pPr>
      <w:rPr>
        <w:rFonts w:hint="default"/>
      </w:rPr>
    </w:lvl>
    <w:lvl w:ilvl="2">
      <w:start w:val="0"/>
      <w:numFmt w:val="bullet"/>
      <w:lvlText w:val="•"/>
      <w:lvlJc w:val="left"/>
      <w:pPr>
        <w:ind w:left="2852" w:hanging="360"/>
      </w:pPr>
      <w:rPr>
        <w:rFonts w:hint="default"/>
      </w:rPr>
    </w:lvl>
    <w:lvl w:ilvl="3">
      <w:start w:val="0"/>
      <w:numFmt w:val="bullet"/>
      <w:lvlText w:val="•"/>
      <w:lvlJc w:val="left"/>
      <w:pPr>
        <w:ind w:left="3688" w:hanging="360"/>
      </w:pPr>
      <w:rPr>
        <w:rFonts w:hint="default"/>
      </w:rPr>
    </w:lvl>
    <w:lvl w:ilvl="4">
      <w:start w:val="0"/>
      <w:numFmt w:val="bullet"/>
      <w:lvlText w:val="•"/>
      <w:lvlJc w:val="left"/>
      <w:pPr>
        <w:ind w:left="4524"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32" w:hanging="360"/>
      </w:pPr>
      <w:rPr>
        <w:rFonts w:hint="default"/>
      </w:rPr>
    </w:lvl>
    <w:lvl w:ilvl="8">
      <w:start w:val="0"/>
      <w:numFmt w:val="bullet"/>
      <w:lvlText w:val="•"/>
      <w:lvlJc w:val="left"/>
      <w:pPr>
        <w:ind w:left="7868" w:hanging="360"/>
      </w:pPr>
      <w:rPr>
        <w:rFonts w:hint="default"/>
      </w:rPr>
    </w:lvl>
  </w:abstractNum>
  <w:abstractNum w:abstractNumId="0">
    <w:multiLevelType w:val="hybridMultilevel"/>
    <w:lvl w:ilvl="0">
      <w:start w:val="1"/>
      <w:numFmt w:val="decimal"/>
      <w:lvlText w:val="%1)"/>
      <w:lvlJc w:val="left"/>
      <w:pPr>
        <w:ind w:left="1180" w:hanging="360"/>
        <w:jc w:val="left"/>
      </w:pPr>
      <w:rPr>
        <w:rFonts w:hint="default" w:ascii="Century Schoolbook" w:hAnsi="Century Schoolbook" w:eastAsia="Century Schoolbook" w:cs="Century Schoolbook"/>
        <w:color w:val="201F1E"/>
        <w:w w:val="99"/>
        <w:sz w:val="28"/>
        <w:szCs w:val="28"/>
      </w:rPr>
    </w:lvl>
    <w:lvl w:ilvl="1">
      <w:start w:val="0"/>
      <w:numFmt w:val="bullet"/>
      <w:lvlText w:val="•"/>
      <w:lvlJc w:val="left"/>
      <w:pPr>
        <w:ind w:left="2016" w:hanging="360"/>
      </w:pPr>
      <w:rPr>
        <w:rFonts w:hint="default"/>
      </w:rPr>
    </w:lvl>
    <w:lvl w:ilvl="2">
      <w:start w:val="0"/>
      <w:numFmt w:val="bullet"/>
      <w:lvlText w:val="•"/>
      <w:lvlJc w:val="left"/>
      <w:pPr>
        <w:ind w:left="2852" w:hanging="360"/>
      </w:pPr>
      <w:rPr>
        <w:rFonts w:hint="default"/>
      </w:rPr>
    </w:lvl>
    <w:lvl w:ilvl="3">
      <w:start w:val="0"/>
      <w:numFmt w:val="bullet"/>
      <w:lvlText w:val="•"/>
      <w:lvlJc w:val="left"/>
      <w:pPr>
        <w:ind w:left="3688" w:hanging="360"/>
      </w:pPr>
      <w:rPr>
        <w:rFonts w:hint="default"/>
      </w:rPr>
    </w:lvl>
    <w:lvl w:ilvl="4">
      <w:start w:val="0"/>
      <w:numFmt w:val="bullet"/>
      <w:lvlText w:val="•"/>
      <w:lvlJc w:val="left"/>
      <w:pPr>
        <w:ind w:left="4524"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32" w:hanging="360"/>
      </w:pPr>
      <w:rPr>
        <w:rFonts w:hint="default"/>
      </w:rPr>
    </w:lvl>
    <w:lvl w:ilvl="8">
      <w:start w:val="0"/>
      <w:numFmt w:val="bullet"/>
      <w:lvlText w:val="•"/>
      <w:lvlJc w:val="left"/>
      <w:pPr>
        <w:ind w:left="7868"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rPr>
  </w:style>
  <w:style w:styleId="BodyText" w:type="paragraph">
    <w:name w:val="Body Text"/>
    <w:basedOn w:val="Normal"/>
    <w:uiPriority w:val="1"/>
    <w:qFormat/>
    <w:pPr>
      <w:ind w:left="1180" w:hanging="360"/>
    </w:pPr>
    <w:rPr>
      <w:rFonts w:ascii="Century Schoolbook" w:hAnsi="Century Schoolbook" w:eastAsia="Century Schoolbook" w:cs="Century Schoolbook"/>
      <w:sz w:val="28"/>
      <w:szCs w:val="28"/>
    </w:rPr>
  </w:style>
  <w:style w:styleId="Heading1" w:type="paragraph">
    <w:name w:val="Heading 1"/>
    <w:basedOn w:val="Normal"/>
    <w:uiPriority w:val="1"/>
    <w:qFormat/>
    <w:pPr>
      <w:ind w:left="100" w:right="5927"/>
      <w:outlineLvl w:val="1"/>
    </w:pPr>
    <w:rPr>
      <w:rFonts w:ascii="Century Schoolbook" w:hAnsi="Century Schoolbook" w:eastAsia="Century Schoolbook" w:cs="Century Schoolbook"/>
      <w:b/>
      <w:bCs/>
      <w:sz w:val="28"/>
      <w:szCs w:val="28"/>
    </w:rPr>
  </w:style>
  <w:style w:styleId="ListParagraph" w:type="paragraph">
    <w:name w:val="List Paragraph"/>
    <w:basedOn w:val="Normal"/>
    <w:uiPriority w:val="1"/>
    <w:qFormat/>
    <w:pPr>
      <w:ind w:left="1180" w:right="178" w:hanging="360"/>
    </w:pPr>
    <w:rPr>
      <w:rFonts w:ascii="Century Schoolbook" w:hAnsi="Century Schoolbook" w:eastAsia="Century Schoolbook" w:cs="Century Schoolbook"/>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35CB9088-5FF8-4B1B-BA0B-DDA902760A86}"/>
</file>

<file path=customXml/itemProps2.xml><?xml version="1.0" encoding="utf-8"?>
<ds:datastoreItem xmlns:ds="http://schemas.openxmlformats.org/officeDocument/2006/customXml" ds:itemID="{AAFF9DF5-D9B9-4C5D-8DD5-05F5C4AA93A3}"/>
</file>

<file path=customXml/itemProps3.xml><?xml version="1.0" encoding="utf-8"?>
<ds:datastoreItem xmlns:ds="http://schemas.openxmlformats.org/officeDocument/2006/customXml" ds:itemID="{B58C76D4-BF5A-4E81-BF83-6D9C9B36F3E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2023-03-30T17:29:56Z</dcterms:created>
  <dcterms:modified xsi:type="dcterms:W3CDTF">2023-03-30T17:29:56Z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