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rFonts w:ascii="Times New Roman"/>
          <w:sz w:val="20"/>
        </w:rPr>
        <w:drawing>
          <wp:inline distT="0" distB="0" distL="0" distR="0">
            <wp:extent cx="2998200" cy="519683"/>
            <wp:effectExtent l="0" t="0" r="0" b="0"/>
            <wp:docPr id="1" name="image1.jpeg" descr="Logo, company name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98200" cy="519683"/>
                    </a:xfrm>
                    <a:prstGeom prst="rect">
                      <a:avLst/>
                    </a:prstGeom>
                  </pic:spPr>
                </pic:pic>
              </a:graphicData>
            </a:graphic>
          </wp:inline>
        </w:drawing>
      </w:r>
      <w:r>
        <w:rPr>
          <w:rFonts w:ascii="Times New Roman"/>
          <w:sz w:val="20"/>
        </w:rPr>
      </w:r>
    </w:p>
    <w:p>
      <w:pPr>
        <w:pStyle w:val="BodyText"/>
        <w:spacing w:before="9"/>
        <w:rPr>
          <w:rFonts w:ascii="Times New Roman"/>
          <w:sz w:val="6"/>
        </w:rPr>
      </w:pPr>
    </w:p>
    <w:p>
      <w:pPr>
        <w:pStyle w:val="Heading1"/>
        <w:spacing w:before="94"/>
        <w:ind w:left="1620" w:right="1936"/>
        <w:jc w:val="center"/>
      </w:pPr>
      <w:r>
        <w:rPr/>
        <w:t>Summary Crosswalk of Emeritus/Emeritum Policy Changes (DRAFT)</w:t>
      </w:r>
    </w:p>
    <w:p>
      <w:pPr>
        <w:pStyle w:val="BodyText"/>
        <w:rPr>
          <w:b/>
          <w:sz w:val="20"/>
        </w:rPr>
      </w:pPr>
    </w:p>
    <w:p>
      <w:pPr>
        <w:pStyle w:val="BodyText"/>
        <w:rPr>
          <w:b/>
          <w:sz w:val="20"/>
        </w:rPr>
      </w:pPr>
    </w:p>
    <w:p>
      <w:pPr>
        <w:pStyle w:val="BodyText"/>
        <w:spacing w:before="4"/>
        <w:rPr>
          <w:b/>
          <w:sz w:val="28"/>
        </w:rPr>
      </w:pPr>
    </w:p>
    <w:tbl>
      <w:tblPr>
        <w:tblW w:w="0" w:type="auto"/>
        <w:jc w:val="left"/>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355"/>
        <w:gridCol w:w="1620"/>
        <w:gridCol w:w="2971"/>
        <w:gridCol w:w="5580"/>
      </w:tblGrid>
      <w:tr>
        <w:trPr>
          <w:trHeight w:val="505" w:hRule="atLeast"/>
        </w:trPr>
        <w:tc>
          <w:tcPr>
            <w:tcW w:w="355" w:type="dxa"/>
            <w:tcBorders>
              <w:bottom w:val="single" w:sz="12" w:space="0" w:color="666666"/>
            </w:tcBorders>
            <w:shd w:val="clear" w:color="auto" w:fill="E1EED9"/>
          </w:tcPr>
          <w:p>
            <w:pPr>
              <w:pStyle w:val="TableParagraph"/>
              <w:ind w:left="0" w:right="4"/>
              <w:jc w:val="center"/>
              <w:rPr>
                <w:b/>
                <w:sz w:val="22"/>
              </w:rPr>
            </w:pPr>
            <w:r>
              <w:rPr>
                <w:b/>
                <w:w w:val="100"/>
                <w:sz w:val="22"/>
              </w:rPr>
              <w:t>#</w:t>
            </w:r>
          </w:p>
        </w:tc>
        <w:tc>
          <w:tcPr>
            <w:tcW w:w="1620" w:type="dxa"/>
            <w:tcBorders>
              <w:bottom w:val="single" w:sz="12" w:space="0" w:color="666666"/>
            </w:tcBorders>
            <w:shd w:val="clear" w:color="auto" w:fill="E1EED9"/>
          </w:tcPr>
          <w:p>
            <w:pPr>
              <w:pStyle w:val="TableParagraph"/>
              <w:spacing w:line="252" w:lineRule="exact" w:before="4"/>
              <w:ind w:left="107" w:right="284"/>
              <w:rPr>
                <w:b/>
                <w:sz w:val="22"/>
              </w:rPr>
            </w:pPr>
            <w:r>
              <w:rPr>
                <w:b/>
                <w:sz w:val="22"/>
              </w:rPr>
              <w:t>Policy Differences</w:t>
            </w:r>
          </w:p>
        </w:tc>
        <w:tc>
          <w:tcPr>
            <w:tcW w:w="2971" w:type="dxa"/>
            <w:tcBorders>
              <w:bottom w:val="single" w:sz="12" w:space="0" w:color="666666"/>
            </w:tcBorders>
            <w:shd w:val="clear" w:color="auto" w:fill="E1EED9"/>
          </w:tcPr>
          <w:p>
            <w:pPr>
              <w:pStyle w:val="TableParagraph"/>
              <w:spacing w:line="252" w:lineRule="exact"/>
              <w:ind w:left="108"/>
              <w:rPr>
                <w:b/>
                <w:sz w:val="22"/>
              </w:rPr>
            </w:pPr>
            <w:r>
              <w:rPr>
                <w:b/>
                <w:sz w:val="22"/>
              </w:rPr>
              <w:t>Current Emeritus Policy</w:t>
            </w:r>
          </w:p>
          <w:p>
            <w:pPr>
              <w:pStyle w:val="TableParagraph"/>
              <w:spacing w:line="206" w:lineRule="exact"/>
              <w:ind w:left="108"/>
              <w:rPr>
                <w:b/>
                <w:i/>
                <w:sz w:val="18"/>
              </w:rPr>
            </w:pPr>
            <w:r>
              <w:rPr>
                <w:b/>
                <w:i/>
                <w:sz w:val="18"/>
              </w:rPr>
              <w:t>(dated 2/14/2020)</w:t>
            </w:r>
          </w:p>
        </w:tc>
        <w:tc>
          <w:tcPr>
            <w:tcW w:w="5580" w:type="dxa"/>
            <w:tcBorders>
              <w:bottom w:val="single" w:sz="12" w:space="0" w:color="666666"/>
            </w:tcBorders>
            <w:shd w:val="clear" w:color="auto" w:fill="E1EED9"/>
          </w:tcPr>
          <w:p>
            <w:pPr>
              <w:pStyle w:val="TableParagraph"/>
              <w:rPr>
                <w:b/>
                <w:sz w:val="22"/>
              </w:rPr>
            </w:pPr>
            <w:r>
              <w:rPr>
                <w:b/>
                <w:sz w:val="22"/>
              </w:rPr>
              <w:t>Proposed New Policy</w:t>
            </w:r>
          </w:p>
        </w:tc>
      </w:tr>
      <w:tr>
        <w:trPr>
          <w:trHeight w:val="503" w:hRule="atLeast"/>
        </w:trPr>
        <w:tc>
          <w:tcPr>
            <w:tcW w:w="355" w:type="dxa"/>
            <w:tcBorders>
              <w:top w:val="single" w:sz="12" w:space="0" w:color="666666"/>
            </w:tcBorders>
          </w:tcPr>
          <w:p>
            <w:pPr>
              <w:pStyle w:val="TableParagraph"/>
              <w:spacing w:line="250" w:lineRule="exact"/>
              <w:ind w:left="0" w:right="4"/>
              <w:jc w:val="center"/>
              <w:rPr>
                <w:b/>
                <w:sz w:val="22"/>
              </w:rPr>
            </w:pPr>
            <w:r>
              <w:rPr>
                <w:b/>
                <w:w w:val="100"/>
                <w:sz w:val="22"/>
              </w:rPr>
              <w:t>1</w:t>
            </w:r>
          </w:p>
        </w:tc>
        <w:tc>
          <w:tcPr>
            <w:tcW w:w="1620" w:type="dxa"/>
            <w:tcBorders>
              <w:top w:val="single" w:sz="12" w:space="0" w:color="666666"/>
            </w:tcBorders>
          </w:tcPr>
          <w:p>
            <w:pPr>
              <w:pStyle w:val="TableParagraph"/>
              <w:spacing w:line="250" w:lineRule="exact"/>
              <w:ind w:left="107"/>
              <w:rPr>
                <w:sz w:val="22"/>
              </w:rPr>
            </w:pPr>
            <w:r>
              <w:rPr>
                <w:sz w:val="22"/>
              </w:rPr>
              <w:t>Policy Name</w:t>
            </w:r>
          </w:p>
        </w:tc>
        <w:tc>
          <w:tcPr>
            <w:tcW w:w="2971" w:type="dxa"/>
            <w:tcBorders>
              <w:top w:val="single" w:sz="12" w:space="0" w:color="666666"/>
            </w:tcBorders>
          </w:tcPr>
          <w:p>
            <w:pPr>
              <w:pStyle w:val="TableParagraph"/>
              <w:spacing w:line="250" w:lineRule="exact"/>
              <w:ind w:left="108"/>
              <w:rPr>
                <w:sz w:val="22"/>
              </w:rPr>
            </w:pPr>
            <w:r>
              <w:rPr>
                <w:sz w:val="22"/>
              </w:rPr>
              <w:t>Emeritus</w:t>
            </w:r>
          </w:p>
        </w:tc>
        <w:tc>
          <w:tcPr>
            <w:tcW w:w="5580" w:type="dxa"/>
            <w:tcBorders>
              <w:top w:val="single" w:sz="12" w:space="0" w:color="666666"/>
            </w:tcBorders>
          </w:tcPr>
          <w:p>
            <w:pPr>
              <w:pStyle w:val="TableParagraph"/>
              <w:spacing w:line="250" w:lineRule="exact"/>
              <w:rPr>
                <w:sz w:val="22"/>
              </w:rPr>
            </w:pPr>
            <w:r>
              <w:rPr>
                <w:sz w:val="22"/>
              </w:rPr>
              <w:t>Awarding Emeritum Status</w:t>
            </w:r>
          </w:p>
        </w:tc>
      </w:tr>
      <w:tr>
        <w:trPr>
          <w:trHeight w:val="760" w:hRule="atLeast"/>
        </w:trPr>
        <w:tc>
          <w:tcPr>
            <w:tcW w:w="355" w:type="dxa"/>
          </w:tcPr>
          <w:p>
            <w:pPr>
              <w:pStyle w:val="TableParagraph"/>
              <w:ind w:left="0" w:right="4"/>
              <w:jc w:val="center"/>
              <w:rPr>
                <w:b/>
                <w:sz w:val="22"/>
              </w:rPr>
            </w:pPr>
            <w:r>
              <w:rPr>
                <w:b/>
                <w:w w:val="100"/>
                <w:sz w:val="22"/>
              </w:rPr>
              <w:t>2</w:t>
            </w:r>
          </w:p>
        </w:tc>
        <w:tc>
          <w:tcPr>
            <w:tcW w:w="1620" w:type="dxa"/>
          </w:tcPr>
          <w:p>
            <w:pPr>
              <w:pStyle w:val="TableParagraph"/>
              <w:ind w:left="107"/>
              <w:rPr>
                <w:sz w:val="22"/>
              </w:rPr>
            </w:pPr>
            <w:r>
              <w:rPr>
                <w:sz w:val="22"/>
              </w:rPr>
              <w:t>Terminology</w:t>
            </w:r>
          </w:p>
        </w:tc>
        <w:tc>
          <w:tcPr>
            <w:tcW w:w="2971" w:type="dxa"/>
          </w:tcPr>
          <w:p>
            <w:pPr>
              <w:pStyle w:val="TableParagraph"/>
              <w:numPr>
                <w:ilvl w:val="0"/>
                <w:numId w:val="1"/>
              </w:numPr>
              <w:tabs>
                <w:tab w:pos="468" w:val="left" w:leader="none"/>
              </w:tabs>
              <w:spacing w:line="251" w:lineRule="exact" w:before="0" w:after="0"/>
              <w:ind w:left="468" w:right="0" w:hanging="360"/>
              <w:jc w:val="left"/>
              <w:rPr>
                <w:sz w:val="22"/>
              </w:rPr>
            </w:pPr>
            <w:r>
              <w:rPr>
                <w:sz w:val="22"/>
              </w:rPr>
              <w:t>Emeritus</w:t>
            </w:r>
            <w:r>
              <w:rPr>
                <w:spacing w:val="-4"/>
                <w:sz w:val="22"/>
              </w:rPr>
              <w:t> </w:t>
            </w:r>
            <w:r>
              <w:rPr>
                <w:sz w:val="22"/>
              </w:rPr>
              <w:t>(masculine)</w:t>
            </w:r>
          </w:p>
          <w:p>
            <w:pPr>
              <w:pStyle w:val="TableParagraph"/>
              <w:numPr>
                <w:ilvl w:val="0"/>
                <w:numId w:val="1"/>
              </w:numPr>
              <w:tabs>
                <w:tab w:pos="468" w:val="left" w:leader="none"/>
              </w:tabs>
              <w:spacing w:line="256" w:lineRule="exact" w:before="0" w:after="0"/>
              <w:ind w:left="467" w:right="0" w:hanging="360"/>
              <w:jc w:val="left"/>
              <w:rPr>
                <w:sz w:val="14"/>
              </w:rPr>
            </w:pPr>
            <w:r>
              <w:rPr>
                <w:sz w:val="22"/>
              </w:rPr>
              <w:t>Administrative</w:t>
            </w:r>
            <w:r>
              <w:rPr>
                <w:spacing w:val="-2"/>
                <w:sz w:val="22"/>
              </w:rPr>
              <w:t> </w:t>
            </w:r>
            <w:r>
              <w:rPr>
                <w:sz w:val="22"/>
              </w:rPr>
              <w:t>staff</w:t>
            </w:r>
            <w:hyperlink w:history="true" w:anchor="_bookmark0">
              <w:r>
                <w:rPr>
                  <w:position w:val="8"/>
                  <w:sz w:val="14"/>
                </w:rPr>
                <w:t>1</w:t>
              </w:r>
            </w:hyperlink>
          </w:p>
        </w:tc>
        <w:tc>
          <w:tcPr>
            <w:tcW w:w="5580" w:type="dxa"/>
          </w:tcPr>
          <w:p>
            <w:pPr>
              <w:pStyle w:val="TableParagraph"/>
              <w:numPr>
                <w:ilvl w:val="0"/>
                <w:numId w:val="2"/>
              </w:numPr>
              <w:tabs>
                <w:tab w:pos="466" w:val="left" w:leader="none"/>
              </w:tabs>
              <w:spacing w:line="240" w:lineRule="auto" w:before="0" w:after="0"/>
              <w:ind w:left="465" w:right="0" w:hanging="361"/>
              <w:jc w:val="left"/>
              <w:rPr>
                <w:sz w:val="22"/>
              </w:rPr>
            </w:pPr>
            <w:r>
              <w:rPr>
                <w:sz w:val="22"/>
              </w:rPr>
              <w:t>Emeritum</w:t>
            </w:r>
            <w:r>
              <w:rPr>
                <w:spacing w:val="-2"/>
                <w:sz w:val="22"/>
              </w:rPr>
              <w:t> </w:t>
            </w:r>
            <w:r>
              <w:rPr>
                <w:sz w:val="22"/>
              </w:rPr>
              <w:t>(non-binary)</w:t>
            </w:r>
          </w:p>
          <w:p>
            <w:pPr>
              <w:pStyle w:val="TableParagraph"/>
              <w:numPr>
                <w:ilvl w:val="0"/>
                <w:numId w:val="2"/>
              </w:numPr>
              <w:tabs>
                <w:tab w:pos="466" w:val="left" w:leader="none"/>
              </w:tabs>
              <w:spacing w:line="240" w:lineRule="auto" w:before="1" w:after="0"/>
              <w:ind w:left="465" w:right="0" w:hanging="361"/>
              <w:jc w:val="left"/>
              <w:rPr>
                <w:sz w:val="22"/>
              </w:rPr>
            </w:pPr>
            <w:r>
              <w:rPr>
                <w:sz w:val="22"/>
              </w:rPr>
              <w:t>Administrators (current</w:t>
            </w:r>
            <w:r>
              <w:rPr>
                <w:spacing w:val="-5"/>
                <w:sz w:val="22"/>
              </w:rPr>
              <w:t> </w:t>
            </w:r>
            <w:r>
              <w:rPr>
                <w:sz w:val="22"/>
              </w:rPr>
              <w:t>terminology)</w:t>
            </w:r>
          </w:p>
        </w:tc>
      </w:tr>
      <w:tr>
        <w:trPr>
          <w:trHeight w:val="1770" w:hRule="atLeast"/>
        </w:trPr>
        <w:tc>
          <w:tcPr>
            <w:tcW w:w="355" w:type="dxa"/>
            <w:vMerge w:val="restart"/>
          </w:tcPr>
          <w:p>
            <w:pPr>
              <w:pStyle w:val="TableParagraph"/>
              <w:ind w:left="107"/>
              <w:rPr>
                <w:b/>
                <w:sz w:val="22"/>
              </w:rPr>
            </w:pPr>
            <w:r>
              <w:rPr>
                <w:b/>
                <w:w w:val="100"/>
                <w:sz w:val="22"/>
              </w:rPr>
              <w:t>3</w:t>
            </w:r>
          </w:p>
        </w:tc>
        <w:tc>
          <w:tcPr>
            <w:tcW w:w="1620" w:type="dxa"/>
            <w:vMerge w:val="restart"/>
          </w:tcPr>
          <w:p>
            <w:pPr>
              <w:pStyle w:val="TableParagraph"/>
              <w:ind w:left="107" w:right="321"/>
              <w:rPr>
                <w:sz w:val="22"/>
              </w:rPr>
            </w:pPr>
            <w:r>
              <w:rPr>
                <w:sz w:val="22"/>
              </w:rPr>
              <w:t>Awarding of Emeritus/ Emeritum Status</w:t>
            </w:r>
          </w:p>
        </w:tc>
        <w:tc>
          <w:tcPr>
            <w:tcW w:w="2971" w:type="dxa"/>
          </w:tcPr>
          <w:p>
            <w:pPr>
              <w:pStyle w:val="TableParagraph"/>
              <w:ind w:left="108" w:right="166"/>
              <w:rPr>
                <w:sz w:val="22"/>
              </w:rPr>
            </w:pPr>
            <w:r>
              <w:rPr>
                <w:sz w:val="22"/>
                <w:u w:val="single"/>
              </w:rPr>
              <w:t>Faculty &amp; Academic Staff:</w:t>
            </w:r>
            <w:r>
              <w:rPr>
                <w:sz w:val="22"/>
              </w:rPr>
              <w:t> Automatically granted upon university retirement.</w:t>
            </w:r>
          </w:p>
        </w:tc>
        <w:tc>
          <w:tcPr>
            <w:tcW w:w="5580" w:type="dxa"/>
          </w:tcPr>
          <w:p>
            <w:pPr>
              <w:pStyle w:val="TableParagraph"/>
              <w:spacing w:line="252" w:lineRule="exact"/>
              <w:rPr>
                <w:sz w:val="22"/>
              </w:rPr>
            </w:pPr>
            <w:r>
              <w:rPr>
                <w:sz w:val="22"/>
                <w:u w:val="single"/>
              </w:rPr>
              <w:t>Faculty &amp; Academic Staff:</w:t>
            </w:r>
          </w:p>
          <w:p>
            <w:pPr>
              <w:pStyle w:val="TableParagraph"/>
              <w:ind w:right="211"/>
              <w:rPr>
                <w:sz w:val="22"/>
              </w:rPr>
            </w:pPr>
            <w:r>
              <w:rPr>
                <w:sz w:val="22"/>
              </w:rPr>
              <w:t>New process to include a written recommendation from the unit administrator (e.g., chair) and major administrative unit head (e.g., dean). Written approval is required by the Office for Faculty and Academic Staff Affairs (FASA).</w:t>
            </w:r>
          </w:p>
        </w:tc>
      </w:tr>
      <w:tr>
        <w:trPr>
          <w:trHeight w:val="3794" w:hRule="atLeast"/>
        </w:trPr>
        <w:tc>
          <w:tcPr>
            <w:tcW w:w="355" w:type="dxa"/>
            <w:vMerge/>
            <w:tcBorders>
              <w:top w:val="nil"/>
            </w:tcBorders>
          </w:tcPr>
          <w:p>
            <w:pPr>
              <w:rPr>
                <w:sz w:val="2"/>
                <w:szCs w:val="2"/>
              </w:rPr>
            </w:pPr>
          </w:p>
        </w:tc>
        <w:tc>
          <w:tcPr>
            <w:tcW w:w="1620" w:type="dxa"/>
            <w:vMerge/>
            <w:tcBorders>
              <w:top w:val="nil"/>
            </w:tcBorders>
          </w:tcPr>
          <w:p>
            <w:pPr>
              <w:rPr>
                <w:sz w:val="2"/>
                <w:szCs w:val="2"/>
              </w:rPr>
            </w:pPr>
          </w:p>
        </w:tc>
        <w:tc>
          <w:tcPr>
            <w:tcW w:w="2971" w:type="dxa"/>
          </w:tcPr>
          <w:p>
            <w:pPr>
              <w:pStyle w:val="TableParagraph"/>
              <w:ind w:left="108" w:right="166"/>
              <w:rPr>
                <w:sz w:val="22"/>
              </w:rPr>
            </w:pPr>
            <w:r>
              <w:rPr>
                <w:sz w:val="22"/>
                <w:u w:val="single"/>
              </w:rPr>
              <w:t>Administrative Staff:</w:t>
            </w:r>
            <w:r>
              <w:rPr>
                <w:sz w:val="22"/>
              </w:rPr>
              <w:t> Automatically granted upon university retirement.</w:t>
            </w:r>
          </w:p>
        </w:tc>
        <w:tc>
          <w:tcPr>
            <w:tcW w:w="5580" w:type="dxa"/>
          </w:tcPr>
          <w:p>
            <w:pPr>
              <w:pStyle w:val="TableParagraph"/>
              <w:spacing w:line="252" w:lineRule="exact"/>
              <w:rPr>
                <w:sz w:val="22"/>
              </w:rPr>
            </w:pPr>
            <w:r>
              <w:rPr>
                <w:sz w:val="22"/>
                <w:u w:val="single"/>
              </w:rPr>
              <w:t>Administrators:</w:t>
            </w:r>
          </w:p>
          <w:p>
            <w:pPr>
              <w:pStyle w:val="TableParagraph"/>
              <w:numPr>
                <w:ilvl w:val="0"/>
                <w:numId w:val="3"/>
              </w:numPr>
              <w:tabs>
                <w:tab w:pos="466" w:val="left" w:leader="none"/>
              </w:tabs>
              <w:spacing w:line="240" w:lineRule="auto" w:before="0" w:after="0"/>
              <w:ind w:left="465" w:right="211" w:hanging="360"/>
              <w:jc w:val="left"/>
              <w:rPr>
                <w:sz w:val="22"/>
              </w:rPr>
            </w:pPr>
            <w:r>
              <w:rPr>
                <w:i/>
                <w:sz w:val="22"/>
              </w:rPr>
              <w:t>Deans and executive managers</w:t>
            </w:r>
            <w:r>
              <w:rPr>
                <w:sz w:val="22"/>
              </w:rPr>
              <w:t>: Process now includes the administrator to submit a formal letter of request to their supervisor, and written approval by supervisor, major administrative unit head, and the Office for</w:t>
            </w:r>
            <w:r>
              <w:rPr>
                <w:spacing w:val="-5"/>
                <w:sz w:val="22"/>
              </w:rPr>
              <w:t> </w:t>
            </w:r>
            <w:r>
              <w:rPr>
                <w:sz w:val="22"/>
              </w:rPr>
              <w:t>FASA.</w:t>
            </w:r>
          </w:p>
          <w:p>
            <w:pPr>
              <w:pStyle w:val="TableParagraph"/>
              <w:ind w:left="0"/>
              <w:rPr>
                <w:b/>
                <w:sz w:val="22"/>
              </w:rPr>
            </w:pPr>
          </w:p>
          <w:p>
            <w:pPr>
              <w:pStyle w:val="TableParagraph"/>
              <w:numPr>
                <w:ilvl w:val="0"/>
                <w:numId w:val="3"/>
              </w:numPr>
              <w:tabs>
                <w:tab w:pos="466" w:val="left" w:leader="none"/>
              </w:tabs>
              <w:spacing w:line="240" w:lineRule="auto" w:before="0" w:after="0"/>
              <w:ind w:left="465" w:right="139" w:hanging="360"/>
              <w:jc w:val="left"/>
              <w:rPr>
                <w:i/>
                <w:sz w:val="22"/>
              </w:rPr>
            </w:pPr>
            <w:r>
              <w:rPr>
                <w:i/>
                <w:sz w:val="22"/>
              </w:rPr>
              <w:t>All other administrators (e.g., chairperson/school </w:t>
            </w:r>
            <w:r>
              <w:rPr>
                <w:i/>
                <w:sz w:val="22"/>
              </w:rPr>
              <w:t>director, associate dean): </w:t>
            </w:r>
            <w:r>
              <w:rPr>
                <w:sz w:val="22"/>
              </w:rPr>
              <w:t>Process now includes a written recommendation from the unit</w:t>
            </w:r>
            <w:r>
              <w:rPr>
                <w:spacing w:val="-25"/>
                <w:sz w:val="22"/>
              </w:rPr>
              <w:t> </w:t>
            </w:r>
            <w:r>
              <w:rPr>
                <w:sz w:val="22"/>
              </w:rPr>
              <w:t>administrator (e.g., chair) and major administrative unit head (e.g., dean). Written approval is required by the Office for FASA. </w:t>
            </w:r>
            <w:r>
              <w:rPr>
                <w:i/>
                <w:sz w:val="22"/>
              </w:rPr>
              <w:t>(Note: This is the same process </w:t>
            </w:r>
            <w:r>
              <w:rPr>
                <w:i/>
                <w:sz w:val="22"/>
              </w:rPr>
              <w:t>for faculty and academic staff</w:t>
            </w:r>
            <w:r>
              <w:rPr>
                <w:i/>
                <w:spacing w:val="-5"/>
                <w:sz w:val="22"/>
              </w:rPr>
              <w:t> </w:t>
            </w:r>
            <w:r>
              <w:rPr>
                <w:i/>
                <w:sz w:val="22"/>
              </w:rPr>
              <w:t>above)</w:t>
            </w:r>
          </w:p>
        </w:tc>
      </w:tr>
      <w:tr>
        <w:trPr>
          <w:trHeight w:val="1792" w:hRule="atLeast"/>
        </w:trPr>
        <w:tc>
          <w:tcPr>
            <w:tcW w:w="355" w:type="dxa"/>
            <w:vMerge w:val="restart"/>
          </w:tcPr>
          <w:p>
            <w:pPr>
              <w:pStyle w:val="TableParagraph"/>
              <w:ind w:left="107"/>
              <w:rPr>
                <w:b/>
                <w:sz w:val="22"/>
              </w:rPr>
            </w:pPr>
            <w:r>
              <w:rPr>
                <w:b/>
                <w:w w:val="100"/>
                <w:sz w:val="22"/>
              </w:rPr>
              <w:t>4</w:t>
            </w:r>
          </w:p>
        </w:tc>
        <w:tc>
          <w:tcPr>
            <w:tcW w:w="1620" w:type="dxa"/>
            <w:vMerge w:val="restart"/>
          </w:tcPr>
          <w:p>
            <w:pPr>
              <w:pStyle w:val="TableParagraph"/>
              <w:ind w:left="107" w:right="370"/>
              <w:rPr>
                <w:sz w:val="22"/>
              </w:rPr>
            </w:pPr>
            <w:r>
              <w:rPr>
                <w:sz w:val="22"/>
              </w:rPr>
              <w:t>Appeal Process for Negative Decisions</w:t>
            </w:r>
          </w:p>
        </w:tc>
        <w:tc>
          <w:tcPr>
            <w:tcW w:w="2971" w:type="dxa"/>
          </w:tcPr>
          <w:p>
            <w:pPr>
              <w:pStyle w:val="TableParagraph"/>
              <w:ind w:left="108" w:right="314"/>
              <w:rPr>
                <w:sz w:val="22"/>
              </w:rPr>
            </w:pPr>
            <w:r>
              <w:rPr>
                <w:sz w:val="22"/>
                <w:u w:val="single"/>
              </w:rPr>
              <w:t>Faculty &amp; Academic Staff:</w:t>
            </w:r>
            <w:r>
              <w:rPr>
                <w:sz w:val="22"/>
              </w:rPr>
              <w:t> N/A</w:t>
            </w:r>
          </w:p>
        </w:tc>
        <w:tc>
          <w:tcPr>
            <w:tcW w:w="5580" w:type="dxa"/>
          </w:tcPr>
          <w:p>
            <w:pPr>
              <w:pStyle w:val="TableParagraph"/>
              <w:spacing w:line="252" w:lineRule="exact"/>
              <w:rPr>
                <w:sz w:val="22"/>
              </w:rPr>
            </w:pPr>
            <w:r>
              <w:rPr>
                <w:sz w:val="22"/>
                <w:u w:val="single"/>
              </w:rPr>
              <w:t>Faculty &amp; Academic Staff:</w:t>
            </w:r>
          </w:p>
          <w:p>
            <w:pPr>
              <w:pStyle w:val="TableParagraph"/>
              <w:ind w:right="175"/>
              <w:rPr>
                <w:sz w:val="22"/>
              </w:rPr>
            </w:pPr>
            <w:r>
              <w:rPr>
                <w:sz w:val="22"/>
              </w:rPr>
              <w:t>Appeal process added and includes review by the University Committee on Faculty Affairs (UCFA). If the UCFA determines the appeal has merit, the relevant documents are forwarded to the Provost who makes the final decision.</w:t>
            </w:r>
          </w:p>
        </w:tc>
      </w:tr>
      <w:tr>
        <w:trPr>
          <w:trHeight w:val="760" w:hRule="atLeast"/>
        </w:trPr>
        <w:tc>
          <w:tcPr>
            <w:tcW w:w="355" w:type="dxa"/>
            <w:vMerge/>
            <w:tcBorders>
              <w:top w:val="nil"/>
            </w:tcBorders>
          </w:tcPr>
          <w:p>
            <w:pPr>
              <w:rPr>
                <w:sz w:val="2"/>
                <w:szCs w:val="2"/>
              </w:rPr>
            </w:pPr>
          </w:p>
        </w:tc>
        <w:tc>
          <w:tcPr>
            <w:tcW w:w="1620" w:type="dxa"/>
            <w:vMerge/>
            <w:tcBorders>
              <w:top w:val="nil"/>
            </w:tcBorders>
          </w:tcPr>
          <w:p>
            <w:pPr>
              <w:rPr>
                <w:sz w:val="2"/>
                <w:szCs w:val="2"/>
              </w:rPr>
            </w:pPr>
          </w:p>
        </w:tc>
        <w:tc>
          <w:tcPr>
            <w:tcW w:w="2971" w:type="dxa"/>
          </w:tcPr>
          <w:p>
            <w:pPr>
              <w:pStyle w:val="TableParagraph"/>
              <w:spacing w:before="2"/>
              <w:ind w:left="108" w:right="876"/>
              <w:rPr>
                <w:sz w:val="22"/>
              </w:rPr>
            </w:pPr>
            <w:r>
              <w:rPr>
                <w:sz w:val="22"/>
                <w:u w:val="single"/>
              </w:rPr>
              <w:t>Administrative Staff:</w:t>
            </w:r>
            <w:r>
              <w:rPr>
                <w:sz w:val="22"/>
              </w:rPr>
              <w:t> N/A</w:t>
            </w:r>
          </w:p>
        </w:tc>
        <w:tc>
          <w:tcPr>
            <w:tcW w:w="5580" w:type="dxa"/>
          </w:tcPr>
          <w:p>
            <w:pPr>
              <w:pStyle w:val="TableParagraph"/>
              <w:spacing w:line="252" w:lineRule="exact" w:before="2"/>
              <w:rPr>
                <w:sz w:val="22"/>
              </w:rPr>
            </w:pPr>
            <w:r>
              <w:rPr>
                <w:sz w:val="22"/>
                <w:u w:val="single"/>
              </w:rPr>
              <w:t>Administrators:</w:t>
            </w:r>
          </w:p>
          <w:p>
            <w:pPr>
              <w:pStyle w:val="TableParagraph"/>
              <w:spacing w:line="252" w:lineRule="exact"/>
              <w:rPr>
                <w:sz w:val="22"/>
              </w:rPr>
            </w:pPr>
            <w:r>
              <w:rPr>
                <w:sz w:val="22"/>
              </w:rPr>
              <w:t>No appeal process.</w:t>
            </w:r>
          </w:p>
        </w:tc>
      </w:tr>
      <w:tr>
        <w:trPr>
          <w:trHeight w:val="1012" w:hRule="atLeast"/>
        </w:trPr>
        <w:tc>
          <w:tcPr>
            <w:tcW w:w="355" w:type="dxa"/>
          </w:tcPr>
          <w:p>
            <w:pPr>
              <w:pStyle w:val="TableParagraph"/>
              <w:ind w:left="0" w:right="4"/>
              <w:jc w:val="center"/>
              <w:rPr>
                <w:b/>
                <w:sz w:val="22"/>
              </w:rPr>
            </w:pPr>
            <w:r>
              <w:rPr>
                <w:b/>
                <w:w w:val="100"/>
                <w:sz w:val="22"/>
              </w:rPr>
              <w:t>5</w:t>
            </w:r>
          </w:p>
        </w:tc>
        <w:tc>
          <w:tcPr>
            <w:tcW w:w="1620" w:type="dxa"/>
          </w:tcPr>
          <w:p>
            <w:pPr>
              <w:pStyle w:val="TableParagraph"/>
              <w:ind w:left="107" w:right="150"/>
              <w:rPr>
                <w:sz w:val="22"/>
              </w:rPr>
            </w:pPr>
            <w:r>
              <w:rPr>
                <w:sz w:val="22"/>
              </w:rPr>
              <w:t>Granting of Emeritum Status After a</w:t>
            </w:r>
          </w:p>
          <w:p>
            <w:pPr>
              <w:pStyle w:val="TableParagraph"/>
              <w:spacing w:line="234" w:lineRule="exact"/>
              <w:ind w:left="107"/>
              <w:rPr>
                <w:sz w:val="22"/>
              </w:rPr>
            </w:pPr>
            <w:r>
              <w:rPr>
                <w:sz w:val="22"/>
              </w:rPr>
              <w:t>Substantial</w:t>
            </w:r>
          </w:p>
        </w:tc>
        <w:tc>
          <w:tcPr>
            <w:tcW w:w="2971" w:type="dxa"/>
          </w:tcPr>
          <w:p>
            <w:pPr>
              <w:pStyle w:val="TableParagraph"/>
              <w:ind w:left="108" w:right="93"/>
              <w:rPr>
                <w:sz w:val="22"/>
              </w:rPr>
            </w:pPr>
            <w:r>
              <w:rPr>
                <w:sz w:val="22"/>
                <w:u w:val="single"/>
              </w:rPr>
              <w:t>Faculty, academic staff, and</w:t>
            </w:r>
            <w:r>
              <w:rPr>
                <w:sz w:val="22"/>
              </w:rPr>
              <w:t> </w:t>
            </w:r>
            <w:r>
              <w:rPr>
                <w:sz w:val="22"/>
                <w:u w:val="single"/>
              </w:rPr>
              <w:t>administrative staff:</w:t>
            </w:r>
          </w:p>
          <w:p>
            <w:pPr>
              <w:pStyle w:val="TableParagraph"/>
              <w:spacing w:line="252" w:lineRule="exact" w:before="5"/>
              <w:ind w:left="108" w:right="150"/>
              <w:rPr>
                <w:sz w:val="22"/>
              </w:rPr>
            </w:pPr>
            <w:r>
              <w:rPr>
                <w:sz w:val="22"/>
              </w:rPr>
              <w:t>Approval by President, upon recommendation from</w:t>
            </w:r>
          </w:p>
        </w:tc>
        <w:tc>
          <w:tcPr>
            <w:tcW w:w="5580" w:type="dxa"/>
          </w:tcPr>
          <w:p>
            <w:pPr>
              <w:pStyle w:val="TableParagraph"/>
              <w:spacing w:line="252" w:lineRule="exact"/>
              <w:rPr>
                <w:sz w:val="22"/>
              </w:rPr>
            </w:pPr>
            <w:r>
              <w:rPr>
                <w:sz w:val="22"/>
                <w:u w:val="single"/>
              </w:rPr>
              <w:t>Faculty &amp; Academic Staff:</w:t>
            </w:r>
          </w:p>
          <w:p>
            <w:pPr>
              <w:pStyle w:val="TableParagraph"/>
              <w:spacing w:line="252" w:lineRule="exact"/>
              <w:rPr>
                <w:sz w:val="22"/>
              </w:rPr>
            </w:pPr>
            <w:r>
              <w:rPr>
                <w:sz w:val="22"/>
              </w:rPr>
              <w:t>No change; process remains the same.</w:t>
            </w:r>
          </w:p>
        </w:tc>
      </w:tr>
    </w:tbl>
    <w:p>
      <w:pPr>
        <w:pStyle w:val="BodyText"/>
        <w:spacing w:before="6"/>
        <w:rPr>
          <w:b/>
          <w:sz w:val="20"/>
        </w:rPr>
      </w:pPr>
      <w:r>
        <w:rPr/>
        <w:pict>
          <v:shape style="position:absolute;margin-left:50.400002pt;margin-top:14.16pt;width:144pt;height:.1pt;mso-position-horizontal-relative:page;mso-position-vertical-relative:paragraph;z-index:-251658240;mso-wrap-distance-left:0;mso-wrap-distance-right:0" coordorigin="1008,283" coordsize="2880,0" path="m1008,283l3888,283e" filled="false" stroked="true" strokeweight=".72pt" strokecolor="#000000">
            <v:path arrowok="t"/>
            <v:stroke dashstyle="solid"/>
            <w10:wrap type="topAndBottom"/>
          </v:shape>
        </w:pict>
      </w:r>
    </w:p>
    <w:p>
      <w:pPr>
        <w:pStyle w:val="BodyText"/>
        <w:spacing w:line="273" w:lineRule="auto" w:before="66"/>
        <w:ind w:left="468" w:right="1125" w:hanging="1"/>
      </w:pPr>
      <w:bookmarkStart w:name="_bookmark0" w:id="1"/>
      <w:bookmarkEnd w:id="1"/>
      <w:r>
        <w:rPr/>
      </w:r>
      <w:r>
        <w:rPr>
          <w:rFonts w:ascii="Calibri"/>
          <w:position w:val="8"/>
          <w:sz w:val="14"/>
        </w:rPr>
        <w:t>1 </w:t>
      </w:r>
      <w:r>
        <w:rPr/>
        <w:t>Includes executive managers such as vice presidents, associate vice presidents, etc., and academic managers such as deans, associate/assistant deans, chairpersons/school directors.</w:t>
      </w:r>
    </w:p>
    <w:p>
      <w:pPr>
        <w:spacing w:after="0" w:line="273" w:lineRule="auto"/>
        <w:sectPr>
          <w:type w:val="continuous"/>
          <w:pgSz w:w="12240" w:h="15840"/>
          <w:pgMar w:top="720" w:bottom="280" w:left="900" w:right="580"/>
        </w:sectPr>
      </w:pPr>
    </w:p>
    <w:tbl>
      <w:tblPr>
        <w:tblW w:w="0" w:type="auto"/>
        <w:jc w:val="left"/>
        <w:tblInd w:w="1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355"/>
        <w:gridCol w:w="1620"/>
        <w:gridCol w:w="2971"/>
        <w:gridCol w:w="5580"/>
      </w:tblGrid>
      <w:tr>
        <w:trPr>
          <w:trHeight w:val="1264" w:hRule="atLeast"/>
        </w:trPr>
        <w:tc>
          <w:tcPr>
            <w:tcW w:w="355" w:type="dxa"/>
          </w:tcPr>
          <w:p>
            <w:pPr>
              <w:pStyle w:val="TableParagraph"/>
              <w:ind w:left="0"/>
              <w:rPr>
                <w:rFonts w:ascii="Times New Roman"/>
                <w:sz w:val="22"/>
              </w:rPr>
            </w:pPr>
          </w:p>
        </w:tc>
        <w:tc>
          <w:tcPr>
            <w:tcW w:w="1620" w:type="dxa"/>
          </w:tcPr>
          <w:p>
            <w:pPr>
              <w:pStyle w:val="TableParagraph"/>
              <w:ind w:left="107" w:right="602"/>
              <w:rPr>
                <w:sz w:val="22"/>
              </w:rPr>
            </w:pPr>
            <w:r>
              <w:rPr>
                <w:sz w:val="22"/>
              </w:rPr>
              <w:t>Period of Service</w:t>
            </w:r>
          </w:p>
        </w:tc>
        <w:tc>
          <w:tcPr>
            <w:tcW w:w="2971" w:type="dxa"/>
          </w:tcPr>
          <w:p>
            <w:pPr>
              <w:pStyle w:val="TableParagraph"/>
              <w:ind w:left="108" w:right="350"/>
              <w:rPr>
                <w:sz w:val="22"/>
              </w:rPr>
            </w:pPr>
            <w:r>
              <w:rPr>
                <w:sz w:val="22"/>
              </w:rPr>
              <w:t>Provost to President after Provost consults with UCFA.</w:t>
            </w:r>
          </w:p>
        </w:tc>
        <w:tc>
          <w:tcPr>
            <w:tcW w:w="5580" w:type="dxa"/>
          </w:tcPr>
          <w:p>
            <w:pPr>
              <w:pStyle w:val="TableParagraph"/>
              <w:ind w:right="150"/>
              <w:rPr>
                <w:sz w:val="22"/>
              </w:rPr>
            </w:pPr>
            <w:r>
              <w:rPr>
                <w:sz w:val="22"/>
                <w:u w:val="single"/>
              </w:rPr>
              <w:t>Administrators</w:t>
            </w:r>
            <w:r>
              <w:rPr>
                <w:sz w:val="22"/>
              </w:rPr>
              <w:t>: Different process for administrators which includes: the administrator must submit a formal letter of request, then approval of the supervisor, the MAU unit head, FASA, and the President.</w:t>
            </w:r>
          </w:p>
        </w:tc>
      </w:tr>
      <w:tr>
        <w:trPr>
          <w:trHeight w:val="4048" w:hRule="atLeast"/>
        </w:trPr>
        <w:tc>
          <w:tcPr>
            <w:tcW w:w="355" w:type="dxa"/>
          </w:tcPr>
          <w:p>
            <w:pPr>
              <w:pStyle w:val="TableParagraph"/>
              <w:ind w:left="0" w:right="4"/>
              <w:jc w:val="center"/>
              <w:rPr>
                <w:b/>
                <w:sz w:val="22"/>
              </w:rPr>
            </w:pPr>
            <w:r>
              <w:rPr>
                <w:b/>
                <w:w w:val="100"/>
                <w:sz w:val="22"/>
              </w:rPr>
              <w:t>6</w:t>
            </w:r>
          </w:p>
        </w:tc>
        <w:tc>
          <w:tcPr>
            <w:tcW w:w="1620" w:type="dxa"/>
          </w:tcPr>
          <w:p>
            <w:pPr>
              <w:pStyle w:val="TableParagraph"/>
              <w:ind w:left="107" w:right="137"/>
              <w:rPr>
                <w:b/>
                <w:sz w:val="22"/>
              </w:rPr>
            </w:pPr>
            <w:r>
              <w:rPr>
                <w:sz w:val="22"/>
              </w:rPr>
              <w:t>Revocation of Emeritus/ Emeritum Status: </w:t>
            </w:r>
            <w:r>
              <w:rPr>
                <w:b/>
                <w:sz w:val="22"/>
              </w:rPr>
              <w:t>Process</w:t>
            </w:r>
          </w:p>
        </w:tc>
        <w:tc>
          <w:tcPr>
            <w:tcW w:w="2971" w:type="dxa"/>
          </w:tcPr>
          <w:p>
            <w:pPr>
              <w:pStyle w:val="TableParagraph"/>
              <w:ind w:left="108" w:right="113"/>
              <w:rPr>
                <w:sz w:val="22"/>
              </w:rPr>
            </w:pPr>
            <w:r>
              <w:rPr>
                <w:sz w:val="22"/>
                <w:u w:val="single"/>
              </w:rPr>
              <w:t>Faculty, academic staff,</w:t>
            </w:r>
            <w:r>
              <w:rPr>
                <w:spacing w:val="-13"/>
                <w:sz w:val="22"/>
                <w:u w:val="single"/>
              </w:rPr>
              <w:t> </w:t>
            </w:r>
            <w:r>
              <w:rPr>
                <w:sz w:val="22"/>
                <w:u w:val="single"/>
              </w:rPr>
              <w:t>and</w:t>
            </w:r>
            <w:r>
              <w:rPr>
                <w:sz w:val="22"/>
              </w:rPr>
              <w:t> </w:t>
            </w:r>
            <w:r>
              <w:rPr>
                <w:sz w:val="22"/>
                <w:u w:val="single"/>
              </w:rPr>
              <w:t>administrative staff:</w:t>
            </w:r>
            <w:r>
              <w:rPr>
                <w:sz w:val="22"/>
              </w:rPr>
              <w:t> Approval by President, upon recommendation from Provost to President after Provost consults with UCFA.</w:t>
            </w:r>
          </w:p>
        </w:tc>
        <w:tc>
          <w:tcPr>
            <w:tcW w:w="5580" w:type="dxa"/>
          </w:tcPr>
          <w:p>
            <w:pPr>
              <w:pStyle w:val="TableParagraph"/>
              <w:ind w:right="199"/>
              <w:rPr>
                <w:sz w:val="22"/>
              </w:rPr>
            </w:pPr>
            <w:r>
              <w:rPr>
                <w:sz w:val="22"/>
                <w:u w:val="single"/>
              </w:rPr>
              <w:t>Faculty &amp; Academic Staff:</w:t>
            </w:r>
            <w:r>
              <w:rPr>
                <w:sz w:val="22"/>
              </w:rPr>
              <w:t> Process remains the same. The new policy codifies:</w:t>
            </w:r>
          </w:p>
          <w:p>
            <w:pPr>
              <w:pStyle w:val="TableParagraph"/>
              <w:spacing w:before="1"/>
              <w:ind w:left="0"/>
              <w:rPr>
                <w:sz w:val="22"/>
              </w:rPr>
            </w:pPr>
          </w:p>
          <w:p>
            <w:pPr>
              <w:pStyle w:val="TableParagraph"/>
              <w:numPr>
                <w:ilvl w:val="0"/>
                <w:numId w:val="4"/>
              </w:numPr>
              <w:tabs>
                <w:tab w:pos="826" w:val="left" w:leader="none"/>
              </w:tabs>
              <w:spacing w:line="240" w:lineRule="auto" w:before="0" w:after="0"/>
              <w:ind w:left="825" w:right="498" w:hanging="360"/>
              <w:jc w:val="left"/>
              <w:rPr>
                <w:sz w:val="22"/>
              </w:rPr>
            </w:pPr>
            <w:r>
              <w:rPr>
                <w:sz w:val="22"/>
              </w:rPr>
              <w:t>The Provost notifying the retired faculty member in writing and allowing them an opportunity for a response for consideration (this is current practice</w:t>
            </w:r>
            <w:r>
              <w:rPr>
                <w:spacing w:val="-6"/>
                <w:sz w:val="22"/>
              </w:rPr>
              <w:t> </w:t>
            </w:r>
            <w:r>
              <w:rPr>
                <w:sz w:val="22"/>
              </w:rPr>
              <w:t>today).</w:t>
            </w:r>
          </w:p>
          <w:p>
            <w:pPr>
              <w:pStyle w:val="TableParagraph"/>
              <w:numPr>
                <w:ilvl w:val="0"/>
                <w:numId w:val="4"/>
              </w:numPr>
              <w:tabs>
                <w:tab w:pos="826" w:val="left" w:leader="none"/>
              </w:tabs>
              <w:spacing w:line="240" w:lineRule="auto" w:before="0" w:after="0"/>
              <w:ind w:left="825" w:right="118" w:hanging="360"/>
              <w:jc w:val="left"/>
              <w:rPr>
                <w:sz w:val="22"/>
              </w:rPr>
            </w:pPr>
            <w:r>
              <w:rPr>
                <w:sz w:val="22"/>
              </w:rPr>
              <w:t>UCFA’s interpretation that the UCFA acts as an advisory body to the Provost (this is current practice today) rather than an</w:t>
            </w:r>
            <w:r>
              <w:rPr>
                <w:spacing w:val="-6"/>
                <w:sz w:val="22"/>
              </w:rPr>
              <w:t> </w:t>
            </w:r>
            <w:r>
              <w:rPr>
                <w:sz w:val="22"/>
              </w:rPr>
              <w:t>arbiter.</w:t>
            </w:r>
          </w:p>
          <w:p>
            <w:pPr>
              <w:pStyle w:val="TableParagraph"/>
              <w:ind w:left="0"/>
              <w:rPr>
                <w:sz w:val="22"/>
              </w:rPr>
            </w:pPr>
          </w:p>
          <w:p>
            <w:pPr>
              <w:pStyle w:val="TableParagraph"/>
              <w:ind w:right="174"/>
              <w:rPr>
                <w:sz w:val="22"/>
              </w:rPr>
            </w:pPr>
            <w:r>
              <w:rPr>
                <w:sz w:val="22"/>
                <w:u w:val="single"/>
              </w:rPr>
              <w:t>Administrators:</w:t>
            </w:r>
            <w:r>
              <w:rPr>
                <w:sz w:val="22"/>
              </w:rPr>
              <w:t> Different process for administrators which includes: a notification of intent to revoke will be sent to the retired administrator with an opportunity for a response. The President makes the</w:t>
            </w:r>
            <w:r>
              <w:rPr>
                <w:spacing w:val="-18"/>
                <w:sz w:val="22"/>
              </w:rPr>
              <w:t> </w:t>
            </w:r>
            <w:r>
              <w:rPr>
                <w:sz w:val="22"/>
              </w:rPr>
              <w:t>determination.</w:t>
            </w:r>
          </w:p>
        </w:tc>
      </w:tr>
      <w:tr>
        <w:trPr>
          <w:trHeight w:val="4806" w:hRule="atLeast"/>
        </w:trPr>
        <w:tc>
          <w:tcPr>
            <w:tcW w:w="355" w:type="dxa"/>
          </w:tcPr>
          <w:p>
            <w:pPr>
              <w:pStyle w:val="TableParagraph"/>
              <w:ind w:left="0" w:right="4"/>
              <w:jc w:val="center"/>
              <w:rPr>
                <w:b/>
                <w:sz w:val="22"/>
              </w:rPr>
            </w:pPr>
            <w:r>
              <w:rPr>
                <w:b/>
                <w:w w:val="100"/>
                <w:sz w:val="22"/>
              </w:rPr>
              <w:t>7</w:t>
            </w:r>
          </w:p>
        </w:tc>
        <w:tc>
          <w:tcPr>
            <w:tcW w:w="1620" w:type="dxa"/>
          </w:tcPr>
          <w:p>
            <w:pPr>
              <w:pStyle w:val="TableParagraph"/>
              <w:ind w:left="107" w:right="137"/>
              <w:rPr>
                <w:b/>
                <w:sz w:val="22"/>
              </w:rPr>
            </w:pPr>
            <w:r>
              <w:rPr>
                <w:sz w:val="22"/>
              </w:rPr>
              <w:t>Revocation of Emeritus/ Emeritum Status: </w:t>
            </w:r>
            <w:r>
              <w:rPr>
                <w:b/>
                <w:sz w:val="22"/>
              </w:rPr>
              <w:t>Criteria</w:t>
            </w:r>
          </w:p>
        </w:tc>
        <w:tc>
          <w:tcPr>
            <w:tcW w:w="2971" w:type="dxa"/>
          </w:tcPr>
          <w:p>
            <w:pPr>
              <w:pStyle w:val="TableParagraph"/>
              <w:ind w:left="108" w:right="93"/>
              <w:rPr>
                <w:sz w:val="22"/>
              </w:rPr>
            </w:pPr>
            <w:r>
              <w:rPr>
                <w:sz w:val="22"/>
                <w:u w:val="single"/>
              </w:rPr>
              <w:t>Faculty, academic staff, and</w:t>
            </w:r>
            <w:r>
              <w:rPr>
                <w:sz w:val="22"/>
              </w:rPr>
              <w:t> </w:t>
            </w:r>
            <w:r>
              <w:rPr>
                <w:sz w:val="22"/>
                <w:u w:val="single"/>
              </w:rPr>
              <w:t>administrative staff:</w:t>
            </w:r>
            <w:r>
              <w:rPr>
                <w:sz w:val="22"/>
              </w:rPr>
              <w:t> Behavior occurring or discovered </w:t>
            </w:r>
            <w:r>
              <w:rPr>
                <w:b/>
                <w:sz w:val="22"/>
              </w:rPr>
              <w:t>after </w:t>
            </w:r>
            <w:r>
              <w:rPr>
                <w:sz w:val="22"/>
              </w:rPr>
              <w:t>being awarded emeritus status is deemed to be substantially inconsistent with the behavior expected of MSU faculty, academic staff, and administrative staff</w:t>
            </w:r>
          </w:p>
        </w:tc>
        <w:tc>
          <w:tcPr>
            <w:tcW w:w="5580" w:type="dxa"/>
          </w:tcPr>
          <w:p>
            <w:pPr>
              <w:pStyle w:val="TableParagraph"/>
              <w:spacing w:line="252" w:lineRule="exact"/>
              <w:rPr>
                <w:sz w:val="22"/>
              </w:rPr>
            </w:pPr>
            <w:r>
              <w:rPr>
                <w:sz w:val="22"/>
                <w:u w:val="single"/>
              </w:rPr>
              <w:t>Faculty, Academic Staff, &amp; Administrators:</w:t>
            </w:r>
          </w:p>
          <w:p>
            <w:pPr>
              <w:pStyle w:val="TableParagraph"/>
              <w:ind w:right="577"/>
              <w:rPr>
                <w:sz w:val="22"/>
              </w:rPr>
            </w:pPr>
            <w:r>
              <w:rPr>
                <w:sz w:val="22"/>
              </w:rPr>
              <w:t>There are two criteria for revocation depending on when emeritus status was granted:</w:t>
            </w:r>
          </w:p>
          <w:p>
            <w:pPr>
              <w:pStyle w:val="TableParagraph"/>
              <w:spacing w:before="1"/>
              <w:ind w:left="0"/>
              <w:rPr>
                <w:sz w:val="22"/>
              </w:rPr>
            </w:pPr>
          </w:p>
          <w:p>
            <w:pPr>
              <w:pStyle w:val="TableParagraph"/>
              <w:numPr>
                <w:ilvl w:val="0"/>
                <w:numId w:val="5"/>
              </w:numPr>
              <w:tabs>
                <w:tab w:pos="826" w:val="left" w:leader="none"/>
              </w:tabs>
              <w:spacing w:line="240" w:lineRule="auto" w:before="0" w:after="0"/>
              <w:ind w:left="825" w:right="460" w:hanging="360"/>
              <w:jc w:val="left"/>
              <w:rPr>
                <w:sz w:val="22"/>
              </w:rPr>
            </w:pPr>
            <w:r>
              <w:rPr>
                <w:sz w:val="22"/>
              </w:rPr>
              <w:t>If emeritum status is granted under the new policy, there is no change to the criteria. Behavior must have occurred or discovered after emeritum status was actively</w:t>
            </w:r>
            <w:r>
              <w:rPr>
                <w:spacing w:val="-18"/>
                <w:sz w:val="22"/>
              </w:rPr>
              <w:t> </w:t>
            </w:r>
            <w:r>
              <w:rPr>
                <w:sz w:val="22"/>
              </w:rPr>
              <w:t>awarded.</w:t>
            </w:r>
          </w:p>
          <w:p>
            <w:pPr>
              <w:pStyle w:val="TableParagraph"/>
              <w:spacing w:before="11"/>
              <w:ind w:left="0"/>
              <w:rPr>
                <w:sz w:val="21"/>
              </w:rPr>
            </w:pPr>
          </w:p>
          <w:p>
            <w:pPr>
              <w:pStyle w:val="TableParagraph"/>
              <w:numPr>
                <w:ilvl w:val="0"/>
                <w:numId w:val="5"/>
              </w:numPr>
              <w:tabs>
                <w:tab w:pos="826" w:val="left" w:leader="none"/>
              </w:tabs>
              <w:spacing w:line="240" w:lineRule="auto" w:before="0" w:after="0"/>
              <w:ind w:left="825" w:right="154" w:hanging="360"/>
              <w:jc w:val="left"/>
              <w:rPr>
                <w:sz w:val="22"/>
              </w:rPr>
            </w:pPr>
            <w:r>
              <w:rPr>
                <w:sz w:val="22"/>
              </w:rPr>
              <w:t>If emeritus status was granted under the policy where emeritus status was automatically granted, emeritus status may be revoked based on behavior that is deemed to be substantially inconsistent with the behavior expected of Michigan State University faculty and academic staff, regardless of whether that behavior occurred before or after the automatic granting of emeritus</w:t>
            </w:r>
            <w:r>
              <w:rPr>
                <w:spacing w:val="2"/>
                <w:sz w:val="22"/>
              </w:rPr>
              <w:t> </w:t>
            </w:r>
            <w:r>
              <w:rPr>
                <w:sz w:val="22"/>
              </w:rPr>
              <w:t>status.</w:t>
            </w:r>
          </w:p>
        </w:tc>
      </w:tr>
    </w:tbl>
    <w:p>
      <w:pPr>
        <w:pStyle w:val="BodyText"/>
        <w:spacing w:before="5"/>
        <w:rPr>
          <w:sz w:val="29"/>
        </w:rPr>
      </w:pPr>
    </w:p>
    <w:p>
      <w:pPr>
        <w:spacing w:before="93"/>
        <w:ind w:left="107" w:right="0" w:firstLine="0"/>
        <w:jc w:val="left"/>
        <w:rPr>
          <w:b/>
          <w:sz w:val="22"/>
        </w:rPr>
      </w:pPr>
      <w:r>
        <w:rPr>
          <w:b/>
          <w:sz w:val="22"/>
          <w:u w:val="thick"/>
        </w:rPr>
        <w:t>Note:</w:t>
      </w:r>
    </w:p>
    <w:p>
      <w:pPr>
        <w:pStyle w:val="BodyText"/>
        <w:spacing w:line="259" w:lineRule="auto" w:before="184"/>
        <w:ind w:left="827" w:right="938" w:hanging="360"/>
      </w:pPr>
      <w:r>
        <w:rPr/>
        <w:t>1. The emeritus suffix remains unchanged for those granted emeritus status prior to this policy revision. Faculty/academic staff with the emeritus suffix may choose to officially change their suffix to emeritum.</w:t>
      </w:r>
    </w:p>
    <w:sectPr>
      <w:pgSz w:w="12240" w:h="15840"/>
      <w:pgMar w:top="720" w:bottom="280" w:left="9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25"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295" w:hanging="360"/>
      </w:pPr>
      <w:rPr>
        <w:rFonts w:hint="default"/>
        <w:lang w:val="en-us" w:eastAsia="en-us" w:bidi="en-us"/>
      </w:rPr>
    </w:lvl>
    <w:lvl w:ilvl="2">
      <w:start w:val="0"/>
      <w:numFmt w:val="bullet"/>
      <w:lvlText w:val="•"/>
      <w:lvlJc w:val="left"/>
      <w:pPr>
        <w:ind w:left="1770" w:hanging="360"/>
      </w:pPr>
      <w:rPr>
        <w:rFonts w:hint="default"/>
        <w:lang w:val="en-us" w:eastAsia="en-us" w:bidi="en-us"/>
      </w:rPr>
    </w:lvl>
    <w:lvl w:ilvl="3">
      <w:start w:val="0"/>
      <w:numFmt w:val="bullet"/>
      <w:lvlText w:val="•"/>
      <w:lvlJc w:val="left"/>
      <w:pPr>
        <w:ind w:left="2245" w:hanging="360"/>
      </w:pPr>
      <w:rPr>
        <w:rFonts w:hint="default"/>
        <w:lang w:val="en-us" w:eastAsia="en-us" w:bidi="en-us"/>
      </w:rPr>
    </w:lvl>
    <w:lvl w:ilvl="4">
      <w:start w:val="0"/>
      <w:numFmt w:val="bullet"/>
      <w:lvlText w:val="•"/>
      <w:lvlJc w:val="left"/>
      <w:pPr>
        <w:ind w:left="2720" w:hanging="360"/>
      </w:pPr>
      <w:rPr>
        <w:rFonts w:hint="default"/>
        <w:lang w:val="en-us" w:eastAsia="en-us" w:bidi="en-us"/>
      </w:rPr>
    </w:lvl>
    <w:lvl w:ilvl="5">
      <w:start w:val="0"/>
      <w:numFmt w:val="bullet"/>
      <w:lvlText w:val="•"/>
      <w:lvlJc w:val="left"/>
      <w:pPr>
        <w:ind w:left="3195" w:hanging="360"/>
      </w:pPr>
      <w:rPr>
        <w:rFonts w:hint="default"/>
        <w:lang w:val="en-us" w:eastAsia="en-us" w:bidi="en-us"/>
      </w:rPr>
    </w:lvl>
    <w:lvl w:ilvl="6">
      <w:start w:val="0"/>
      <w:numFmt w:val="bullet"/>
      <w:lvlText w:val="•"/>
      <w:lvlJc w:val="left"/>
      <w:pPr>
        <w:ind w:left="3670" w:hanging="360"/>
      </w:pPr>
      <w:rPr>
        <w:rFonts w:hint="default"/>
        <w:lang w:val="en-us" w:eastAsia="en-us" w:bidi="en-us"/>
      </w:rPr>
    </w:lvl>
    <w:lvl w:ilvl="7">
      <w:start w:val="0"/>
      <w:numFmt w:val="bullet"/>
      <w:lvlText w:val="•"/>
      <w:lvlJc w:val="left"/>
      <w:pPr>
        <w:ind w:left="4145" w:hanging="360"/>
      </w:pPr>
      <w:rPr>
        <w:rFonts w:hint="default"/>
        <w:lang w:val="en-us" w:eastAsia="en-us" w:bidi="en-us"/>
      </w:rPr>
    </w:lvl>
    <w:lvl w:ilvl="8">
      <w:start w:val="0"/>
      <w:numFmt w:val="bullet"/>
      <w:lvlText w:val="•"/>
      <w:lvlJc w:val="left"/>
      <w:pPr>
        <w:ind w:left="4620" w:hanging="360"/>
      </w:pPr>
      <w:rPr>
        <w:rFonts w:hint="default"/>
        <w:lang w:val="en-us" w:eastAsia="en-us" w:bidi="en-us"/>
      </w:rPr>
    </w:lvl>
  </w:abstractNum>
  <w:abstractNum w:abstractNumId="3">
    <w:multiLevelType w:val="hybridMultilevel"/>
    <w:lvl w:ilvl="0">
      <w:start w:val="1"/>
      <w:numFmt w:val="lowerLetter"/>
      <w:lvlText w:val="%1)"/>
      <w:lvlJc w:val="left"/>
      <w:pPr>
        <w:ind w:left="825"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295" w:hanging="360"/>
      </w:pPr>
      <w:rPr>
        <w:rFonts w:hint="default"/>
        <w:lang w:val="en-us" w:eastAsia="en-us" w:bidi="en-us"/>
      </w:rPr>
    </w:lvl>
    <w:lvl w:ilvl="2">
      <w:start w:val="0"/>
      <w:numFmt w:val="bullet"/>
      <w:lvlText w:val="•"/>
      <w:lvlJc w:val="left"/>
      <w:pPr>
        <w:ind w:left="1770" w:hanging="360"/>
      </w:pPr>
      <w:rPr>
        <w:rFonts w:hint="default"/>
        <w:lang w:val="en-us" w:eastAsia="en-us" w:bidi="en-us"/>
      </w:rPr>
    </w:lvl>
    <w:lvl w:ilvl="3">
      <w:start w:val="0"/>
      <w:numFmt w:val="bullet"/>
      <w:lvlText w:val="•"/>
      <w:lvlJc w:val="left"/>
      <w:pPr>
        <w:ind w:left="2245" w:hanging="360"/>
      </w:pPr>
      <w:rPr>
        <w:rFonts w:hint="default"/>
        <w:lang w:val="en-us" w:eastAsia="en-us" w:bidi="en-us"/>
      </w:rPr>
    </w:lvl>
    <w:lvl w:ilvl="4">
      <w:start w:val="0"/>
      <w:numFmt w:val="bullet"/>
      <w:lvlText w:val="•"/>
      <w:lvlJc w:val="left"/>
      <w:pPr>
        <w:ind w:left="2720" w:hanging="360"/>
      </w:pPr>
      <w:rPr>
        <w:rFonts w:hint="default"/>
        <w:lang w:val="en-us" w:eastAsia="en-us" w:bidi="en-us"/>
      </w:rPr>
    </w:lvl>
    <w:lvl w:ilvl="5">
      <w:start w:val="0"/>
      <w:numFmt w:val="bullet"/>
      <w:lvlText w:val="•"/>
      <w:lvlJc w:val="left"/>
      <w:pPr>
        <w:ind w:left="3195" w:hanging="360"/>
      </w:pPr>
      <w:rPr>
        <w:rFonts w:hint="default"/>
        <w:lang w:val="en-us" w:eastAsia="en-us" w:bidi="en-us"/>
      </w:rPr>
    </w:lvl>
    <w:lvl w:ilvl="6">
      <w:start w:val="0"/>
      <w:numFmt w:val="bullet"/>
      <w:lvlText w:val="•"/>
      <w:lvlJc w:val="left"/>
      <w:pPr>
        <w:ind w:left="3670" w:hanging="360"/>
      </w:pPr>
      <w:rPr>
        <w:rFonts w:hint="default"/>
        <w:lang w:val="en-us" w:eastAsia="en-us" w:bidi="en-us"/>
      </w:rPr>
    </w:lvl>
    <w:lvl w:ilvl="7">
      <w:start w:val="0"/>
      <w:numFmt w:val="bullet"/>
      <w:lvlText w:val="•"/>
      <w:lvlJc w:val="left"/>
      <w:pPr>
        <w:ind w:left="4145" w:hanging="360"/>
      </w:pPr>
      <w:rPr>
        <w:rFonts w:hint="default"/>
        <w:lang w:val="en-us" w:eastAsia="en-us" w:bidi="en-us"/>
      </w:rPr>
    </w:lvl>
    <w:lvl w:ilvl="8">
      <w:start w:val="0"/>
      <w:numFmt w:val="bullet"/>
      <w:lvlText w:val="•"/>
      <w:lvlJc w:val="left"/>
      <w:pPr>
        <w:ind w:left="4620" w:hanging="360"/>
      </w:pPr>
      <w:rPr>
        <w:rFonts w:hint="default"/>
        <w:lang w:val="en-us" w:eastAsia="en-us" w:bidi="en-us"/>
      </w:rPr>
    </w:lvl>
  </w:abstractNum>
  <w:abstractNum w:abstractNumId="2">
    <w:multiLevelType w:val="hybridMultilevel"/>
    <w:lvl w:ilvl="0">
      <w:start w:val="1"/>
      <w:numFmt w:val="decimal"/>
      <w:lvlText w:val="%1."/>
      <w:lvlJc w:val="left"/>
      <w:pPr>
        <w:ind w:left="465" w:hanging="360"/>
        <w:jc w:val="left"/>
      </w:pPr>
      <w:rPr>
        <w:rFonts w:hint="default" w:ascii="Arial" w:hAnsi="Arial" w:eastAsia="Arial" w:cs="Arial"/>
        <w:i/>
        <w:spacing w:val="-1"/>
        <w:w w:val="100"/>
        <w:sz w:val="22"/>
        <w:szCs w:val="22"/>
        <w:lang w:val="en-us" w:eastAsia="en-us" w:bidi="en-us"/>
      </w:rPr>
    </w:lvl>
    <w:lvl w:ilvl="1">
      <w:start w:val="0"/>
      <w:numFmt w:val="bullet"/>
      <w:lvlText w:val="•"/>
      <w:lvlJc w:val="left"/>
      <w:pPr>
        <w:ind w:left="971" w:hanging="360"/>
      </w:pPr>
      <w:rPr>
        <w:rFonts w:hint="default"/>
        <w:lang w:val="en-us" w:eastAsia="en-us" w:bidi="en-us"/>
      </w:rPr>
    </w:lvl>
    <w:lvl w:ilvl="2">
      <w:start w:val="0"/>
      <w:numFmt w:val="bullet"/>
      <w:lvlText w:val="•"/>
      <w:lvlJc w:val="left"/>
      <w:pPr>
        <w:ind w:left="1482" w:hanging="360"/>
      </w:pPr>
      <w:rPr>
        <w:rFonts w:hint="default"/>
        <w:lang w:val="en-us" w:eastAsia="en-us" w:bidi="en-us"/>
      </w:rPr>
    </w:lvl>
    <w:lvl w:ilvl="3">
      <w:start w:val="0"/>
      <w:numFmt w:val="bullet"/>
      <w:lvlText w:val="•"/>
      <w:lvlJc w:val="left"/>
      <w:pPr>
        <w:ind w:left="1993" w:hanging="360"/>
      </w:pPr>
      <w:rPr>
        <w:rFonts w:hint="default"/>
        <w:lang w:val="en-us" w:eastAsia="en-us" w:bidi="en-us"/>
      </w:rPr>
    </w:lvl>
    <w:lvl w:ilvl="4">
      <w:start w:val="0"/>
      <w:numFmt w:val="bullet"/>
      <w:lvlText w:val="•"/>
      <w:lvlJc w:val="left"/>
      <w:pPr>
        <w:ind w:left="2504" w:hanging="360"/>
      </w:pPr>
      <w:rPr>
        <w:rFonts w:hint="default"/>
        <w:lang w:val="en-us" w:eastAsia="en-us" w:bidi="en-us"/>
      </w:rPr>
    </w:lvl>
    <w:lvl w:ilvl="5">
      <w:start w:val="0"/>
      <w:numFmt w:val="bullet"/>
      <w:lvlText w:val="•"/>
      <w:lvlJc w:val="left"/>
      <w:pPr>
        <w:ind w:left="3015" w:hanging="360"/>
      </w:pPr>
      <w:rPr>
        <w:rFonts w:hint="default"/>
        <w:lang w:val="en-us" w:eastAsia="en-us" w:bidi="en-us"/>
      </w:rPr>
    </w:lvl>
    <w:lvl w:ilvl="6">
      <w:start w:val="0"/>
      <w:numFmt w:val="bullet"/>
      <w:lvlText w:val="•"/>
      <w:lvlJc w:val="left"/>
      <w:pPr>
        <w:ind w:left="3526" w:hanging="360"/>
      </w:pPr>
      <w:rPr>
        <w:rFonts w:hint="default"/>
        <w:lang w:val="en-us" w:eastAsia="en-us" w:bidi="en-us"/>
      </w:rPr>
    </w:lvl>
    <w:lvl w:ilvl="7">
      <w:start w:val="0"/>
      <w:numFmt w:val="bullet"/>
      <w:lvlText w:val="•"/>
      <w:lvlJc w:val="left"/>
      <w:pPr>
        <w:ind w:left="4037" w:hanging="360"/>
      </w:pPr>
      <w:rPr>
        <w:rFonts w:hint="default"/>
        <w:lang w:val="en-us" w:eastAsia="en-us" w:bidi="en-us"/>
      </w:rPr>
    </w:lvl>
    <w:lvl w:ilvl="8">
      <w:start w:val="0"/>
      <w:numFmt w:val="bullet"/>
      <w:lvlText w:val="•"/>
      <w:lvlJc w:val="left"/>
      <w:pPr>
        <w:ind w:left="4548" w:hanging="360"/>
      </w:pPr>
      <w:rPr>
        <w:rFonts w:hint="default"/>
        <w:lang w:val="en-us" w:eastAsia="en-us" w:bidi="en-us"/>
      </w:rPr>
    </w:lvl>
  </w:abstractNum>
  <w:abstractNum w:abstractNumId="1">
    <w:multiLevelType w:val="hybridMultilevel"/>
    <w:lvl w:ilvl="0">
      <w:start w:val="1"/>
      <w:numFmt w:val="decimal"/>
      <w:lvlText w:val="%1."/>
      <w:lvlJc w:val="left"/>
      <w:pPr>
        <w:ind w:left="465"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971" w:hanging="360"/>
      </w:pPr>
      <w:rPr>
        <w:rFonts w:hint="default"/>
        <w:lang w:val="en-us" w:eastAsia="en-us" w:bidi="en-us"/>
      </w:rPr>
    </w:lvl>
    <w:lvl w:ilvl="2">
      <w:start w:val="0"/>
      <w:numFmt w:val="bullet"/>
      <w:lvlText w:val="•"/>
      <w:lvlJc w:val="left"/>
      <w:pPr>
        <w:ind w:left="1482" w:hanging="360"/>
      </w:pPr>
      <w:rPr>
        <w:rFonts w:hint="default"/>
        <w:lang w:val="en-us" w:eastAsia="en-us" w:bidi="en-us"/>
      </w:rPr>
    </w:lvl>
    <w:lvl w:ilvl="3">
      <w:start w:val="0"/>
      <w:numFmt w:val="bullet"/>
      <w:lvlText w:val="•"/>
      <w:lvlJc w:val="left"/>
      <w:pPr>
        <w:ind w:left="1993" w:hanging="360"/>
      </w:pPr>
      <w:rPr>
        <w:rFonts w:hint="default"/>
        <w:lang w:val="en-us" w:eastAsia="en-us" w:bidi="en-us"/>
      </w:rPr>
    </w:lvl>
    <w:lvl w:ilvl="4">
      <w:start w:val="0"/>
      <w:numFmt w:val="bullet"/>
      <w:lvlText w:val="•"/>
      <w:lvlJc w:val="left"/>
      <w:pPr>
        <w:ind w:left="2504" w:hanging="360"/>
      </w:pPr>
      <w:rPr>
        <w:rFonts w:hint="default"/>
        <w:lang w:val="en-us" w:eastAsia="en-us" w:bidi="en-us"/>
      </w:rPr>
    </w:lvl>
    <w:lvl w:ilvl="5">
      <w:start w:val="0"/>
      <w:numFmt w:val="bullet"/>
      <w:lvlText w:val="•"/>
      <w:lvlJc w:val="left"/>
      <w:pPr>
        <w:ind w:left="3015" w:hanging="360"/>
      </w:pPr>
      <w:rPr>
        <w:rFonts w:hint="default"/>
        <w:lang w:val="en-us" w:eastAsia="en-us" w:bidi="en-us"/>
      </w:rPr>
    </w:lvl>
    <w:lvl w:ilvl="6">
      <w:start w:val="0"/>
      <w:numFmt w:val="bullet"/>
      <w:lvlText w:val="•"/>
      <w:lvlJc w:val="left"/>
      <w:pPr>
        <w:ind w:left="3526" w:hanging="360"/>
      </w:pPr>
      <w:rPr>
        <w:rFonts w:hint="default"/>
        <w:lang w:val="en-us" w:eastAsia="en-us" w:bidi="en-us"/>
      </w:rPr>
    </w:lvl>
    <w:lvl w:ilvl="7">
      <w:start w:val="0"/>
      <w:numFmt w:val="bullet"/>
      <w:lvlText w:val="•"/>
      <w:lvlJc w:val="left"/>
      <w:pPr>
        <w:ind w:left="4037" w:hanging="360"/>
      </w:pPr>
      <w:rPr>
        <w:rFonts w:hint="default"/>
        <w:lang w:val="en-us" w:eastAsia="en-us" w:bidi="en-us"/>
      </w:rPr>
    </w:lvl>
    <w:lvl w:ilvl="8">
      <w:start w:val="0"/>
      <w:numFmt w:val="bullet"/>
      <w:lvlText w:val="•"/>
      <w:lvlJc w:val="left"/>
      <w:pPr>
        <w:ind w:left="4548" w:hanging="360"/>
      </w:pPr>
      <w:rPr>
        <w:rFonts w:hint="default"/>
        <w:lang w:val="en-us" w:eastAsia="en-us" w:bidi="en-us"/>
      </w:rPr>
    </w:lvl>
  </w:abstractNum>
  <w:abstractNum w:abstractNumId="0">
    <w:multiLevelType w:val="hybridMultilevel"/>
    <w:lvl w:ilvl="0">
      <w:start w:val="1"/>
      <w:numFmt w:val="decimal"/>
      <w:lvlText w:val="%1."/>
      <w:lvlJc w:val="left"/>
      <w:pPr>
        <w:ind w:left="468"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710" w:hanging="360"/>
      </w:pPr>
      <w:rPr>
        <w:rFonts w:hint="default"/>
        <w:lang w:val="en-us" w:eastAsia="en-us" w:bidi="en-us"/>
      </w:rPr>
    </w:lvl>
    <w:lvl w:ilvl="2">
      <w:start w:val="0"/>
      <w:numFmt w:val="bullet"/>
      <w:lvlText w:val="•"/>
      <w:lvlJc w:val="left"/>
      <w:pPr>
        <w:ind w:left="960" w:hanging="360"/>
      </w:pPr>
      <w:rPr>
        <w:rFonts w:hint="default"/>
        <w:lang w:val="en-us" w:eastAsia="en-us" w:bidi="en-us"/>
      </w:rPr>
    </w:lvl>
    <w:lvl w:ilvl="3">
      <w:start w:val="0"/>
      <w:numFmt w:val="bullet"/>
      <w:lvlText w:val="•"/>
      <w:lvlJc w:val="left"/>
      <w:pPr>
        <w:ind w:left="1210" w:hanging="360"/>
      </w:pPr>
      <w:rPr>
        <w:rFonts w:hint="default"/>
        <w:lang w:val="en-us" w:eastAsia="en-us" w:bidi="en-us"/>
      </w:rPr>
    </w:lvl>
    <w:lvl w:ilvl="4">
      <w:start w:val="0"/>
      <w:numFmt w:val="bullet"/>
      <w:lvlText w:val="•"/>
      <w:lvlJc w:val="left"/>
      <w:pPr>
        <w:ind w:left="1460" w:hanging="360"/>
      </w:pPr>
      <w:rPr>
        <w:rFonts w:hint="default"/>
        <w:lang w:val="en-us" w:eastAsia="en-us" w:bidi="en-us"/>
      </w:rPr>
    </w:lvl>
    <w:lvl w:ilvl="5">
      <w:start w:val="0"/>
      <w:numFmt w:val="bullet"/>
      <w:lvlText w:val="•"/>
      <w:lvlJc w:val="left"/>
      <w:pPr>
        <w:ind w:left="1710" w:hanging="360"/>
      </w:pPr>
      <w:rPr>
        <w:rFonts w:hint="default"/>
        <w:lang w:val="en-us" w:eastAsia="en-us" w:bidi="en-us"/>
      </w:rPr>
    </w:lvl>
    <w:lvl w:ilvl="6">
      <w:start w:val="0"/>
      <w:numFmt w:val="bullet"/>
      <w:lvlText w:val="•"/>
      <w:lvlJc w:val="left"/>
      <w:pPr>
        <w:ind w:left="1960" w:hanging="360"/>
      </w:pPr>
      <w:rPr>
        <w:rFonts w:hint="default"/>
        <w:lang w:val="en-us" w:eastAsia="en-us" w:bidi="en-us"/>
      </w:rPr>
    </w:lvl>
    <w:lvl w:ilvl="7">
      <w:start w:val="0"/>
      <w:numFmt w:val="bullet"/>
      <w:lvlText w:val="•"/>
      <w:lvlJc w:val="left"/>
      <w:pPr>
        <w:ind w:left="2210" w:hanging="360"/>
      </w:pPr>
      <w:rPr>
        <w:rFonts w:hint="default"/>
        <w:lang w:val="en-us" w:eastAsia="en-us" w:bidi="en-us"/>
      </w:rPr>
    </w:lvl>
    <w:lvl w:ilvl="8">
      <w:start w:val="0"/>
      <w:numFmt w:val="bullet"/>
      <w:lvlText w:val="•"/>
      <w:lvlJc w:val="left"/>
      <w:pPr>
        <w:ind w:left="2460"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93"/>
      <w:ind w:left="107"/>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5"/>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5C33BBA-3727-420A-BB68-1268DFB4C1C3}"/>
</file>

<file path=customXml/itemProps2.xml><?xml version="1.0" encoding="utf-8"?>
<ds:datastoreItem xmlns:ds="http://schemas.openxmlformats.org/officeDocument/2006/customXml" ds:itemID="{25278B1B-FDC3-4766-8FD3-05E890559739}"/>
</file>

<file path=customXml/itemProps3.xml><?xml version="1.0" encoding="utf-8"?>
<ds:datastoreItem xmlns:ds="http://schemas.openxmlformats.org/officeDocument/2006/customXml" ds:itemID="{CFAA5C0D-E349-425E-BD36-6991BFC590C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Yermak, Kara</dc:creator>
  <dcterms:created xsi:type="dcterms:W3CDTF">2022-04-15T17:19:56Z</dcterms:created>
  <dcterms:modified xsi:type="dcterms:W3CDTF">2022-04-15T17:19:56Z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Acrobat PDFMaker 20 for Word</vt:lpwstr>
  </property>
  <property fmtid="{D5CDD505-2E9C-101B-9397-08002B2CF9AE}" pid="4" name="LastSaved">
    <vt:filetime>2022-04-15T00:00:00Z</vt:filetime>
  </property>
  <property fmtid="{D5CDD505-2E9C-101B-9397-08002B2CF9AE}" pid="5" name="ContentTypeId">
    <vt:lpwstr>0x010100373BE68F7849A845B253768CFB280D40</vt:lpwstr>
  </property>
</Properties>
</file>