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group style="position:absolute;margin-left:0pt;margin-top:419.234009pt;width:611.9pt;height:372.8pt;mso-position-horizontal-relative:page;mso-position-vertical-relative:page;z-index:251662336" coordorigin="0,8385" coordsize="12238,7456">
            <v:shape style="position:absolute;left:0;top:8384;width:12238;height:7456" type="#_x0000_t75" stroked="false">
              <v:imagedata r:id="rId5" o:title=""/>
            </v:shape>
            <v:shape style="position:absolute;left:8917;top:13937;width:2318;height:1526" type="#_x0000_t75" alt="R T I International logo " stroked="false">
              <v:imagedata r:id="rId6" o:title=""/>
            </v:shape>
            <v:shape style="position:absolute;left:6690;top:12753;width:138;height:136" type="#_x0000_t75" stroked="false">
              <v:imagedata r:id="rId7" o:title=""/>
            </v:shape>
            <v:shapetype id="_x0000_t202" o:spt="202" coordsize="21600,21600" path="m,l,21600r21600,l21600,xe">
              <v:stroke joinstyle="miter"/>
              <v:path gradientshapeok="t" o:connecttype="rect"/>
            </v:shapetype>
            <v:shape style="position:absolute;left:1628;top:9716;width:1064;height:230" type="#_x0000_t202" filled="false" stroked="false">
              <v:textbox inset="0,0,0,0">
                <w:txbxContent>
                  <w:p>
                    <w:pPr>
                      <w:spacing w:line="229" w:lineRule="exact" w:before="0"/>
                      <w:ind w:left="0" w:right="0" w:firstLine="0"/>
                      <w:jc w:val="left"/>
                      <w:rPr>
                        <w:rFonts w:ascii="Arial Narrow"/>
                        <w:b/>
                        <w:sz w:val="20"/>
                      </w:rPr>
                    </w:pPr>
                    <w:r>
                      <w:rPr>
                        <w:rFonts w:ascii="Arial Narrow"/>
                        <w:b/>
                        <w:color w:val="FFFFFF"/>
                        <w:sz w:val="20"/>
                      </w:rPr>
                      <w:t>January 2023</w:t>
                    </w:r>
                  </w:p>
                </w:txbxContent>
              </v:textbox>
              <w10:wrap type="none"/>
            </v:shape>
            <v:shape style="position:absolute;left:4952;top:9716;width:2263;height:3226" type="#_x0000_t202" filled="false" stroked="false">
              <v:textbox inset="0,0,0,0">
                <w:txbxContent>
                  <w:p>
                    <w:pPr>
                      <w:spacing w:line="229" w:lineRule="exact" w:before="0"/>
                      <w:ind w:left="0" w:right="0" w:firstLine="0"/>
                      <w:jc w:val="left"/>
                      <w:rPr>
                        <w:rFonts w:ascii="Arial Narrow"/>
                        <w:b/>
                        <w:sz w:val="20"/>
                      </w:rPr>
                    </w:pPr>
                    <w:r>
                      <w:rPr>
                        <w:rFonts w:ascii="Arial Narrow"/>
                        <w:b/>
                        <w:color w:val="FFFFFF"/>
                        <w:sz w:val="20"/>
                      </w:rPr>
                      <w:t>Prepared by</w:t>
                    </w:r>
                  </w:p>
                  <w:p>
                    <w:pPr>
                      <w:spacing w:line="240" w:lineRule="auto" w:before="1"/>
                      <w:rPr>
                        <w:rFonts w:ascii="Arial Narrow"/>
                        <w:b/>
                        <w:sz w:val="20"/>
                      </w:rPr>
                    </w:pPr>
                  </w:p>
                  <w:p>
                    <w:pPr>
                      <w:spacing w:line="240" w:lineRule="auto" w:before="0"/>
                      <w:ind w:left="187" w:right="313" w:firstLine="0"/>
                      <w:jc w:val="both"/>
                      <w:rPr>
                        <w:rFonts w:ascii="Arial Narrow"/>
                        <w:sz w:val="20"/>
                      </w:rPr>
                    </w:pPr>
                    <w:r>
                      <w:rPr>
                        <w:rFonts w:ascii="Arial Narrow"/>
                        <w:color w:val="FFFFFF"/>
                        <w:sz w:val="20"/>
                      </w:rPr>
                      <w:t>Christopher Krebs, PhD Christine Lindquist, PhD Philip Lee, BS</w:t>
                    </w:r>
                  </w:p>
                  <w:p>
                    <w:pPr>
                      <w:spacing w:line="240" w:lineRule="auto" w:before="0"/>
                      <w:ind w:left="187" w:right="652" w:firstLine="0"/>
                      <w:jc w:val="left"/>
                      <w:rPr>
                        <w:rFonts w:ascii="Arial Narrow"/>
                        <w:sz w:val="20"/>
                      </w:rPr>
                    </w:pPr>
                    <w:r>
                      <w:rPr>
                        <w:rFonts w:ascii="Arial Narrow"/>
                        <w:color w:val="FFFFFF"/>
                        <w:sz w:val="20"/>
                      </w:rPr>
                      <w:t>Ana Saravia, BA Andrew Moore, MS Jesse Lopez, PhD</w:t>
                    </w:r>
                  </w:p>
                  <w:p>
                    <w:pPr>
                      <w:spacing w:line="240" w:lineRule="auto" w:before="9"/>
                      <w:rPr>
                        <w:rFonts w:ascii="Arial Narrow"/>
                        <w:sz w:val="20"/>
                      </w:rPr>
                    </w:pPr>
                  </w:p>
                  <w:p>
                    <w:pPr>
                      <w:spacing w:before="0"/>
                      <w:ind w:left="187" w:right="0" w:firstLine="0"/>
                      <w:jc w:val="left"/>
                      <w:rPr>
                        <w:rFonts w:ascii="Arial Narrow"/>
                        <w:sz w:val="20"/>
                      </w:rPr>
                    </w:pPr>
                    <w:r>
                      <w:rPr>
                        <w:rFonts w:ascii="Arial Narrow"/>
                        <w:color w:val="FFFFFF"/>
                        <w:sz w:val="20"/>
                      </w:rPr>
                      <w:t>RTI International</w:t>
                    </w:r>
                  </w:p>
                  <w:p>
                    <w:pPr>
                      <w:spacing w:line="229" w:lineRule="exact" w:before="3"/>
                      <w:ind w:left="187" w:right="0" w:firstLine="0"/>
                      <w:jc w:val="left"/>
                      <w:rPr>
                        <w:rFonts w:ascii="Arial Narrow"/>
                        <w:sz w:val="20"/>
                      </w:rPr>
                    </w:pPr>
                    <w:r>
                      <w:rPr>
                        <w:rFonts w:ascii="Arial Narrow"/>
                        <w:color w:val="FFFFFF"/>
                        <w:sz w:val="20"/>
                      </w:rPr>
                      <w:t>P.O. Box 12194</w:t>
                    </w:r>
                  </w:p>
                  <w:p>
                    <w:pPr>
                      <w:spacing w:before="0"/>
                      <w:ind w:left="187" w:right="18" w:firstLine="0"/>
                      <w:jc w:val="left"/>
                      <w:rPr>
                        <w:rFonts w:ascii="Arial Narrow"/>
                        <w:sz w:val="20"/>
                      </w:rPr>
                    </w:pPr>
                    <w:r>
                      <w:rPr>
                        <w:rFonts w:ascii="Arial Narrow"/>
                        <w:color w:val="FFFFFF"/>
                        <w:sz w:val="20"/>
                      </w:rPr>
                      <w:t>Research Triangle Park, NC 27709-2194</w:t>
                    </w:r>
                  </w:p>
                  <w:p>
                    <w:pPr>
                      <w:spacing w:before="0"/>
                      <w:ind w:left="187" w:right="0" w:firstLine="0"/>
                      <w:jc w:val="left"/>
                      <w:rPr>
                        <w:rFonts w:ascii="Arial Narrow"/>
                        <w:b/>
                        <w:sz w:val="20"/>
                      </w:rPr>
                    </w:pPr>
                    <w:hyperlink r:id="rId8">
                      <w:r>
                        <w:rPr>
                          <w:rFonts w:ascii="Arial Narrow"/>
                          <w:b/>
                          <w:color w:val="FFFFFF"/>
                          <w:sz w:val="20"/>
                          <w:u w:val="single" w:color="FFFFFF"/>
                        </w:rPr>
                        <w:t>https://www.rti.org/</w:t>
                      </w:r>
                    </w:hyperlink>
                  </w:p>
                </w:txbxContent>
              </v:textbox>
              <w10:wrap type="none"/>
            </v:shape>
            <v:shape style="position:absolute;left:5140;top:13168;width:2157;height:230" type="#_x0000_t202" filled="false" stroked="false">
              <v:textbox inset="0,0,0,0">
                <w:txbxContent>
                  <w:p>
                    <w:pPr>
                      <w:spacing w:line="229" w:lineRule="exact" w:before="0"/>
                      <w:ind w:left="0" w:right="0" w:firstLine="0"/>
                      <w:jc w:val="left"/>
                      <w:rPr>
                        <w:rFonts w:ascii="Arial Narrow"/>
                        <w:sz w:val="20"/>
                      </w:rPr>
                    </w:pPr>
                    <w:r>
                      <w:rPr>
                        <w:rFonts w:ascii="Arial Narrow"/>
                        <w:color w:val="FFFFFF"/>
                        <w:sz w:val="20"/>
                      </w:rPr>
                      <w:t>RTI Project Number 0218352</w:t>
                    </w:r>
                  </w:p>
                </w:txbxContent>
              </v:textbox>
              <w10:wrap type="none"/>
            </v:shape>
            <w10:wrap type="none"/>
          </v:group>
        </w:pict>
      </w:r>
    </w:p>
    <w:p>
      <w:pPr>
        <w:pStyle w:val="BodyText"/>
        <w:spacing w:before="1"/>
        <w:rPr>
          <w:rFonts w:ascii="Times New Roman"/>
        </w:rPr>
      </w:pPr>
    </w:p>
    <w:p>
      <w:pPr>
        <w:spacing w:before="81"/>
        <w:ind w:left="1495" w:right="1564" w:firstLine="892"/>
        <w:jc w:val="left"/>
        <w:rPr>
          <w:b/>
          <w:sz w:val="56"/>
        </w:rPr>
      </w:pPr>
      <w:bookmarkStart w:name="Findings from the 2022 Know More @ MSU C" w:id="1"/>
      <w:bookmarkEnd w:id="1"/>
      <w:r>
        <w:rPr/>
      </w:r>
      <w:r>
        <w:rPr>
          <w:b/>
          <w:color w:val="09357D"/>
          <w:sz w:val="56"/>
        </w:rPr>
        <w:t>Findings from the 2022 Know More @ MSU</w:t>
      </w:r>
    </w:p>
    <w:p>
      <w:pPr>
        <w:spacing w:before="1"/>
        <w:ind w:left="0" w:right="86" w:firstLine="0"/>
        <w:jc w:val="center"/>
        <w:rPr>
          <w:b/>
          <w:sz w:val="56"/>
        </w:rPr>
      </w:pPr>
      <w:r>
        <w:rPr>
          <w:b/>
          <w:color w:val="09357D"/>
          <w:sz w:val="56"/>
        </w:rPr>
        <w:t>Campus Survey</w:t>
      </w:r>
    </w:p>
    <w:p>
      <w:pPr>
        <w:pStyle w:val="BodyText"/>
        <w:rPr>
          <w:b/>
        </w:rPr>
      </w:pPr>
    </w:p>
    <w:p>
      <w:pPr>
        <w:pStyle w:val="BodyText"/>
        <w:rPr>
          <w:b/>
        </w:rPr>
      </w:pPr>
    </w:p>
    <w:p>
      <w:pPr>
        <w:pStyle w:val="BodyText"/>
        <w:spacing w:before="4"/>
        <w:rPr>
          <w:b/>
          <w:sz w:val="28"/>
        </w:rPr>
      </w:pPr>
      <w:r>
        <w:rPr/>
        <w:drawing>
          <wp:anchor distT="0" distB="0" distL="0" distR="0" allowOverlap="1" layoutInCell="1" locked="0" behindDoc="0" simplePos="0" relativeHeight="0">
            <wp:simplePos x="0" y="0"/>
            <wp:positionH relativeFrom="page">
              <wp:posOffset>1493896</wp:posOffset>
            </wp:positionH>
            <wp:positionV relativeFrom="paragraph">
              <wp:posOffset>231831</wp:posOffset>
            </wp:positionV>
            <wp:extent cx="4354461" cy="1245108"/>
            <wp:effectExtent l="0" t="0" r="0" b="0"/>
            <wp:wrapTopAndBottom/>
            <wp:docPr id="1" name="image4.jpeg" descr="Know More Survey "/>
            <wp:cNvGraphicFramePr>
              <a:graphicFrameLocks noChangeAspect="1"/>
            </wp:cNvGraphicFramePr>
            <a:graphic>
              <a:graphicData uri="http://schemas.openxmlformats.org/drawingml/2006/picture">
                <pic:pic>
                  <pic:nvPicPr>
                    <pic:cNvPr id="2" name="image4.jpeg"/>
                    <pic:cNvPicPr/>
                  </pic:nvPicPr>
                  <pic:blipFill>
                    <a:blip r:embed="rId9" cstate="print"/>
                    <a:stretch>
                      <a:fillRect/>
                    </a:stretch>
                  </pic:blipFill>
                  <pic:spPr>
                    <a:xfrm>
                      <a:off x="0" y="0"/>
                      <a:ext cx="4354461" cy="1245108"/>
                    </a:xfrm>
                    <a:prstGeom prst="rect">
                      <a:avLst/>
                    </a:prstGeom>
                  </pic:spPr>
                </pic:pic>
              </a:graphicData>
            </a:graphic>
          </wp:anchor>
        </w:drawing>
      </w:r>
    </w:p>
    <w:p>
      <w:pPr>
        <w:spacing w:after="0"/>
        <w:rPr>
          <w:sz w:val="28"/>
        </w:rPr>
        <w:sectPr>
          <w:type w:val="continuous"/>
          <w:pgSz w:w="12240" w:h="15840"/>
          <w:pgMar w:top="1500" w:bottom="0" w:left="1320" w:right="1320"/>
        </w:sectPr>
      </w:pPr>
    </w:p>
    <w:p>
      <w:pPr>
        <w:pStyle w:val="Heading4"/>
        <w:spacing w:before="84"/>
        <w:ind w:right="2" w:firstLine="0"/>
        <w:jc w:val="center"/>
      </w:pPr>
      <w:bookmarkStart w:name="Table of Contents" w:id="2"/>
      <w:bookmarkEnd w:id="2"/>
      <w:r>
        <w:rPr>
          <w:b w:val="0"/>
        </w:rPr>
      </w:r>
      <w:r>
        <w:rPr/>
        <w:t>Table of Contents</w:t>
      </w:r>
    </w:p>
    <w:p>
      <w:pPr>
        <w:pStyle w:val="BodyText"/>
        <w:spacing w:before="3"/>
        <w:rPr>
          <w:b/>
          <w:sz w:val="27"/>
        </w:rPr>
      </w:pPr>
    </w:p>
    <w:p>
      <w:pPr>
        <w:pStyle w:val="Heading5"/>
        <w:tabs>
          <w:tab w:pos="8915" w:val="left" w:leader="none"/>
        </w:tabs>
        <w:spacing w:before="0"/>
        <w:ind w:left="0" w:firstLine="0"/>
        <w:jc w:val="center"/>
      </w:pPr>
      <w:r>
        <w:rPr/>
        <w:t>Executive</w:t>
      </w:r>
      <w:r>
        <w:rPr>
          <w:spacing w:val="-3"/>
        </w:rPr>
        <w:t> </w:t>
      </w:r>
      <w:r>
        <w:rPr/>
        <w:t>Summary</w:t>
        <w:tab/>
        <w:t>ES-1</w:t>
      </w:r>
    </w:p>
    <w:sdt>
      <w:sdtPr>
        <w:docPartObj>
          <w:docPartGallery w:val="Table of Contents"/>
          <w:docPartUnique/>
        </w:docPartObj>
      </w:sdtPr>
      <w:sdtEndPr/>
      <w:sdtContent>
        <w:p>
          <w:pPr>
            <w:pStyle w:val="TOC1"/>
            <w:numPr>
              <w:ilvl w:val="0"/>
              <w:numId w:val="1"/>
            </w:numPr>
            <w:tabs>
              <w:tab w:pos="667" w:val="left" w:leader="none"/>
              <w:tab w:pos="668" w:val="left" w:leader="none"/>
              <w:tab w:pos="9479" w:val="right" w:leader="none"/>
            </w:tabs>
            <w:spacing w:line="240" w:lineRule="auto" w:before="322" w:after="0"/>
            <w:ind w:left="668" w:right="0" w:hanging="548"/>
            <w:jc w:val="left"/>
          </w:pPr>
          <w:hyperlink w:history="true" w:anchor="_TOC_250013">
            <w:r>
              <w:rPr/>
              <w:t>Background</w:t>
              <w:tab/>
              <w:t>1</w:t>
            </w:r>
          </w:hyperlink>
        </w:p>
        <w:p>
          <w:pPr>
            <w:pStyle w:val="TOC1"/>
            <w:numPr>
              <w:ilvl w:val="0"/>
              <w:numId w:val="1"/>
            </w:numPr>
            <w:tabs>
              <w:tab w:pos="667" w:val="left" w:leader="none"/>
              <w:tab w:pos="668" w:val="left" w:leader="none"/>
              <w:tab w:pos="9479" w:val="right" w:leader="none"/>
            </w:tabs>
            <w:spacing w:line="240" w:lineRule="auto" w:before="318" w:after="0"/>
            <w:ind w:left="668" w:right="0" w:hanging="548"/>
            <w:jc w:val="left"/>
          </w:pPr>
          <w:hyperlink w:history="true" w:anchor="_TOC_250012">
            <w:r>
              <w:rPr/>
              <w:t>Students’</w:t>
            </w:r>
            <w:r>
              <w:rPr>
                <w:spacing w:val="-1"/>
              </w:rPr>
              <w:t> </w:t>
            </w:r>
            <w:r>
              <w:rPr/>
              <w:t>Victimization</w:t>
            </w:r>
            <w:r>
              <w:rPr>
                <w:spacing w:val="2"/>
              </w:rPr>
              <w:t> </w:t>
            </w:r>
            <w:r>
              <w:rPr/>
              <w:t>Experiences</w:t>
              <w:tab/>
              <w:t>13</w:t>
            </w:r>
          </w:hyperlink>
        </w:p>
        <w:p>
          <w:pPr>
            <w:pStyle w:val="TOC3"/>
            <w:numPr>
              <w:ilvl w:val="1"/>
              <w:numId w:val="1"/>
            </w:numPr>
            <w:tabs>
              <w:tab w:pos="1199" w:val="left" w:leader="none"/>
              <w:tab w:pos="1200" w:val="left" w:leader="none"/>
              <w:tab w:pos="9479" w:val="right" w:leader="dot"/>
            </w:tabs>
            <w:spacing w:line="240" w:lineRule="auto" w:before="162" w:after="0"/>
            <w:ind w:left="1200" w:right="0" w:hanging="540"/>
            <w:jc w:val="left"/>
          </w:pPr>
          <w:hyperlink w:history="true" w:anchor="_TOC_250011">
            <w:r>
              <w:rPr/>
              <w:t>Overall Prevalence of Victimization</w:t>
              <w:tab/>
              <w:t>14</w:t>
            </w:r>
          </w:hyperlink>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hyperlink w:history="true" w:anchor="_TOC_250010">
            <w:r>
              <w:rPr/>
              <w:t>Differences in Prevalence Among</w:t>
            </w:r>
            <w:r>
              <w:rPr>
                <w:spacing w:val="1"/>
              </w:rPr>
              <w:t> </w:t>
            </w:r>
            <w:r>
              <w:rPr/>
              <w:t>Student</w:t>
            </w:r>
            <w:r>
              <w:rPr>
                <w:spacing w:val="-1"/>
              </w:rPr>
              <w:t> </w:t>
            </w:r>
            <w:r>
              <w:rPr/>
              <w:t>Populations</w:t>
              <w:tab/>
              <w:t>17</w:t>
            </w:r>
          </w:hyperlink>
        </w:p>
        <w:p>
          <w:pPr>
            <w:pStyle w:val="TOC3"/>
            <w:numPr>
              <w:ilvl w:val="1"/>
              <w:numId w:val="1"/>
            </w:numPr>
            <w:tabs>
              <w:tab w:pos="1199" w:val="left" w:leader="none"/>
              <w:tab w:pos="1200" w:val="left" w:leader="none"/>
              <w:tab w:pos="9479" w:val="right" w:leader="dot"/>
            </w:tabs>
            <w:spacing w:line="240" w:lineRule="auto" w:before="162" w:after="0"/>
            <w:ind w:left="1200" w:right="0" w:hanging="540"/>
            <w:jc w:val="left"/>
          </w:pPr>
          <w:hyperlink w:history="true" w:anchor="_TOC_250009">
            <w:r>
              <w:rPr/>
              <w:t>Additional Details:</w:t>
            </w:r>
            <w:r>
              <w:rPr>
                <w:spacing w:val="-1"/>
              </w:rPr>
              <w:t> </w:t>
            </w:r>
            <w:r>
              <w:rPr/>
              <w:t>Sexual</w:t>
            </w:r>
            <w:r>
              <w:rPr>
                <w:spacing w:val="-1"/>
              </w:rPr>
              <w:t> </w:t>
            </w:r>
            <w:r>
              <w:rPr/>
              <w:t>Harassment</w:t>
              <w:tab/>
              <w:t>28</w:t>
            </w:r>
          </w:hyperlink>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hyperlink w:history="true" w:anchor="_TOC_250008">
            <w:r>
              <w:rPr/>
              <w:t>Additional Details:</w:t>
            </w:r>
            <w:r>
              <w:rPr>
                <w:spacing w:val="-1"/>
              </w:rPr>
              <w:t> </w:t>
            </w:r>
            <w:r>
              <w:rPr/>
              <w:t>Sexual</w:t>
            </w:r>
            <w:r>
              <w:rPr>
                <w:spacing w:val="-1"/>
              </w:rPr>
              <w:t> </w:t>
            </w:r>
            <w:r>
              <w:rPr/>
              <w:t>Assault</w:t>
              <w:tab/>
              <w:t>32</w:t>
            </w:r>
          </w:hyperlink>
        </w:p>
        <w:p>
          <w:pPr>
            <w:pStyle w:val="TOC4"/>
            <w:numPr>
              <w:ilvl w:val="2"/>
              <w:numId w:val="1"/>
            </w:numPr>
            <w:tabs>
              <w:tab w:pos="1919" w:val="left" w:leader="none"/>
              <w:tab w:pos="1920" w:val="left" w:leader="none"/>
              <w:tab w:pos="9479" w:val="right" w:leader="dot"/>
            </w:tabs>
            <w:spacing w:line="240" w:lineRule="auto" w:before="79" w:after="0"/>
            <w:ind w:left="1920" w:right="0" w:hanging="720"/>
            <w:jc w:val="left"/>
          </w:pPr>
          <w:hyperlink w:history="true" w:anchor="_TOC_250007">
            <w:r>
              <w:rPr>
                <w:position w:val="1"/>
              </w:rPr>
              <w:t>Incident</w:t>
            </w:r>
            <w:r>
              <w:rPr>
                <w:spacing w:val="-1"/>
                <w:position w:val="1"/>
              </w:rPr>
              <w:t> </w:t>
            </w:r>
            <w:r>
              <w:rPr>
                <w:position w:val="1"/>
              </w:rPr>
              <w:t>Characteristics</w:t>
              <w:tab/>
            </w:r>
            <w:r>
              <w:rPr/>
              <w:t>32</w:t>
            </w:r>
          </w:hyperlink>
        </w:p>
        <w:p>
          <w:pPr>
            <w:pStyle w:val="TOC4"/>
            <w:numPr>
              <w:ilvl w:val="2"/>
              <w:numId w:val="1"/>
            </w:numPr>
            <w:tabs>
              <w:tab w:pos="1919" w:val="left" w:leader="none"/>
              <w:tab w:pos="1920" w:val="left" w:leader="none"/>
              <w:tab w:pos="9479" w:val="right" w:leader="dot"/>
            </w:tabs>
            <w:spacing w:line="240" w:lineRule="auto" w:before="71" w:after="0"/>
            <w:ind w:left="1920" w:right="0" w:hanging="720"/>
            <w:jc w:val="left"/>
          </w:pPr>
          <w:hyperlink w:history="true" w:anchor="_TOC_250006">
            <w:r>
              <w:rPr/>
              <w:t>Disclosure of Experiences</w:t>
              <w:tab/>
              <w:t>37</w:t>
            </w:r>
          </w:hyperlink>
        </w:p>
        <w:p>
          <w:pPr>
            <w:pStyle w:val="TOC4"/>
            <w:numPr>
              <w:ilvl w:val="2"/>
              <w:numId w:val="1"/>
            </w:numPr>
            <w:tabs>
              <w:tab w:pos="1919" w:val="left" w:leader="none"/>
              <w:tab w:pos="1920" w:val="left" w:leader="none"/>
              <w:tab w:pos="9479" w:val="right" w:leader="dot"/>
            </w:tabs>
            <w:spacing w:line="240" w:lineRule="auto" w:before="82" w:after="0"/>
            <w:ind w:left="1920" w:right="0" w:hanging="720"/>
            <w:jc w:val="left"/>
          </w:pPr>
          <w:hyperlink w:history="true" w:anchor="_TOC_250005">
            <w:r>
              <w:rPr/>
              <w:t>Incident</w:t>
            </w:r>
            <w:r>
              <w:rPr>
                <w:spacing w:val="-1"/>
              </w:rPr>
              <w:t> </w:t>
            </w:r>
            <w:r>
              <w:rPr/>
              <w:t>Impact</w:t>
              <w:tab/>
              <w:t>41</w:t>
            </w:r>
          </w:hyperlink>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hyperlink w:history="true" w:anchor="_TOC_250004">
            <w:r>
              <w:rPr/>
              <w:t>Workplace Incivility</w:t>
              <w:tab/>
              <w:t>43</w:t>
            </w:r>
          </w:hyperlink>
        </w:p>
        <w:p>
          <w:pPr>
            <w:pStyle w:val="TOC1"/>
            <w:numPr>
              <w:ilvl w:val="0"/>
              <w:numId w:val="1"/>
            </w:numPr>
            <w:tabs>
              <w:tab w:pos="667" w:val="left" w:leader="none"/>
              <w:tab w:pos="668" w:val="left" w:leader="none"/>
            </w:tabs>
            <w:spacing w:line="240" w:lineRule="auto" w:before="322" w:after="0"/>
            <w:ind w:left="668" w:right="0" w:hanging="548"/>
            <w:jc w:val="left"/>
          </w:pPr>
          <w:r>
            <w:rPr/>
            <w:t>Faculty’s/Staff’s Experiences with Work-Related Sexual Misconduct and</w:t>
          </w:r>
          <w:r>
            <w:rPr>
              <w:spacing w:val="-11"/>
            </w:rPr>
            <w:t> </w:t>
          </w:r>
          <w:r>
            <w:rPr/>
            <w:t>Workplace</w:t>
          </w:r>
        </w:p>
        <w:p>
          <w:pPr>
            <w:pStyle w:val="TOC2"/>
            <w:tabs>
              <w:tab w:pos="9479" w:val="right" w:leader="none"/>
            </w:tabs>
          </w:pPr>
          <w:r>
            <w:rPr/>
            <w:t>Incivility</w:t>
            <w:tab/>
            <w:t>45</w:t>
          </w:r>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hyperlink w:history="true" w:anchor="_TOC_250003">
            <w:r>
              <w:rPr/>
              <w:t>Work-Related Sexual Harassment</w:t>
              <w:tab/>
              <w:t>45</w:t>
            </w:r>
          </w:hyperlink>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hyperlink w:history="true" w:anchor="_TOC_250002">
            <w:r>
              <w:rPr/>
              <w:t>Workplace Incivility</w:t>
              <w:tab/>
              <w:t>50</w:t>
            </w:r>
          </w:hyperlink>
        </w:p>
        <w:p>
          <w:pPr>
            <w:pStyle w:val="TOC1"/>
            <w:numPr>
              <w:ilvl w:val="0"/>
              <w:numId w:val="1"/>
            </w:numPr>
            <w:tabs>
              <w:tab w:pos="667" w:val="left" w:leader="none"/>
              <w:tab w:pos="668" w:val="left" w:leader="none"/>
              <w:tab w:pos="9479" w:val="right" w:leader="none"/>
            </w:tabs>
            <w:spacing w:line="240" w:lineRule="auto" w:before="322" w:after="0"/>
            <w:ind w:left="668" w:right="0" w:hanging="548"/>
            <w:jc w:val="left"/>
          </w:pPr>
          <w:hyperlink w:history="true" w:anchor="_TOC_250001">
            <w:r>
              <w:rPr/>
              <w:t>Perceptions of Climate and Awareness</w:t>
            </w:r>
            <w:r>
              <w:rPr>
                <w:spacing w:val="-7"/>
              </w:rPr>
              <w:t> </w:t>
            </w:r>
            <w:r>
              <w:rPr/>
              <w:t>of</w:t>
            </w:r>
            <w:r>
              <w:rPr>
                <w:spacing w:val="-7"/>
              </w:rPr>
              <w:t> </w:t>
            </w:r>
            <w:r>
              <w:rPr/>
              <w:t>Resources</w:t>
              <w:tab/>
              <w:t>56</w:t>
            </w:r>
          </w:hyperlink>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hyperlink w:history="true" w:anchor="_TOC_250000">
            <w:r>
              <w:rPr/>
              <w:t>Summary of Climate Perceptions Among the</w:t>
            </w:r>
            <w:r>
              <w:rPr>
                <w:spacing w:val="-11"/>
              </w:rPr>
              <w:t> </w:t>
            </w:r>
            <w:r>
              <w:rPr/>
              <w:t>MSU Community</w:t>
              <w:tab/>
              <w:t>56</w:t>
            </w:r>
          </w:hyperlink>
        </w:p>
        <w:p>
          <w:pPr>
            <w:pStyle w:val="TOC3"/>
            <w:numPr>
              <w:ilvl w:val="1"/>
              <w:numId w:val="1"/>
            </w:numPr>
            <w:tabs>
              <w:tab w:pos="1199" w:val="left" w:leader="none"/>
              <w:tab w:pos="1200" w:val="left" w:leader="none"/>
            </w:tabs>
            <w:spacing w:line="240" w:lineRule="auto" w:before="162" w:after="0"/>
            <w:ind w:left="1200" w:right="0" w:hanging="540"/>
            <w:jc w:val="left"/>
          </w:pPr>
          <w:r>
            <w:rPr/>
            <w:t>Perceptions of Hypothetical Treatment by MSU in the Event of Sexual Misconduct</w:t>
          </w:r>
          <w:r>
            <w:rPr>
              <w:spacing w:val="-16"/>
            </w:rPr>
            <w:t> </w:t>
          </w:r>
          <w:r>
            <w:rPr/>
            <w:t>or</w:t>
          </w:r>
        </w:p>
        <w:p>
          <w:pPr>
            <w:pStyle w:val="TOC4"/>
            <w:tabs>
              <w:tab w:pos="9479" w:val="right" w:leader="dot"/>
            </w:tabs>
            <w:ind w:left="1200" w:firstLine="0"/>
          </w:pPr>
          <w:r>
            <w:rPr/>
            <w:t>Assault</w:t>
            <w:tab/>
            <w:t>59</w:t>
          </w:r>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r>
            <w:rPr/>
            <w:t>Awareness of MSU Services</w:t>
          </w:r>
          <w:r>
            <w:rPr>
              <w:spacing w:val="-5"/>
            </w:rPr>
            <w:t> </w:t>
          </w:r>
          <w:r>
            <w:rPr/>
            <w:t>and</w:t>
          </w:r>
          <w:r>
            <w:rPr>
              <w:spacing w:val="1"/>
            </w:rPr>
            <w:t> </w:t>
          </w:r>
          <w:r>
            <w:rPr/>
            <w:t>Resources</w:t>
            <w:tab/>
            <w:t>59</w:t>
          </w:r>
        </w:p>
        <w:p>
          <w:pPr>
            <w:pStyle w:val="TOC3"/>
            <w:numPr>
              <w:ilvl w:val="1"/>
              <w:numId w:val="1"/>
            </w:numPr>
            <w:tabs>
              <w:tab w:pos="1199" w:val="left" w:leader="none"/>
              <w:tab w:pos="1200" w:val="left" w:leader="none"/>
              <w:tab w:pos="9479" w:val="right" w:leader="dot"/>
            </w:tabs>
            <w:spacing w:line="240" w:lineRule="auto" w:before="158" w:after="0"/>
            <w:ind w:left="1200" w:right="0" w:hanging="540"/>
            <w:jc w:val="left"/>
          </w:pPr>
          <w:r>
            <w:rPr/>
            <w:t>Participation in</w:t>
          </w:r>
          <w:r>
            <w:rPr>
              <w:spacing w:val="-3"/>
            </w:rPr>
            <w:t> </w:t>
          </w:r>
          <w:r>
            <w:rPr/>
            <w:t>Trainings</w:t>
            <w:tab/>
            <w:t>61</w:t>
          </w:r>
        </w:p>
        <w:p>
          <w:pPr>
            <w:pStyle w:val="TOC3"/>
            <w:numPr>
              <w:ilvl w:val="1"/>
              <w:numId w:val="1"/>
            </w:numPr>
            <w:tabs>
              <w:tab w:pos="1199" w:val="left" w:leader="none"/>
              <w:tab w:pos="1200" w:val="left" w:leader="none"/>
              <w:tab w:pos="9479" w:val="right" w:leader="dot"/>
            </w:tabs>
            <w:spacing w:line="240" w:lineRule="auto" w:before="162" w:after="0"/>
            <w:ind w:left="1200" w:right="0" w:hanging="540"/>
            <w:jc w:val="left"/>
          </w:pPr>
          <w:r>
            <w:rPr/>
            <w:t>Faculty’s and Staff’s Confidence in Responding to Student and</w:t>
          </w:r>
          <w:r>
            <w:rPr>
              <w:spacing w:val="-13"/>
            </w:rPr>
            <w:t> </w:t>
          </w:r>
          <w:r>
            <w:rPr/>
            <w:t>Staff</w:t>
          </w:r>
          <w:r>
            <w:rPr>
              <w:spacing w:val="-1"/>
            </w:rPr>
            <w:t> </w:t>
          </w:r>
          <w:r>
            <w:rPr/>
            <w:t>Disclosure</w:t>
            <w:tab/>
            <w:t>64</w:t>
          </w:r>
        </w:p>
        <w:p>
          <w:pPr>
            <w:pStyle w:val="TOC1"/>
            <w:numPr>
              <w:ilvl w:val="0"/>
              <w:numId w:val="1"/>
            </w:numPr>
            <w:tabs>
              <w:tab w:pos="667" w:val="left" w:leader="none"/>
              <w:tab w:pos="668" w:val="left" w:leader="none"/>
              <w:tab w:pos="9479" w:val="right" w:leader="none"/>
            </w:tabs>
            <w:spacing w:line="240" w:lineRule="auto" w:before="318" w:after="0"/>
            <w:ind w:left="668" w:right="0" w:hanging="548"/>
            <w:jc w:val="left"/>
          </w:pPr>
          <w:r>
            <w:rPr/>
            <w:t>Changes from the 2018–2019 to the 2021–2022 Academic</w:t>
          </w:r>
          <w:r>
            <w:rPr>
              <w:spacing w:val="1"/>
            </w:rPr>
            <w:t> </w:t>
          </w:r>
          <w:r>
            <w:rPr/>
            <w:t>Year</w:t>
            <w:tab/>
            <w:t>66</w:t>
          </w:r>
        </w:p>
        <w:p>
          <w:pPr>
            <w:pStyle w:val="TOC1"/>
            <w:numPr>
              <w:ilvl w:val="0"/>
              <w:numId w:val="1"/>
            </w:numPr>
            <w:tabs>
              <w:tab w:pos="667" w:val="left" w:leader="none"/>
              <w:tab w:pos="668" w:val="left" w:leader="none"/>
              <w:tab w:pos="9479" w:val="right" w:leader="none"/>
            </w:tabs>
            <w:spacing w:line="240" w:lineRule="auto" w:before="322" w:after="0"/>
            <w:ind w:left="668" w:right="0" w:hanging="548"/>
            <w:jc w:val="left"/>
          </w:pPr>
          <w:r>
            <w:rPr/>
            <w:t>Conclusions</w:t>
            <w:tab/>
            <w:t>97</w:t>
          </w:r>
        </w:p>
      </w:sdtContent>
    </w:sdt>
    <w:p>
      <w:pPr>
        <w:spacing w:after="0" w:line="240" w:lineRule="auto"/>
        <w:jc w:val="left"/>
        <w:sectPr>
          <w:headerReference w:type="default" r:id="rId10"/>
          <w:footerReference w:type="default" r:id="rId11"/>
          <w:pgSz w:w="12240" w:h="15840"/>
          <w:pgMar w:header="0" w:footer="592" w:top="1020" w:bottom="780" w:left="1320" w:right="1320"/>
        </w:sectPr>
      </w:pPr>
    </w:p>
    <w:p>
      <w:pPr>
        <w:spacing w:before="108"/>
        <w:ind w:left="0" w:right="0" w:firstLine="0"/>
        <w:jc w:val="center"/>
        <w:rPr>
          <w:b/>
          <w:sz w:val="28"/>
        </w:rPr>
      </w:pPr>
      <w:bookmarkStart w:name="List of Figures" w:id="3"/>
      <w:bookmarkEnd w:id="3"/>
      <w:r>
        <w:rPr/>
      </w:r>
      <w:r>
        <w:rPr>
          <w:b/>
          <w:sz w:val="28"/>
        </w:rPr>
        <w:t>List of Figures</w:t>
      </w:r>
    </w:p>
    <w:p>
      <w:pPr>
        <w:tabs>
          <w:tab w:pos="8789" w:val="left" w:leader="none"/>
        </w:tabs>
        <w:spacing w:before="236"/>
        <w:ind w:left="1" w:right="0" w:firstLine="0"/>
        <w:jc w:val="center"/>
        <w:rPr>
          <w:b/>
          <w:sz w:val="24"/>
        </w:rPr>
      </w:pPr>
      <w:r>
        <w:rPr>
          <w:b/>
          <w:sz w:val="24"/>
        </w:rPr>
        <w:t>No.</w:t>
        <w:tab/>
        <w:t>Page</w:t>
      </w:r>
    </w:p>
    <w:p>
      <w:pPr>
        <w:pStyle w:val="BodyText"/>
        <w:tabs>
          <w:tab w:pos="9035" w:val="left" w:leader="dot"/>
        </w:tabs>
        <w:spacing w:before="231"/>
        <w:ind w:left="120"/>
        <w:jc w:val="both"/>
      </w:pPr>
      <w:r>
        <w:rPr/>
        <w:t>ES-1.  </w:t>
      </w:r>
      <w:r>
        <w:rPr>
          <w:spacing w:val="35"/>
        </w:rPr>
        <w:t> </w:t>
      </w:r>
      <w:r>
        <w:rPr/>
        <w:t>Victimization</w:t>
      </w:r>
      <w:r>
        <w:rPr>
          <w:spacing w:val="-1"/>
        </w:rPr>
        <w:t> </w:t>
      </w:r>
      <w:r>
        <w:rPr/>
        <w:t>Prevalence</w:t>
        <w:tab/>
      </w:r>
      <w:r>
        <w:rPr>
          <w:position w:val="1"/>
        </w:rPr>
        <w:t>ES-3</w:t>
      </w:r>
    </w:p>
    <w:p>
      <w:pPr>
        <w:pStyle w:val="BodyText"/>
        <w:tabs>
          <w:tab w:pos="9255" w:val="left" w:leader="dot"/>
        </w:tabs>
        <w:spacing w:line="302" w:lineRule="auto" w:before="52"/>
        <w:ind w:left="120" w:right="114"/>
        <w:jc w:val="both"/>
      </w:pPr>
      <w:r>
        <w:rPr/>
        <w:t>ES-2. Prevalence of Work-Related Sexual Harassment Among Faculty and Staff, 2021–2022 </w:t>
      </w:r>
      <w:r>
        <w:rPr>
          <w:position w:val="1"/>
        </w:rPr>
        <w:t>....... ES-4 </w:t>
      </w:r>
      <w:r>
        <w:rPr/>
        <w:t>ES-3. Campus Climate (Standardized Scale Scores), by Population................................................. ES-6 1.        </w:t>
      </w:r>
      <w:r>
        <w:rPr>
          <w:spacing w:val="32"/>
        </w:rPr>
        <w:t> </w:t>
      </w:r>
      <w:r>
        <w:rPr/>
        <w:t>Victimization</w:t>
      </w:r>
      <w:r>
        <w:rPr>
          <w:spacing w:val="1"/>
        </w:rPr>
        <w:t> </w:t>
      </w:r>
      <w:r>
        <w:rPr/>
        <w:t>Prevalence</w:t>
        <w:tab/>
      </w:r>
      <w:r>
        <w:rPr>
          <w:spacing w:val="-6"/>
        </w:rPr>
        <w:t>15</w:t>
      </w:r>
    </w:p>
    <w:p>
      <w:pPr>
        <w:pStyle w:val="ListParagraph"/>
        <w:numPr>
          <w:ilvl w:val="0"/>
          <w:numId w:val="2"/>
        </w:numPr>
        <w:tabs>
          <w:tab w:pos="828" w:val="left" w:leader="none"/>
        </w:tabs>
        <w:spacing w:line="229" w:lineRule="exact" w:before="0" w:after="0"/>
        <w:ind w:left="828" w:right="0" w:hanging="708"/>
        <w:jc w:val="both"/>
        <w:rPr>
          <w:sz w:val="20"/>
        </w:rPr>
      </w:pPr>
      <w:r>
        <w:rPr>
          <w:sz w:val="20"/>
        </w:rPr>
        <w:t>Prevalence of Sexual Harassment in 2021–2022 Academic Year, by</w:t>
      </w:r>
      <w:r>
        <w:rPr>
          <w:spacing w:val="-9"/>
          <w:sz w:val="20"/>
        </w:rPr>
        <w:t> </w:t>
      </w:r>
      <w:r>
        <w:rPr>
          <w:sz w:val="20"/>
        </w:rPr>
        <w:t>Student</w:t>
      </w:r>
    </w:p>
    <w:p>
      <w:pPr>
        <w:pStyle w:val="BodyText"/>
        <w:tabs>
          <w:tab w:pos="9255" w:val="left" w:leader="dot"/>
        </w:tabs>
        <w:spacing w:before="2"/>
        <w:ind w:left="827"/>
        <w:jc w:val="both"/>
      </w:pPr>
      <w:r>
        <w:rPr/>
        <w:t>Characteristics,</w:t>
      </w:r>
      <w:r>
        <w:rPr>
          <w:spacing w:val="-7"/>
        </w:rPr>
        <w:t> </w:t>
      </w:r>
      <w:r>
        <w:rPr/>
        <w:t>Undergraduates</w:t>
        <w:tab/>
        <w:t>20</w:t>
      </w:r>
    </w:p>
    <w:p>
      <w:pPr>
        <w:pStyle w:val="ListParagraph"/>
        <w:numPr>
          <w:ilvl w:val="0"/>
          <w:numId w:val="2"/>
        </w:numPr>
        <w:tabs>
          <w:tab w:pos="827" w:val="left" w:leader="none"/>
          <w:tab w:pos="828" w:val="left" w:leader="none"/>
          <w:tab w:pos="9255" w:val="left" w:leader="dot"/>
        </w:tabs>
        <w:spacing w:line="242" w:lineRule="auto" w:before="58" w:after="0"/>
        <w:ind w:left="828" w:right="119" w:hanging="708"/>
        <w:jc w:val="left"/>
        <w:rPr>
          <w:sz w:val="20"/>
        </w:rPr>
      </w:pPr>
      <w:r>
        <w:rPr>
          <w:sz w:val="20"/>
        </w:rPr>
        <w:t>Prevalence of Sexual Assault in 2021–2022 Academic Year, by Student Characteristics, Undergraduates</w:t>
        <w:tab/>
      </w:r>
      <w:r>
        <w:rPr>
          <w:spacing w:val="-9"/>
          <w:sz w:val="20"/>
        </w:rPr>
        <w:t>21</w:t>
      </w:r>
    </w:p>
    <w:p>
      <w:pPr>
        <w:pStyle w:val="ListParagraph"/>
        <w:numPr>
          <w:ilvl w:val="0"/>
          <w:numId w:val="2"/>
        </w:numPr>
        <w:tabs>
          <w:tab w:pos="827" w:val="left" w:leader="none"/>
          <w:tab w:pos="828" w:val="left" w:leader="none"/>
          <w:tab w:pos="9255" w:val="left" w:leader="dot"/>
        </w:tabs>
        <w:spacing w:line="242" w:lineRule="auto" w:before="56" w:after="0"/>
        <w:ind w:left="827" w:right="119" w:hanging="708"/>
        <w:jc w:val="left"/>
        <w:rPr>
          <w:sz w:val="20"/>
        </w:rPr>
      </w:pPr>
      <w:r>
        <w:rPr>
          <w:sz w:val="20"/>
        </w:rPr>
        <w:t>Prevalence of Intimate Partner Violence in 2021–2022 Academic Year, by Student Characteristics,</w:t>
      </w:r>
      <w:r>
        <w:rPr>
          <w:spacing w:val="-7"/>
          <w:sz w:val="20"/>
        </w:rPr>
        <w:t> </w:t>
      </w:r>
      <w:r>
        <w:rPr>
          <w:sz w:val="20"/>
        </w:rPr>
        <w:t>Undergraduates</w:t>
        <w:tab/>
      </w:r>
      <w:r>
        <w:rPr>
          <w:spacing w:val="-9"/>
          <w:sz w:val="20"/>
        </w:rPr>
        <w:t>22</w:t>
      </w:r>
    </w:p>
    <w:p>
      <w:pPr>
        <w:pStyle w:val="ListParagraph"/>
        <w:numPr>
          <w:ilvl w:val="0"/>
          <w:numId w:val="2"/>
        </w:numPr>
        <w:tabs>
          <w:tab w:pos="827" w:val="left" w:leader="none"/>
          <w:tab w:pos="828" w:val="left" w:leader="none"/>
          <w:tab w:pos="9255" w:val="left" w:leader="dot"/>
        </w:tabs>
        <w:spacing w:line="242" w:lineRule="auto" w:before="55" w:after="0"/>
        <w:ind w:left="828" w:right="119" w:hanging="708"/>
        <w:jc w:val="left"/>
        <w:rPr>
          <w:sz w:val="20"/>
        </w:rPr>
      </w:pPr>
      <w:r>
        <w:rPr>
          <w:sz w:val="20"/>
        </w:rPr>
        <w:t>Prevalence of Stalking in 2021–2022 Academic Year, by Student Characteristics, Undergraduates</w:t>
        <w:tab/>
      </w:r>
      <w:r>
        <w:rPr>
          <w:spacing w:val="-9"/>
          <w:sz w:val="20"/>
        </w:rPr>
        <w:t>23</w:t>
      </w:r>
    </w:p>
    <w:p>
      <w:pPr>
        <w:pStyle w:val="ListParagraph"/>
        <w:numPr>
          <w:ilvl w:val="0"/>
          <w:numId w:val="2"/>
        </w:numPr>
        <w:tabs>
          <w:tab w:pos="827" w:val="left" w:leader="none"/>
          <w:tab w:pos="828" w:val="left" w:leader="none"/>
        </w:tabs>
        <w:spacing w:line="240" w:lineRule="auto" w:before="56" w:after="0"/>
        <w:ind w:left="828" w:right="0" w:hanging="708"/>
        <w:jc w:val="left"/>
        <w:rPr>
          <w:sz w:val="20"/>
        </w:rPr>
      </w:pPr>
      <w:r>
        <w:rPr>
          <w:sz w:val="20"/>
        </w:rPr>
        <w:t>Prevalence of Sexual Harassment in 2021–2022 Academic Year, by</w:t>
      </w:r>
      <w:r>
        <w:rPr>
          <w:spacing w:val="-9"/>
          <w:sz w:val="20"/>
        </w:rPr>
        <w:t> </w:t>
      </w:r>
      <w:r>
        <w:rPr>
          <w:sz w:val="20"/>
        </w:rPr>
        <w:t>Student</w:t>
      </w:r>
    </w:p>
    <w:p>
      <w:pPr>
        <w:pStyle w:val="BodyText"/>
        <w:tabs>
          <w:tab w:pos="9255" w:val="left" w:leader="dot"/>
        </w:tabs>
        <w:spacing w:before="2"/>
        <w:ind w:left="827"/>
      </w:pPr>
      <w:r>
        <w:rPr/>
        <w:t>Characteristics,</w:t>
      </w:r>
      <w:r>
        <w:rPr>
          <w:spacing w:val="-10"/>
        </w:rPr>
        <w:t> </w:t>
      </w:r>
      <w:r>
        <w:rPr/>
        <w:t>Graduate/Professional</w:t>
      </w:r>
      <w:r>
        <w:rPr>
          <w:spacing w:val="-5"/>
        </w:rPr>
        <w:t> </w:t>
      </w:r>
      <w:r>
        <w:rPr/>
        <w:t>Students</w:t>
        <w:tab/>
        <w:t>24</w:t>
      </w:r>
    </w:p>
    <w:p>
      <w:pPr>
        <w:pStyle w:val="ListParagraph"/>
        <w:numPr>
          <w:ilvl w:val="0"/>
          <w:numId w:val="2"/>
        </w:numPr>
        <w:tabs>
          <w:tab w:pos="827" w:val="left" w:leader="none"/>
          <w:tab w:pos="828" w:val="left" w:leader="none"/>
          <w:tab w:pos="9255" w:val="left" w:leader="dot"/>
        </w:tabs>
        <w:spacing w:line="242" w:lineRule="auto" w:before="58" w:after="0"/>
        <w:ind w:left="828" w:right="119" w:hanging="708"/>
        <w:jc w:val="left"/>
        <w:rPr>
          <w:sz w:val="20"/>
        </w:rPr>
      </w:pPr>
      <w:r>
        <w:rPr>
          <w:sz w:val="20"/>
        </w:rPr>
        <w:t>Prevalence of Sexual Assault in 2021–2022 Academic Year, by Student Characteristics, Graduate/Professional</w:t>
      </w:r>
      <w:r>
        <w:rPr>
          <w:spacing w:val="-4"/>
          <w:sz w:val="20"/>
        </w:rPr>
        <w:t> </w:t>
      </w:r>
      <w:r>
        <w:rPr>
          <w:sz w:val="20"/>
        </w:rPr>
        <w:t>Students</w:t>
        <w:tab/>
      </w:r>
      <w:r>
        <w:rPr>
          <w:spacing w:val="-9"/>
          <w:sz w:val="20"/>
        </w:rPr>
        <w:t>25</w:t>
      </w:r>
    </w:p>
    <w:p>
      <w:pPr>
        <w:pStyle w:val="ListParagraph"/>
        <w:numPr>
          <w:ilvl w:val="0"/>
          <w:numId w:val="2"/>
        </w:numPr>
        <w:tabs>
          <w:tab w:pos="827" w:val="left" w:leader="none"/>
          <w:tab w:pos="828" w:val="left" w:leader="none"/>
          <w:tab w:pos="9255" w:val="left" w:leader="dot"/>
        </w:tabs>
        <w:spacing w:line="242" w:lineRule="auto" w:before="55" w:after="0"/>
        <w:ind w:left="827" w:right="119" w:hanging="708"/>
        <w:jc w:val="left"/>
        <w:rPr>
          <w:sz w:val="20"/>
        </w:rPr>
      </w:pPr>
      <w:r>
        <w:rPr>
          <w:sz w:val="20"/>
        </w:rPr>
        <w:t>Prevalence of Intimate Partner Violence in 2021–2022 Academic Year, by Student Characteristics,</w:t>
      </w:r>
      <w:r>
        <w:rPr>
          <w:spacing w:val="-10"/>
          <w:sz w:val="20"/>
        </w:rPr>
        <w:t> </w:t>
      </w:r>
      <w:r>
        <w:rPr>
          <w:sz w:val="20"/>
        </w:rPr>
        <w:t>Graduate/Professional</w:t>
      </w:r>
      <w:r>
        <w:rPr>
          <w:spacing w:val="-5"/>
          <w:sz w:val="20"/>
        </w:rPr>
        <w:t> </w:t>
      </w:r>
      <w:r>
        <w:rPr>
          <w:sz w:val="20"/>
        </w:rPr>
        <w:t>Students</w:t>
        <w:tab/>
      </w:r>
      <w:r>
        <w:rPr>
          <w:spacing w:val="-9"/>
          <w:sz w:val="20"/>
        </w:rPr>
        <w:t>26</w:t>
      </w:r>
    </w:p>
    <w:p>
      <w:pPr>
        <w:pStyle w:val="ListParagraph"/>
        <w:numPr>
          <w:ilvl w:val="0"/>
          <w:numId w:val="2"/>
        </w:numPr>
        <w:tabs>
          <w:tab w:pos="827" w:val="left" w:leader="none"/>
          <w:tab w:pos="828" w:val="left" w:leader="none"/>
          <w:tab w:pos="9255" w:val="left" w:leader="dot"/>
        </w:tabs>
        <w:spacing w:line="242" w:lineRule="auto" w:before="56" w:after="0"/>
        <w:ind w:left="828" w:right="119" w:hanging="708"/>
        <w:jc w:val="left"/>
        <w:rPr>
          <w:sz w:val="20"/>
        </w:rPr>
      </w:pPr>
      <w:r>
        <w:rPr>
          <w:sz w:val="20"/>
        </w:rPr>
        <w:t>Prevalence of Stalking in 2021–2022 Academic Year, by Student Characteristics, Graduate/Professional</w:t>
      </w:r>
      <w:r>
        <w:rPr>
          <w:spacing w:val="-4"/>
          <w:sz w:val="20"/>
        </w:rPr>
        <w:t> </w:t>
      </w:r>
      <w:r>
        <w:rPr>
          <w:sz w:val="20"/>
        </w:rPr>
        <w:t>Students</w:t>
        <w:tab/>
      </w:r>
      <w:r>
        <w:rPr>
          <w:spacing w:val="-9"/>
          <w:sz w:val="20"/>
        </w:rPr>
        <w:t>27</w:t>
      </w:r>
    </w:p>
    <w:p>
      <w:pPr>
        <w:pStyle w:val="ListParagraph"/>
        <w:numPr>
          <w:ilvl w:val="0"/>
          <w:numId w:val="2"/>
        </w:numPr>
        <w:tabs>
          <w:tab w:pos="827" w:val="left" w:leader="none"/>
          <w:tab w:pos="828" w:val="left" w:leader="none"/>
          <w:tab w:pos="9255" w:val="left" w:leader="dot"/>
        </w:tabs>
        <w:spacing w:line="240" w:lineRule="auto" w:before="55" w:after="0"/>
        <w:ind w:left="828" w:right="0" w:hanging="708"/>
        <w:jc w:val="left"/>
        <w:rPr>
          <w:sz w:val="20"/>
        </w:rPr>
      </w:pPr>
      <w:r>
        <w:rPr>
          <w:sz w:val="20"/>
        </w:rPr>
        <w:t>Prevalence of Specific Types of Sexual Harassment in 2021–2022</w:t>
      </w:r>
      <w:r>
        <w:rPr>
          <w:spacing w:val="-32"/>
          <w:sz w:val="20"/>
        </w:rPr>
        <w:t> </w:t>
      </w:r>
      <w:r>
        <w:rPr>
          <w:sz w:val="20"/>
        </w:rPr>
        <w:t>Academic</w:t>
      </w:r>
      <w:r>
        <w:rPr>
          <w:spacing w:val="-2"/>
          <w:sz w:val="20"/>
        </w:rPr>
        <w:t> </w:t>
      </w:r>
      <w:r>
        <w:rPr>
          <w:sz w:val="20"/>
        </w:rPr>
        <w:t>Year</w:t>
        <w:tab/>
        <w:t>28</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Impact of</w:t>
      </w:r>
      <w:r>
        <w:rPr>
          <w:spacing w:val="-5"/>
          <w:sz w:val="20"/>
        </w:rPr>
        <w:t> </w:t>
      </w:r>
      <w:r>
        <w:rPr>
          <w:sz w:val="20"/>
        </w:rPr>
        <w:t>Sexual</w:t>
      </w:r>
      <w:r>
        <w:rPr>
          <w:spacing w:val="-2"/>
          <w:sz w:val="20"/>
        </w:rPr>
        <w:t> </w:t>
      </w:r>
      <w:r>
        <w:rPr>
          <w:sz w:val="20"/>
        </w:rPr>
        <w:t>Harassment</w:t>
        <w:tab/>
        <w:t>29</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Sexual</w:t>
      </w:r>
      <w:r>
        <w:rPr>
          <w:spacing w:val="-4"/>
          <w:sz w:val="20"/>
        </w:rPr>
        <w:t> </w:t>
      </w:r>
      <w:r>
        <w:rPr>
          <w:sz w:val="20"/>
        </w:rPr>
        <w:t>Harassment</w:t>
      </w:r>
      <w:r>
        <w:rPr>
          <w:spacing w:val="-4"/>
          <w:sz w:val="20"/>
        </w:rPr>
        <w:t> </w:t>
      </w:r>
      <w:r>
        <w:rPr>
          <w:sz w:val="20"/>
        </w:rPr>
        <w:t>Perpetrator</w:t>
        <w:tab/>
        <w:t>30</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Sexual</w:t>
      </w:r>
      <w:r>
        <w:rPr>
          <w:spacing w:val="-3"/>
          <w:sz w:val="20"/>
        </w:rPr>
        <w:t> </w:t>
      </w:r>
      <w:r>
        <w:rPr>
          <w:sz w:val="20"/>
        </w:rPr>
        <w:t>Harassment</w:t>
      </w:r>
      <w:r>
        <w:rPr>
          <w:spacing w:val="-2"/>
          <w:sz w:val="20"/>
        </w:rPr>
        <w:t> </w:t>
      </w:r>
      <w:r>
        <w:rPr>
          <w:sz w:val="20"/>
        </w:rPr>
        <w:t>Disclosure</w:t>
        <w:tab/>
        <w:t>31</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Reasons for Not Disclosing</w:t>
      </w:r>
      <w:r>
        <w:rPr>
          <w:spacing w:val="-13"/>
          <w:sz w:val="20"/>
        </w:rPr>
        <w:t> </w:t>
      </w:r>
      <w:r>
        <w:rPr>
          <w:sz w:val="20"/>
        </w:rPr>
        <w:t>Sexual</w:t>
      </w:r>
      <w:r>
        <w:rPr>
          <w:spacing w:val="-3"/>
          <w:sz w:val="20"/>
        </w:rPr>
        <w:t> </w:t>
      </w:r>
      <w:r>
        <w:rPr>
          <w:sz w:val="20"/>
        </w:rPr>
        <w:t>Harassment</w:t>
        <w:tab/>
        <w:t>32</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Location of Rape and Sexual Battery Incidents Experienced by</w:t>
      </w:r>
      <w:r>
        <w:rPr>
          <w:spacing w:val="-10"/>
          <w:sz w:val="20"/>
        </w:rPr>
        <w:t> </w:t>
      </w:r>
      <w:r>
        <w:rPr>
          <w:sz w:val="20"/>
        </w:rPr>
        <w:t>Undergraduate</w:t>
      </w:r>
    </w:p>
    <w:p>
      <w:pPr>
        <w:pStyle w:val="BodyText"/>
        <w:tabs>
          <w:tab w:pos="9255" w:val="left" w:leader="dot"/>
        </w:tabs>
        <w:spacing w:line="229" w:lineRule="exact"/>
        <w:ind w:left="828"/>
      </w:pPr>
      <w:r>
        <w:rPr/>
        <w:t>Cisgender</w:t>
      </w:r>
      <w:r>
        <w:rPr>
          <w:spacing w:val="-1"/>
        </w:rPr>
        <w:t> </w:t>
      </w:r>
      <w:r>
        <w:rPr/>
        <w:t>Women</w:t>
        <w:tab/>
        <w:t>33</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Characteristics of Sexual Battery and Rape Incidents Experienced by</w:t>
      </w:r>
      <w:r>
        <w:rPr>
          <w:spacing w:val="-16"/>
          <w:sz w:val="20"/>
        </w:rPr>
        <w:t> </w:t>
      </w:r>
      <w:r>
        <w:rPr>
          <w:sz w:val="20"/>
        </w:rPr>
        <w:t>Undergraduate</w:t>
      </w:r>
    </w:p>
    <w:p>
      <w:pPr>
        <w:pStyle w:val="BodyText"/>
        <w:tabs>
          <w:tab w:pos="9255" w:val="left" w:leader="dot"/>
        </w:tabs>
        <w:spacing w:line="229" w:lineRule="exact"/>
        <w:ind w:left="828"/>
      </w:pPr>
      <w:r>
        <w:rPr/>
        <w:t>Cisgender</w:t>
      </w:r>
      <w:r>
        <w:rPr>
          <w:spacing w:val="-1"/>
        </w:rPr>
        <w:t> </w:t>
      </w:r>
      <w:r>
        <w:rPr/>
        <w:t>Women</w:t>
        <w:tab/>
        <w:t>34</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Characteristics of Sexual Battery and Rape Incidents Experienced by</w:t>
      </w:r>
      <w:r>
        <w:rPr>
          <w:spacing w:val="-16"/>
          <w:sz w:val="20"/>
        </w:rPr>
        <w:t> </w:t>
      </w:r>
      <w:r>
        <w:rPr>
          <w:sz w:val="20"/>
        </w:rPr>
        <w:t>Undergraduate</w:t>
      </w:r>
    </w:p>
    <w:p>
      <w:pPr>
        <w:pStyle w:val="BodyText"/>
        <w:tabs>
          <w:tab w:pos="9255" w:val="left" w:leader="dot"/>
        </w:tabs>
        <w:spacing w:line="229" w:lineRule="exact"/>
        <w:ind w:left="828"/>
      </w:pPr>
      <w:r>
        <w:rPr/>
        <w:t>Cisgender</w:t>
      </w:r>
      <w:r>
        <w:rPr>
          <w:spacing w:val="-4"/>
        </w:rPr>
        <w:t> </w:t>
      </w:r>
      <w:r>
        <w:rPr/>
        <w:t>Men</w:t>
        <w:tab/>
        <w:t>35</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Characteristics of Sexual Battery and Rape Incidents, Cisgender</w:t>
      </w:r>
      <w:r>
        <w:rPr>
          <w:spacing w:val="-11"/>
          <w:sz w:val="20"/>
        </w:rPr>
        <w:t> </w:t>
      </w:r>
      <w:r>
        <w:rPr>
          <w:sz w:val="20"/>
        </w:rPr>
        <w:t>Women</w:t>
      </w:r>
    </w:p>
    <w:p>
      <w:pPr>
        <w:pStyle w:val="BodyText"/>
        <w:tabs>
          <w:tab w:pos="9255" w:val="left" w:leader="dot"/>
        </w:tabs>
        <w:spacing w:line="229" w:lineRule="exact"/>
        <w:ind w:left="828"/>
      </w:pPr>
      <w:r>
        <w:rPr/>
        <w:t>Graduate/Professional</w:t>
      </w:r>
      <w:r>
        <w:rPr>
          <w:spacing w:val="-4"/>
        </w:rPr>
        <w:t> </w:t>
      </w:r>
      <w:r>
        <w:rPr/>
        <w:t>Students</w:t>
        <w:tab/>
        <w:t>36</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Number of Incidents by Month and Year of Study, Undergraduate</w:t>
      </w:r>
      <w:r>
        <w:rPr>
          <w:spacing w:val="-28"/>
          <w:sz w:val="20"/>
        </w:rPr>
        <w:t> </w:t>
      </w:r>
      <w:r>
        <w:rPr>
          <w:sz w:val="20"/>
        </w:rPr>
        <w:t>Cisgender</w:t>
      </w:r>
      <w:r>
        <w:rPr>
          <w:spacing w:val="-3"/>
          <w:sz w:val="20"/>
        </w:rPr>
        <w:t> </w:t>
      </w:r>
      <w:r>
        <w:rPr>
          <w:sz w:val="20"/>
        </w:rPr>
        <w:t>Women</w:t>
        <w:tab/>
        <w:t>37</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Disclosure of Sexual Battery and Rape Incidents, Undergraduate</w:t>
      </w:r>
      <w:r>
        <w:rPr>
          <w:spacing w:val="-28"/>
          <w:sz w:val="20"/>
        </w:rPr>
        <w:t> </w:t>
      </w:r>
      <w:r>
        <w:rPr>
          <w:sz w:val="20"/>
        </w:rPr>
        <w:t>Cisgender</w:t>
      </w:r>
      <w:r>
        <w:rPr>
          <w:spacing w:val="-3"/>
          <w:sz w:val="20"/>
        </w:rPr>
        <w:t> </w:t>
      </w:r>
      <w:r>
        <w:rPr>
          <w:sz w:val="20"/>
        </w:rPr>
        <w:t>Women</w:t>
        <w:tab/>
        <w:t>37</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Reasons for Not Disclosing Sexual Battery and Rape Incidents,</w:t>
      </w:r>
      <w:r>
        <w:rPr>
          <w:spacing w:val="-8"/>
          <w:sz w:val="20"/>
        </w:rPr>
        <w:t> </w:t>
      </w:r>
      <w:r>
        <w:rPr>
          <w:sz w:val="20"/>
        </w:rPr>
        <w:t>Undergraduate</w:t>
      </w:r>
    </w:p>
    <w:p>
      <w:pPr>
        <w:pStyle w:val="BodyText"/>
        <w:tabs>
          <w:tab w:pos="9255" w:val="left" w:leader="dot"/>
        </w:tabs>
        <w:spacing w:line="229" w:lineRule="exact"/>
        <w:ind w:left="828"/>
      </w:pPr>
      <w:r>
        <w:rPr/>
        <w:t>Cisgender</w:t>
      </w:r>
      <w:r>
        <w:rPr>
          <w:spacing w:val="-1"/>
        </w:rPr>
        <w:t> </w:t>
      </w:r>
      <w:r>
        <w:rPr/>
        <w:t>Women</w:t>
        <w:tab/>
        <w:t>39</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Reasons for Not Disclosing Sexual Battery and Rape Incidents,</w:t>
      </w:r>
      <w:r>
        <w:rPr>
          <w:spacing w:val="-8"/>
          <w:sz w:val="20"/>
        </w:rPr>
        <w:t> </w:t>
      </w:r>
      <w:r>
        <w:rPr>
          <w:sz w:val="20"/>
        </w:rPr>
        <w:t>Undergraduate</w:t>
      </w:r>
    </w:p>
    <w:p>
      <w:pPr>
        <w:pStyle w:val="BodyText"/>
        <w:tabs>
          <w:tab w:pos="9255" w:val="left" w:leader="dot"/>
        </w:tabs>
        <w:spacing w:line="229" w:lineRule="exact"/>
        <w:ind w:left="828"/>
      </w:pPr>
      <w:r>
        <w:rPr/>
        <w:t>Cisgender</w:t>
      </w:r>
      <w:r>
        <w:rPr>
          <w:spacing w:val="-4"/>
        </w:rPr>
        <w:t> </w:t>
      </w:r>
      <w:r>
        <w:rPr/>
        <w:t>Men</w:t>
        <w:tab/>
        <w:t>40</w:t>
      </w:r>
    </w:p>
    <w:p>
      <w:pPr>
        <w:pStyle w:val="ListParagraph"/>
        <w:numPr>
          <w:ilvl w:val="0"/>
          <w:numId w:val="2"/>
        </w:numPr>
        <w:tabs>
          <w:tab w:pos="827" w:val="left" w:leader="none"/>
          <w:tab w:pos="828" w:val="left" w:leader="none"/>
          <w:tab w:pos="9255" w:val="left" w:leader="dot"/>
        </w:tabs>
        <w:spacing w:line="240" w:lineRule="auto" w:before="62" w:after="0"/>
        <w:ind w:left="828" w:right="119" w:hanging="708"/>
        <w:jc w:val="left"/>
        <w:rPr>
          <w:sz w:val="20"/>
        </w:rPr>
      </w:pPr>
      <w:r>
        <w:rPr>
          <w:sz w:val="20"/>
        </w:rPr>
        <w:t>Reasons for Not Disclosing Sexual Battery and Rape Incidents, Cisgender Women Graduate/Professional</w:t>
      </w:r>
      <w:r>
        <w:rPr>
          <w:spacing w:val="-4"/>
          <w:sz w:val="20"/>
        </w:rPr>
        <w:t> </w:t>
      </w:r>
      <w:r>
        <w:rPr>
          <w:sz w:val="20"/>
        </w:rPr>
        <w:t>Students</w:t>
        <w:tab/>
      </w:r>
      <w:r>
        <w:rPr>
          <w:spacing w:val="-9"/>
          <w:sz w:val="20"/>
        </w:rPr>
        <w:t>41</w:t>
      </w:r>
    </w:p>
    <w:p>
      <w:pPr>
        <w:pStyle w:val="ListParagraph"/>
        <w:numPr>
          <w:ilvl w:val="0"/>
          <w:numId w:val="2"/>
        </w:numPr>
        <w:tabs>
          <w:tab w:pos="827" w:val="left" w:leader="none"/>
          <w:tab w:pos="828" w:val="left" w:leader="none"/>
          <w:tab w:pos="9255" w:val="left" w:leader="dot"/>
        </w:tabs>
        <w:spacing w:line="240" w:lineRule="auto" w:before="60" w:after="0"/>
        <w:ind w:left="828" w:right="0" w:hanging="708"/>
        <w:jc w:val="left"/>
        <w:rPr>
          <w:sz w:val="20"/>
        </w:rPr>
      </w:pPr>
      <w:r>
        <w:rPr>
          <w:sz w:val="20"/>
        </w:rPr>
        <w:t>Perception of Rape and Sexual Battery Incidents, Undergraduate</w:t>
      </w:r>
      <w:r>
        <w:rPr>
          <w:spacing w:val="-27"/>
          <w:sz w:val="20"/>
        </w:rPr>
        <w:t> </w:t>
      </w:r>
      <w:r>
        <w:rPr>
          <w:sz w:val="20"/>
        </w:rPr>
        <w:t>Cisgender</w:t>
      </w:r>
      <w:r>
        <w:rPr>
          <w:spacing w:val="-3"/>
          <w:sz w:val="20"/>
        </w:rPr>
        <w:t> </w:t>
      </w:r>
      <w:r>
        <w:rPr>
          <w:sz w:val="20"/>
        </w:rPr>
        <w:t>Women</w:t>
        <w:tab/>
        <w:t>42</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Perception of Sexual Battery Incidents, Undergraduate</w:t>
      </w:r>
      <w:r>
        <w:rPr>
          <w:spacing w:val="-25"/>
          <w:sz w:val="20"/>
        </w:rPr>
        <w:t> </w:t>
      </w:r>
      <w:r>
        <w:rPr>
          <w:sz w:val="20"/>
        </w:rPr>
        <w:t>Cisgender</w:t>
      </w:r>
      <w:r>
        <w:rPr>
          <w:spacing w:val="-2"/>
          <w:sz w:val="20"/>
        </w:rPr>
        <w:t> </w:t>
      </w:r>
      <w:r>
        <w:rPr>
          <w:sz w:val="20"/>
        </w:rPr>
        <w:t>Men</w:t>
        <w:tab/>
        <w:t>42</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Perception of Sexual Battery Incidents, Cisgender Women</w:t>
      </w:r>
      <w:r>
        <w:rPr>
          <w:spacing w:val="-12"/>
          <w:sz w:val="20"/>
        </w:rPr>
        <w:t> </w:t>
      </w:r>
      <w:r>
        <w:rPr>
          <w:sz w:val="20"/>
        </w:rPr>
        <w:t>Graduate/Professional</w:t>
      </w:r>
    </w:p>
    <w:p>
      <w:pPr>
        <w:pStyle w:val="BodyText"/>
        <w:tabs>
          <w:tab w:pos="9255" w:val="left" w:leader="dot"/>
        </w:tabs>
        <w:spacing w:line="229" w:lineRule="exact"/>
        <w:ind w:left="828"/>
      </w:pPr>
      <w:r>
        <w:rPr/>
        <w:t>Students</w:t>
        <w:tab/>
        <w:t>42</w:t>
      </w:r>
    </w:p>
    <w:p>
      <w:pPr>
        <w:spacing w:after="0" w:line="229" w:lineRule="exact"/>
        <w:sectPr>
          <w:headerReference w:type="default" r:id="rId12"/>
          <w:footerReference w:type="default" r:id="rId13"/>
          <w:pgSz w:w="12240" w:h="15840"/>
          <w:pgMar w:header="0" w:footer="592" w:top="1020" w:bottom="780" w:left="1320" w:right="1320"/>
          <w:pgNumType w:start="3"/>
        </w:sectPr>
      </w:pPr>
    </w:p>
    <w:p>
      <w:pPr>
        <w:pStyle w:val="ListParagraph"/>
        <w:numPr>
          <w:ilvl w:val="0"/>
          <w:numId w:val="2"/>
        </w:numPr>
        <w:tabs>
          <w:tab w:pos="827" w:val="left" w:leader="none"/>
          <w:tab w:pos="828" w:val="left" w:leader="none"/>
          <w:tab w:pos="9255" w:val="left" w:leader="dot"/>
        </w:tabs>
        <w:spacing w:line="240" w:lineRule="auto" w:before="107" w:after="0"/>
        <w:ind w:left="828" w:right="0" w:hanging="708"/>
        <w:jc w:val="left"/>
        <w:rPr>
          <w:sz w:val="20"/>
        </w:rPr>
      </w:pPr>
      <w:r>
        <w:rPr>
          <w:sz w:val="20"/>
        </w:rPr>
        <w:t>Impact of Sexual Battery and Rape Incidents, Undergraduate</w:t>
      </w:r>
      <w:r>
        <w:rPr>
          <w:spacing w:val="-30"/>
          <w:sz w:val="20"/>
        </w:rPr>
        <w:t> </w:t>
      </w:r>
      <w:r>
        <w:rPr>
          <w:sz w:val="20"/>
        </w:rPr>
        <w:t>Cisgender</w:t>
      </w:r>
      <w:r>
        <w:rPr>
          <w:spacing w:val="-1"/>
          <w:sz w:val="20"/>
        </w:rPr>
        <w:t> </w:t>
      </w:r>
      <w:r>
        <w:rPr>
          <w:sz w:val="20"/>
        </w:rPr>
        <w:t>Women</w:t>
        <w:tab/>
        <w:t>43</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Mean Workplace Incivility Scores Among Students Employed by MSU,</w:t>
      </w:r>
      <w:r>
        <w:rPr>
          <w:spacing w:val="-12"/>
          <w:sz w:val="20"/>
        </w:rPr>
        <w:t> </w:t>
      </w:r>
      <w:r>
        <w:rPr>
          <w:sz w:val="20"/>
        </w:rPr>
        <w:t>2021–2022</w:t>
      </w:r>
    </w:p>
    <w:p>
      <w:pPr>
        <w:pStyle w:val="BodyText"/>
        <w:tabs>
          <w:tab w:pos="9255" w:val="left" w:leader="dot"/>
        </w:tabs>
        <w:spacing w:before="2"/>
        <w:ind w:left="828"/>
      </w:pPr>
      <w:r>
        <w:rPr/>
        <w:t>Academic</w:t>
      </w:r>
      <w:r>
        <w:rPr>
          <w:spacing w:val="-2"/>
        </w:rPr>
        <w:t> </w:t>
      </w:r>
      <w:r>
        <w:rPr/>
        <w:t>Year</w:t>
        <w:tab/>
        <w:t>44</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Prevalence of Types of Work-Related Sexual Harassment Among Faculty/Staff,</w:t>
      </w:r>
      <w:r>
        <w:rPr>
          <w:spacing w:val="29"/>
          <w:sz w:val="20"/>
        </w:rPr>
        <w:t> </w:t>
      </w:r>
      <w:r>
        <w:rPr>
          <w:sz w:val="20"/>
        </w:rPr>
        <w:t>2021–</w:t>
      </w:r>
    </w:p>
    <w:p>
      <w:pPr>
        <w:pStyle w:val="BodyText"/>
        <w:tabs>
          <w:tab w:pos="1927" w:val="left" w:leader="none"/>
        </w:tabs>
        <w:spacing w:before="2"/>
        <w:ind w:left="828"/>
      </w:pPr>
      <w:r>
        <w:rPr/>
        <w:t>2022</w:t>
        <w:tab/>
        <w:t>..................................................................................................................................</w:t>
      </w:r>
      <w:r>
        <w:rPr>
          <w:spacing w:val="-8"/>
        </w:rPr>
        <w:t> </w:t>
      </w:r>
      <w:r>
        <w:rPr/>
        <w:t>45</w:t>
      </w:r>
    </w:p>
    <w:p>
      <w:pPr>
        <w:pStyle w:val="ListParagraph"/>
        <w:numPr>
          <w:ilvl w:val="0"/>
          <w:numId w:val="2"/>
        </w:numPr>
        <w:tabs>
          <w:tab w:pos="827" w:val="left" w:leader="none"/>
          <w:tab w:pos="828" w:val="left" w:leader="none"/>
          <w:tab w:pos="9255" w:val="left" w:leader="dot"/>
        </w:tabs>
        <w:spacing w:line="242" w:lineRule="auto" w:before="58" w:after="0"/>
        <w:ind w:left="828" w:right="119" w:hanging="708"/>
        <w:jc w:val="left"/>
        <w:rPr>
          <w:sz w:val="20"/>
        </w:rPr>
      </w:pPr>
      <w:r>
        <w:rPr>
          <w:sz w:val="20"/>
        </w:rPr>
        <w:t>Prevalence of  Work-Related  Sexual  Harassment  (2021–2022),  by  Faculty/Staff Characteristics</w:t>
        <w:tab/>
      </w:r>
      <w:r>
        <w:rPr>
          <w:spacing w:val="-9"/>
          <w:sz w:val="20"/>
        </w:rPr>
        <w:t>47</w:t>
      </w:r>
    </w:p>
    <w:p>
      <w:pPr>
        <w:pStyle w:val="ListParagraph"/>
        <w:numPr>
          <w:ilvl w:val="0"/>
          <w:numId w:val="2"/>
        </w:numPr>
        <w:tabs>
          <w:tab w:pos="827" w:val="left" w:leader="none"/>
          <w:tab w:pos="828" w:val="left" w:leader="none"/>
          <w:tab w:pos="9255" w:val="left" w:leader="dot"/>
        </w:tabs>
        <w:spacing w:line="240" w:lineRule="auto" w:before="56" w:after="0"/>
        <w:ind w:left="828" w:right="0" w:hanging="708"/>
        <w:jc w:val="left"/>
        <w:rPr>
          <w:sz w:val="20"/>
        </w:rPr>
      </w:pPr>
      <w:r>
        <w:rPr>
          <w:sz w:val="20"/>
        </w:rPr>
        <w:t>Impact of Work-Related</w:t>
      </w:r>
      <w:r>
        <w:rPr>
          <w:spacing w:val="-9"/>
          <w:sz w:val="20"/>
        </w:rPr>
        <w:t> </w:t>
      </w:r>
      <w:r>
        <w:rPr>
          <w:sz w:val="20"/>
        </w:rPr>
        <w:t>Sexual</w:t>
      </w:r>
      <w:r>
        <w:rPr>
          <w:spacing w:val="-4"/>
          <w:sz w:val="20"/>
        </w:rPr>
        <w:t> </w:t>
      </w:r>
      <w:r>
        <w:rPr>
          <w:sz w:val="20"/>
        </w:rPr>
        <w:t>Harassment</w:t>
        <w:tab/>
        <w:t>48</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Perpetrators of Work-Related</w:t>
      </w:r>
      <w:r>
        <w:rPr>
          <w:spacing w:val="-11"/>
          <w:sz w:val="20"/>
        </w:rPr>
        <w:t> </w:t>
      </w:r>
      <w:r>
        <w:rPr>
          <w:sz w:val="20"/>
        </w:rPr>
        <w:t>Sexual</w:t>
      </w:r>
      <w:r>
        <w:rPr>
          <w:spacing w:val="-4"/>
          <w:sz w:val="20"/>
        </w:rPr>
        <w:t> </w:t>
      </w:r>
      <w:r>
        <w:rPr>
          <w:sz w:val="20"/>
        </w:rPr>
        <w:t>Harassment</w:t>
        <w:tab/>
        <w:t>48</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Disclosure of Work-Related</w:t>
      </w:r>
      <w:r>
        <w:rPr>
          <w:spacing w:val="-12"/>
          <w:sz w:val="20"/>
        </w:rPr>
        <w:t> </w:t>
      </w:r>
      <w:r>
        <w:rPr>
          <w:sz w:val="20"/>
        </w:rPr>
        <w:t>Sexual</w:t>
      </w:r>
      <w:r>
        <w:rPr>
          <w:spacing w:val="-3"/>
          <w:sz w:val="20"/>
        </w:rPr>
        <w:t> </w:t>
      </w:r>
      <w:r>
        <w:rPr>
          <w:sz w:val="20"/>
        </w:rPr>
        <w:t>Harassment</w:t>
        <w:tab/>
        <w:t>49</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Reasons for Not Disclosing Work-Related</w:t>
      </w:r>
      <w:r>
        <w:rPr>
          <w:spacing w:val="-18"/>
          <w:sz w:val="20"/>
        </w:rPr>
        <w:t> </w:t>
      </w:r>
      <w:r>
        <w:rPr>
          <w:sz w:val="20"/>
        </w:rPr>
        <w:t>Sexual</w:t>
      </w:r>
      <w:r>
        <w:rPr>
          <w:spacing w:val="-2"/>
          <w:sz w:val="20"/>
        </w:rPr>
        <w:t> </w:t>
      </w:r>
      <w:r>
        <w:rPr>
          <w:sz w:val="20"/>
        </w:rPr>
        <w:t>Harassment</w:t>
        <w:tab/>
        <w:t>50</w:t>
      </w:r>
    </w:p>
    <w:p>
      <w:pPr>
        <w:pStyle w:val="ListParagraph"/>
        <w:numPr>
          <w:ilvl w:val="0"/>
          <w:numId w:val="2"/>
        </w:numPr>
        <w:tabs>
          <w:tab w:pos="827" w:val="left" w:leader="none"/>
          <w:tab w:pos="828" w:val="left" w:leader="none"/>
          <w:tab w:pos="9255" w:val="left" w:leader="dot"/>
        </w:tabs>
        <w:spacing w:line="242" w:lineRule="auto" w:before="58" w:after="0"/>
        <w:ind w:left="827" w:right="119" w:hanging="708"/>
        <w:jc w:val="left"/>
        <w:rPr>
          <w:sz w:val="20"/>
        </w:rPr>
      </w:pPr>
      <w:r>
        <w:rPr>
          <w:sz w:val="20"/>
        </w:rPr>
        <w:t>Mean Workplace Incivility Scores and Prevalence Among Faculty and Staff, 2021–2022 Academic</w:t>
      </w:r>
      <w:r>
        <w:rPr>
          <w:spacing w:val="-2"/>
          <w:sz w:val="20"/>
        </w:rPr>
        <w:t> </w:t>
      </w:r>
      <w:r>
        <w:rPr>
          <w:sz w:val="20"/>
        </w:rPr>
        <w:t>Year</w:t>
        <w:tab/>
      </w:r>
      <w:r>
        <w:rPr>
          <w:spacing w:val="-9"/>
          <w:sz w:val="20"/>
        </w:rPr>
        <w:t>51</w:t>
      </w:r>
    </w:p>
    <w:p>
      <w:pPr>
        <w:pStyle w:val="ListParagraph"/>
        <w:numPr>
          <w:ilvl w:val="0"/>
          <w:numId w:val="2"/>
        </w:numPr>
        <w:tabs>
          <w:tab w:pos="827" w:val="left" w:leader="none"/>
          <w:tab w:pos="828" w:val="left" w:leader="none"/>
          <w:tab w:pos="9255" w:val="left" w:leader="dot"/>
        </w:tabs>
        <w:spacing w:line="240" w:lineRule="auto" w:before="55" w:after="0"/>
        <w:ind w:left="828" w:right="0" w:hanging="708"/>
        <w:jc w:val="left"/>
        <w:rPr>
          <w:sz w:val="20"/>
        </w:rPr>
      </w:pPr>
      <w:r>
        <w:rPr>
          <w:sz w:val="20"/>
        </w:rPr>
        <w:t>Identity-Based</w:t>
      </w:r>
      <w:r>
        <w:rPr>
          <w:spacing w:val="-3"/>
          <w:sz w:val="20"/>
        </w:rPr>
        <w:t> </w:t>
      </w:r>
      <w:r>
        <w:rPr>
          <w:sz w:val="20"/>
        </w:rPr>
        <w:t>Workplace</w:t>
      </w:r>
      <w:r>
        <w:rPr>
          <w:spacing w:val="-7"/>
          <w:sz w:val="20"/>
        </w:rPr>
        <w:t> </w:t>
      </w:r>
      <w:r>
        <w:rPr>
          <w:sz w:val="20"/>
        </w:rPr>
        <w:t>Incivility</w:t>
        <w:tab/>
        <w:t>52</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Prevalence of Workplace Incivility, by Faculty/Staff</w:t>
      </w:r>
      <w:r>
        <w:rPr>
          <w:spacing w:val="-27"/>
          <w:sz w:val="20"/>
        </w:rPr>
        <w:t> </w:t>
      </w:r>
      <w:r>
        <w:rPr>
          <w:sz w:val="20"/>
        </w:rPr>
        <w:t>Characteristics,</w:t>
      </w:r>
      <w:r>
        <w:rPr>
          <w:spacing w:val="-5"/>
          <w:sz w:val="20"/>
        </w:rPr>
        <w:t> </w:t>
      </w:r>
      <w:r>
        <w:rPr>
          <w:sz w:val="20"/>
        </w:rPr>
        <w:t>2021–2022</w:t>
        <w:tab/>
        <w:t>54</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Campus Climate (Mean Scale Scores),</w:t>
      </w:r>
      <w:r>
        <w:rPr>
          <w:spacing w:val="-14"/>
          <w:sz w:val="20"/>
        </w:rPr>
        <w:t> </w:t>
      </w:r>
      <w:r>
        <w:rPr>
          <w:sz w:val="20"/>
        </w:rPr>
        <w:t>by</w:t>
      </w:r>
      <w:r>
        <w:rPr>
          <w:spacing w:val="-2"/>
          <w:sz w:val="20"/>
        </w:rPr>
        <w:t> </w:t>
      </w:r>
      <w:r>
        <w:rPr>
          <w:sz w:val="20"/>
        </w:rPr>
        <w:t>Population</w:t>
        <w:tab/>
        <w:t>57</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Campus Climate (Sample Items Paraphrased),</w:t>
      </w:r>
      <w:r>
        <w:rPr>
          <w:spacing w:val="-18"/>
          <w:sz w:val="20"/>
        </w:rPr>
        <w:t> </w:t>
      </w:r>
      <w:r>
        <w:rPr>
          <w:sz w:val="20"/>
        </w:rPr>
        <w:t>by</w:t>
      </w:r>
      <w:r>
        <w:rPr>
          <w:spacing w:val="-2"/>
          <w:sz w:val="20"/>
        </w:rPr>
        <w:t> </w:t>
      </w:r>
      <w:r>
        <w:rPr>
          <w:sz w:val="20"/>
        </w:rPr>
        <w:t>Population</w:t>
        <w:tab/>
        <w:t>58</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“If I were to experience sexual misconduct, MSU would treat me with dignity</w:t>
      </w:r>
      <w:r>
        <w:rPr>
          <w:spacing w:val="-34"/>
          <w:sz w:val="20"/>
        </w:rPr>
        <w:t> </w:t>
      </w:r>
      <w:r>
        <w:rPr>
          <w:sz w:val="20"/>
        </w:rPr>
        <w:t>and</w:t>
      </w:r>
      <w:r>
        <w:rPr>
          <w:spacing w:val="-5"/>
          <w:sz w:val="20"/>
        </w:rPr>
        <w:t> </w:t>
      </w:r>
      <w:r>
        <w:rPr>
          <w:sz w:val="20"/>
        </w:rPr>
        <w:t>respect”</w:t>
        <w:tab/>
        <w:t>59</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Awareness of</w:t>
      </w:r>
      <w:r>
        <w:rPr>
          <w:spacing w:val="-6"/>
          <w:sz w:val="20"/>
        </w:rPr>
        <w:t> </w:t>
      </w:r>
      <w:r>
        <w:rPr>
          <w:sz w:val="20"/>
        </w:rPr>
        <w:t>MSU</w:t>
      </w:r>
      <w:r>
        <w:rPr>
          <w:spacing w:val="-1"/>
          <w:sz w:val="20"/>
        </w:rPr>
        <w:t> </w:t>
      </w:r>
      <w:r>
        <w:rPr>
          <w:sz w:val="20"/>
        </w:rPr>
        <w:t>Resources</w:t>
        <w:tab/>
        <w:t>60</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Training on</w:t>
      </w:r>
      <w:r>
        <w:rPr>
          <w:spacing w:val="-6"/>
          <w:sz w:val="20"/>
        </w:rPr>
        <w:t> </w:t>
      </w:r>
      <w:r>
        <w:rPr>
          <w:sz w:val="20"/>
        </w:rPr>
        <w:t>Specific</w:t>
      </w:r>
      <w:r>
        <w:rPr>
          <w:spacing w:val="-2"/>
          <w:sz w:val="20"/>
        </w:rPr>
        <w:t> </w:t>
      </w:r>
      <w:r>
        <w:rPr>
          <w:sz w:val="20"/>
        </w:rPr>
        <w:t>Topics</w:t>
        <w:tab/>
        <w:t>62</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Undergraduate Student Participation in</w:t>
      </w:r>
      <w:r>
        <w:rPr>
          <w:spacing w:val="-14"/>
          <w:sz w:val="20"/>
        </w:rPr>
        <w:t> </w:t>
      </w:r>
      <w:r>
        <w:rPr>
          <w:sz w:val="20"/>
        </w:rPr>
        <w:t>Specific</w:t>
      </w:r>
      <w:r>
        <w:rPr>
          <w:spacing w:val="-4"/>
          <w:sz w:val="20"/>
        </w:rPr>
        <w:t> </w:t>
      </w:r>
      <w:r>
        <w:rPr>
          <w:sz w:val="20"/>
        </w:rPr>
        <w:t>Trainings</w:t>
        <w:tab/>
        <w:t>63</w:t>
      </w:r>
    </w:p>
    <w:p>
      <w:pPr>
        <w:pStyle w:val="ListParagraph"/>
        <w:numPr>
          <w:ilvl w:val="0"/>
          <w:numId w:val="2"/>
        </w:numPr>
        <w:tabs>
          <w:tab w:pos="827" w:val="left" w:leader="none"/>
          <w:tab w:pos="828" w:val="left" w:leader="none"/>
          <w:tab w:pos="9255" w:val="left" w:leader="dot"/>
        </w:tabs>
        <w:spacing w:line="240" w:lineRule="auto" w:before="58" w:after="0"/>
        <w:ind w:left="828" w:right="0" w:hanging="708"/>
        <w:jc w:val="left"/>
        <w:rPr>
          <w:sz w:val="20"/>
        </w:rPr>
      </w:pPr>
      <w:r>
        <w:rPr>
          <w:sz w:val="20"/>
        </w:rPr>
        <w:t>Graduate/Professional Student Participation </w:t>
      </w:r>
      <w:r>
        <w:rPr>
          <w:spacing w:val="-3"/>
          <w:sz w:val="20"/>
        </w:rPr>
        <w:t>in</w:t>
      </w:r>
      <w:r>
        <w:rPr>
          <w:spacing w:val="-14"/>
          <w:sz w:val="20"/>
        </w:rPr>
        <w:t> </w:t>
      </w:r>
      <w:r>
        <w:rPr>
          <w:sz w:val="20"/>
        </w:rPr>
        <w:t>Specific</w:t>
      </w:r>
      <w:r>
        <w:rPr>
          <w:spacing w:val="-4"/>
          <w:sz w:val="20"/>
        </w:rPr>
        <w:t> </w:t>
      </w:r>
      <w:r>
        <w:rPr>
          <w:sz w:val="20"/>
        </w:rPr>
        <w:t>Trainings</w:t>
        <w:tab/>
        <w:t>63</w:t>
      </w:r>
    </w:p>
    <w:p>
      <w:pPr>
        <w:pStyle w:val="ListParagraph"/>
        <w:numPr>
          <w:ilvl w:val="0"/>
          <w:numId w:val="2"/>
        </w:numPr>
        <w:tabs>
          <w:tab w:pos="827" w:val="left" w:leader="none"/>
          <w:tab w:pos="828" w:val="left" w:leader="none"/>
          <w:tab w:pos="9255" w:val="left" w:leader="dot"/>
        </w:tabs>
        <w:spacing w:line="240" w:lineRule="auto" w:before="62" w:after="0"/>
        <w:ind w:left="828" w:right="0" w:hanging="708"/>
        <w:jc w:val="left"/>
        <w:rPr>
          <w:sz w:val="20"/>
        </w:rPr>
      </w:pPr>
      <w:r>
        <w:rPr>
          <w:sz w:val="20"/>
        </w:rPr>
        <w:t>Faculty/Staff Participation in</w:t>
      </w:r>
      <w:r>
        <w:rPr>
          <w:spacing w:val="-11"/>
          <w:sz w:val="20"/>
        </w:rPr>
        <w:t> </w:t>
      </w:r>
      <w:r>
        <w:rPr>
          <w:sz w:val="20"/>
        </w:rPr>
        <w:t>Specific</w:t>
      </w:r>
      <w:r>
        <w:rPr>
          <w:spacing w:val="-7"/>
          <w:sz w:val="20"/>
        </w:rPr>
        <w:t> </w:t>
      </w:r>
      <w:r>
        <w:rPr>
          <w:sz w:val="20"/>
        </w:rPr>
        <w:t>Trainings</w:t>
        <w:tab/>
        <w:t>64</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Faculty’s/Staff’s Confidence in Their Ability to Respond According to MSU’s</w:t>
      </w:r>
      <w:r>
        <w:rPr>
          <w:spacing w:val="-14"/>
          <w:sz w:val="20"/>
        </w:rPr>
        <w:t> </w:t>
      </w:r>
      <w:r>
        <w:rPr>
          <w:sz w:val="20"/>
        </w:rPr>
        <w:t>Official</w:t>
      </w:r>
    </w:p>
    <w:p>
      <w:pPr>
        <w:pStyle w:val="BodyText"/>
        <w:tabs>
          <w:tab w:pos="9255" w:val="left" w:leader="dot"/>
        </w:tabs>
        <w:spacing w:before="2"/>
        <w:ind w:left="828"/>
      </w:pPr>
      <w:r>
        <w:rPr/>
        <w:t>Procedures to a Student</w:t>
      </w:r>
      <w:r>
        <w:rPr>
          <w:spacing w:val="3"/>
        </w:rPr>
        <w:t> </w:t>
      </w:r>
      <w:r>
        <w:rPr/>
        <w:t>Disclosing</w:t>
      </w:r>
      <w:r>
        <w:rPr>
          <w:spacing w:val="-1"/>
        </w:rPr>
        <w:t> </w:t>
      </w:r>
      <w:r>
        <w:rPr/>
        <w:t>RVSM</w:t>
        <w:tab/>
        <w:t>65</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Comparison of Victimization Prevalence for Undergraduate Women During</w:t>
      </w:r>
      <w:r>
        <w:rPr>
          <w:spacing w:val="-14"/>
          <w:sz w:val="20"/>
        </w:rPr>
        <w:t> </w:t>
      </w:r>
      <w:r>
        <w:rPr>
          <w:sz w:val="20"/>
        </w:rPr>
        <w:t>2019–2020</w:t>
      </w:r>
    </w:p>
    <w:p>
      <w:pPr>
        <w:pStyle w:val="BodyText"/>
        <w:tabs>
          <w:tab w:pos="9255" w:val="left" w:leader="dot"/>
        </w:tabs>
        <w:spacing w:before="2"/>
        <w:ind w:left="827"/>
      </w:pPr>
      <w:r>
        <w:rPr/>
        <w:t>and 2021–2022</w:t>
      </w:r>
      <w:r>
        <w:rPr>
          <w:spacing w:val="-5"/>
        </w:rPr>
        <w:t> </w:t>
      </w:r>
      <w:r>
        <w:rPr/>
        <w:t>Academic</w:t>
      </w:r>
      <w:r>
        <w:rPr>
          <w:spacing w:val="-2"/>
        </w:rPr>
        <w:t> </w:t>
      </w:r>
      <w:r>
        <w:rPr/>
        <w:t>Years</w:t>
        <w:tab/>
        <w:t>67</w:t>
      </w:r>
    </w:p>
    <w:p>
      <w:pPr>
        <w:pStyle w:val="ListParagraph"/>
        <w:numPr>
          <w:ilvl w:val="0"/>
          <w:numId w:val="2"/>
        </w:numPr>
        <w:tabs>
          <w:tab w:pos="827" w:val="left" w:leader="none"/>
          <w:tab w:pos="828" w:val="left" w:leader="none"/>
          <w:tab w:pos="9255" w:val="left" w:leader="dot"/>
        </w:tabs>
        <w:spacing w:line="242" w:lineRule="auto" w:before="58" w:after="0"/>
        <w:ind w:left="827" w:right="119" w:hanging="708"/>
        <w:jc w:val="left"/>
        <w:rPr>
          <w:sz w:val="20"/>
        </w:rPr>
      </w:pPr>
      <w:r>
        <w:rPr>
          <w:sz w:val="20"/>
        </w:rPr>
        <w:t>Comparison of Victimization Prevalence for Undergraduate Men During 2019–2020 and 2021–2022</w:t>
      </w:r>
      <w:r>
        <w:rPr>
          <w:spacing w:val="-2"/>
          <w:sz w:val="20"/>
        </w:rPr>
        <w:t> </w:t>
      </w:r>
      <w:r>
        <w:rPr>
          <w:sz w:val="20"/>
        </w:rPr>
        <w:t>Academic</w:t>
      </w:r>
      <w:r>
        <w:rPr>
          <w:spacing w:val="-3"/>
          <w:sz w:val="20"/>
        </w:rPr>
        <w:t> </w:t>
      </w:r>
      <w:r>
        <w:rPr>
          <w:sz w:val="20"/>
        </w:rPr>
        <w:t>Years</w:t>
        <w:tab/>
      </w:r>
      <w:r>
        <w:rPr>
          <w:spacing w:val="-9"/>
          <w:sz w:val="20"/>
        </w:rPr>
        <w:t>68</w:t>
      </w:r>
    </w:p>
    <w:p>
      <w:pPr>
        <w:pStyle w:val="ListParagraph"/>
        <w:numPr>
          <w:ilvl w:val="0"/>
          <w:numId w:val="2"/>
        </w:numPr>
        <w:tabs>
          <w:tab w:pos="827" w:val="left" w:leader="none"/>
          <w:tab w:pos="828" w:val="left" w:leader="none"/>
        </w:tabs>
        <w:spacing w:line="240" w:lineRule="auto" w:before="56" w:after="0"/>
        <w:ind w:left="828" w:right="0" w:hanging="708"/>
        <w:jc w:val="left"/>
        <w:rPr>
          <w:sz w:val="20"/>
        </w:rPr>
      </w:pPr>
      <w:r>
        <w:rPr>
          <w:sz w:val="20"/>
        </w:rPr>
        <w:t>Comparison of Victimization Prevalence for Graduate/Professional Women During</w:t>
      </w:r>
      <w:r>
        <w:rPr>
          <w:spacing w:val="-38"/>
          <w:sz w:val="20"/>
        </w:rPr>
        <w:t> </w:t>
      </w:r>
      <w:r>
        <w:rPr>
          <w:sz w:val="20"/>
        </w:rPr>
        <w:t>2019–</w:t>
      </w:r>
    </w:p>
    <w:p>
      <w:pPr>
        <w:pStyle w:val="BodyText"/>
        <w:tabs>
          <w:tab w:pos="9255" w:val="left" w:leader="dot"/>
        </w:tabs>
        <w:spacing w:before="2"/>
        <w:ind w:left="828"/>
      </w:pPr>
      <w:r>
        <w:rPr/>
        <w:t>2020 and 2021–2022</w:t>
      </w:r>
      <w:r>
        <w:rPr>
          <w:spacing w:val="-7"/>
        </w:rPr>
        <w:t> </w:t>
      </w:r>
      <w:r>
        <w:rPr/>
        <w:t>Academic</w:t>
      </w:r>
      <w:r>
        <w:rPr>
          <w:spacing w:val="-2"/>
        </w:rPr>
        <w:t> </w:t>
      </w:r>
      <w:r>
        <w:rPr/>
        <w:t>Years</w:t>
        <w:tab/>
        <w:t>69</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Comparison of Victimization Prevalence for Graduate/Professional Men During</w:t>
      </w:r>
      <w:r>
        <w:rPr>
          <w:spacing w:val="-15"/>
          <w:sz w:val="20"/>
        </w:rPr>
        <w:t> </w:t>
      </w:r>
      <w:r>
        <w:rPr>
          <w:sz w:val="20"/>
        </w:rPr>
        <w:t>2019–</w:t>
      </w:r>
    </w:p>
    <w:p>
      <w:pPr>
        <w:pStyle w:val="BodyText"/>
        <w:tabs>
          <w:tab w:pos="9255" w:val="left" w:leader="dot"/>
        </w:tabs>
        <w:spacing w:before="2"/>
        <w:ind w:left="828"/>
      </w:pPr>
      <w:r>
        <w:rPr/>
        <w:t>2020 and 2021–2022</w:t>
      </w:r>
      <w:r>
        <w:rPr>
          <w:spacing w:val="-7"/>
        </w:rPr>
        <w:t> </w:t>
      </w:r>
      <w:r>
        <w:rPr/>
        <w:t>Academic</w:t>
      </w:r>
      <w:r>
        <w:rPr>
          <w:spacing w:val="-2"/>
        </w:rPr>
        <w:t> </w:t>
      </w:r>
      <w:r>
        <w:rPr/>
        <w:t>Years</w:t>
        <w:tab/>
        <w:t>70</w:t>
      </w:r>
    </w:p>
    <w:p>
      <w:pPr>
        <w:pStyle w:val="ListParagraph"/>
        <w:numPr>
          <w:ilvl w:val="0"/>
          <w:numId w:val="2"/>
        </w:numPr>
        <w:tabs>
          <w:tab w:pos="827" w:val="left" w:leader="none"/>
          <w:tab w:pos="828" w:val="left" w:leader="none"/>
          <w:tab w:pos="9255" w:val="left" w:leader="dot"/>
        </w:tabs>
        <w:spacing w:line="242" w:lineRule="auto" w:before="58" w:after="0"/>
        <w:ind w:left="828" w:right="119" w:hanging="708"/>
        <w:jc w:val="left"/>
        <w:rPr>
          <w:sz w:val="20"/>
        </w:rPr>
      </w:pPr>
      <w:r>
        <w:rPr>
          <w:sz w:val="20"/>
        </w:rPr>
        <w:t>Comparison of Disclosure Rates for Sexual Battery and Rape Incidents Experienced by Undergraduate Women During 2019–2020 and 2021–2022</w:t>
      </w:r>
      <w:r>
        <w:rPr>
          <w:spacing w:val="-18"/>
          <w:sz w:val="20"/>
        </w:rPr>
        <w:t> </w:t>
      </w:r>
      <w:r>
        <w:rPr>
          <w:sz w:val="20"/>
        </w:rPr>
        <w:t>Academic</w:t>
      </w:r>
      <w:r>
        <w:rPr>
          <w:spacing w:val="-4"/>
          <w:sz w:val="20"/>
        </w:rPr>
        <w:t> </w:t>
      </w:r>
      <w:r>
        <w:rPr>
          <w:sz w:val="20"/>
        </w:rPr>
        <w:t>Years</w:t>
        <w:tab/>
      </w:r>
      <w:r>
        <w:rPr>
          <w:spacing w:val="-9"/>
          <w:sz w:val="20"/>
        </w:rPr>
        <w:t>71</w:t>
      </w:r>
    </w:p>
    <w:p>
      <w:pPr>
        <w:pStyle w:val="ListParagraph"/>
        <w:numPr>
          <w:ilvl w:val="0"/>
          <w:numId w:val="2"/>
        </w:numPr>
        <w:tabs>
          <w:tab w:pos="827" w:val="left" w:leader="none"/>
          <w:tab w:pos="828" w:val="left" w:leader="none"/>
        </w:tabs>
        <w:spacing w:line="240" w:lineRule="auto" w:before="55" w:after="0"/>
        <w:ind w:left="828" w:right="0" w:hanging="708"/>
        <w:jc w:val="left"/>
        <w:rPr>
          <w:sz w:val="20"/>
        </w:rPr>
      </w:pPr>
      <w:r>
        <w:rPr>
          <w:sz w:val="20"/>
        </w:rPr>
        <w:t>Comparison of Disclosure Rates for Sexual Harassment Incidents Experienced</w:t>
      </w:r>
      <w:r>
        <w:rPr>
          <w:spacing w:val="-9"/>
          <w:sz w:val="20"/>
        </w:rPr>
        <w:t> </w:t>
      </w:r>
      <w:r>
        <w:rPr>
          <w:sz w:val="20"/>
        </w:rPr>
        <w:t>by</w:t>
      </w:r>
    </w:p>
    <w:p>
      <w:pPr>
        <w:pStyle w:val="BodyText"/>
        <w:tabs>
          <w:tab w:pos="9255" w:val="left" w:leader="dot"/>
        </w:tabs>
        <w:spacing w:before="2"/>
        <w:ind w:left="828"/>
      </w:pPr>
      <w:r>
        <w:rPr/>
        <w:t>Undergraduate Women During 2019–2020 and 2021–2022</w:t>
      </w:r>
      <w:r>
        <w:rPr>
          <w:spacing w:val="-18"/>
        </w:rPr>
        <w:t> </w:t>
      </w:r>
      <w:r>
        <w:rPr/>
        <w:t>Academic</w:t>
      </w:r>
      <w:r>
        <w:rPr>
          <w:spacing w:val="-4"/>
        </w:rPr>
        <w:t> </w:t>
      </w:r>
      <w:r>
        <w:rPr/>
        <w:t>Years</w:t>
        <w:tab/>
        <w:t>72</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Comparison of Disclosure Rates for Sexual Harassment Incidents Experienced</w:t>
      </w:r>
      <w:r>
        <w:rPr>
          <w:spacing w:val="-9"/>
          <w:sz w:val="20"/>
        </w:rPr>
        <w:t> </w:t>
      </w:r>
      <w:r>
        <w:rPr>
          <w:sz w:val="20"/>
        </w:rPr>
        <w:t>by</w:t>
      </w:r>
    </w:p>
    <w:p>
      <w:pPr>
        <w:pStyle w:val="BodyText"/>
        <w:tabs>
          <w:tab w:pos="9255" w:val="left" w:leader="dot"/>
        </w:tabs>
        <w:spacing w:before="3"/>
        <w:ind w:left="828"/>
      </w:pPr>
      <w:r>
        <w:rPr/>
        <w:t>Undergraduate Men During 2019–2020 and 2021–2022</w:t>
      </w:r>
      <w:r>
        <w:rPr>
          <w:spacing w:val="-20"/>
        </w:rPr>
        <w:t> </w:t>
      </w:r>
      <w:r>
        <w:rPr/>
        <w:t>Academic</w:t>
      </w:r>
      <w:r>
        <w:rPr>
          <w:spacing w:val="-4"/>
        </w:rPr>
        <w:t> </w:t>
      </w:r>
      <w:r>
        <w:rPr/>
        <w:t>Years</w:t>
        <w:tab/>
        <w:t>72</w:t>
      </w:r>
    </w:p>
    <w:p>
      <w:pPr>
        <w:pStyle w:val="ListParagraph"/>
        <w:numPr>
          <w:ilvl w:val="0"/>
          <w:numId w:val="2"/>
        </w:numPr>
        <w:tabs>
          <w:tab w:pos="827" w:val="left" w:leader="none"/>
          <w:tab w:pos="828" w:val="left" w:leader="none"/>
          <w:tab w:pos="9255" w:val="left" w:leader="dot"/>
        </w:tabs>
        <w:spacing w:line="242" w:lineRule="auto" w:before="58" w:after="0"/>
        <w:ind w:left="828" w:right="119" w:hanging="708"/>
        <w:jc w:val="left"/>
        <w:rPr>
          <w:sz w:val="20"/>
        </w:rPr>
      </w:pPr>
      <w:r>
        <w:rPr>
          <w:sz w:val="20"/>
        </w:rPr>
        <w:t>Comparison of Disclosure Rates for Sexual Harassment Incidents Experienced by Graduate/Professional Women During 2019–2020 and 2021–2022</w:t>
      </w:r>
      <w:r>
        <w:rPr>
          <w:spacing w:val="-21"/>
          <w:sz w:val="20"/>
        </w:rPr>
        <w:t> </w:t>
      </w:r>
      <w:r>
        <w:rPr>
          <w:sz w:val="20"/>
        </w:rPr>
        <w:t>Academic</w:t>
      </w:r>
      <w:r>
        <w:rPr>
          <w:spacing w:val="-4"/>
          <w:sz w:val="20"/>
        </w:rPr>
        <w:t> </w:t>
      </w:r>
      <w:r>
        <w:rPr>
          <w:sz w:val="20"/>
        </w:rPr>
        <w:t>Years</w:t>
        <w:tab/>
      </w:r>
      <w:r>
        <w:rPr>
          <w:spacing w:val="-9"/>
          <w:sz w:val="20"/>
        </w:rPr>
        <w:t>73</w:t>
      </w:r>
    </w:p>
    <w:p>
      <w:pPr>
        <w:pStyle w:val="ListParagraph"/>
        <w:numPr>
          <w:ilvl w:val="0"/>
          <w:numId w:val="2"/>
        </w:numPr>
        <w:tabs>
          <w:tab w:pos="827" w:val="left" w:leader="none"/>
          <w:tab w:pos="828" w:val="left" w:leader="none"/>
          <w:tab w:pos="9255" w:val="left" w:leader="dot"/>
        </w:tabs>
        <w:spacing w:line="242" w:lineRule="auto" w:before="55" w:after="0"/>
        <w:ind w:left="828" w:right="119" w:hanging="708"/>
        <w:jc w:val="left"/>
        <w:rPr>
          <w:sz w:val="20"/>
        </w:rPr>
      </w:pPr>
      <w:r>
        <w:rPr>
          <w:sz w:val="20"/>
        </w:rPr>
        <w:t>Comparison of Disclosure Rates for Sexual Harassment Incidents Experienced by Graduate/Professional Men During 2019–2020 and 2021–2022</w:t>
      </w:r>
      <w:r>
        <w:rPr>
          <w:spacing w:val="-22"/>
          <w:sz w:val="20"/>
        </w:rPr>
        <w:t> </w:t>
      </w:r>
      <w:r>
        <w:rPr>
          <w:sz w:val="20"/>
        </w:rPr>
        <w:t>Academic</w:t>
      </w:r>
      <w:r>
        <w:rPr>
          <w:spacing w:val="-4"/>
          <w:sz w:val="20"/>
        </w:rPr>
        <w:t> </w:t>
      </w:r>
      <w:r>
        <w:rPr>
          <w:sz w:val="20"/>
        </w:rPr>
        <w:t>Years</w:t>
        <w:tab/>
      </w:r>
      <w:r>
        <w:rPr>
          <w:spacing w:val="-9"/>
          <w:sz w:val="20"/>
        </w:rPr>
        <w:t>73</w:t>
      </w:r>
    </w:p>
    <w:p>
      <w:pPr>
        <w:pStyle w:val="ListParagraph"/>
        <w:numPr>
          <w:ilvl w:val="0"/>
          <w:numId w:val="2"/>
        </w:numPr>
        <w:tabs>
          <w:tab w:pos="827" w:val="left" w:leader="none"/>
          <w:tab w:pos="828" w:val="left" w:leader="none"/>
        </w:tabs>
        <w:spacing w:line="240" w:lineRule="auto" w:before="55" w:after="0"/>
        <w:ind w:left="828" w:right="0" w:hanging="708"/>
        <w:jc w:val="left"/>
        <w:rPr>
          <w:sz w:val="20"/>
        </w:rPr>
      </w:pPr>
      <w:r>
        <w:rPr>
          <w:sz w:val="20"/>
        </w:rPr>
        <w:t>Comparison of Workplace Incivility and Sexual Harassment Prevalence for</w:t>
      </w:r>
      <w:r>
        <w:rPr>
          <w:spacing w:val="-18"/>
          <w:sz w:val="20"/>
        </w:rPr>
        <w:t> </w:t>
      </w:r>
      <w:r>
        <w:rPr>
          <w:sz w:val="20"/>
        </w:rPr>
        <w:t>Faculty</w:t>
      </w:r>
    </w:p>
    <w:p>
      <w:pPr>
        <w:pStyle w:val="BodyText"/>
        <w:tabs>
          <w:tab w:pos="9255" w:val="left" w:leader="dot"/>
        </w:tabs>
        <w:spacing w:before="2"/>
        <w:ind w:left="827"/>
      </w:pPr>
      <w:r>
        <w:rPr/>
        <w:t>Women During 2019–2020 and 2021–2022</w:t>
      </w:r>
      <w:r>
        <w:rPr>
          <w:spacing w:val="-14"/>
        </w:rPr>
        <w:t> </w:t>
      </w:r>
      <w:r>
        <w:rPr/>
        <w:t>Academic</w:t>
      </w:r>
      <w:r>
        <w:rPr>
          <w:spacing w:val="-3"/>
        </w:rPr>
        <w:t> </w:t>
      </w:r>
      <w:r>
        <w:rPr/>
        <w:t>Years</w:t>
        <w:tab/>
        <w:t>74</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Comparison of Workplace Incivility and Sexual Harassment Prevalence for Faculty</w:t>
      </w:r>
      <w:r>
        <w:rPr>
          <w:spacing w:val="-24"/>
          <w:sz w:val="20"/>
        </w:rPr>
        <w:t> </w:t>
      </w:r>
      <w:r>
        <w:rPr>
          <w:sz w:val="20"/>
        </w:rPr>
        <w:t>Men</w:t>
      </w:r>
    </w:p>
    <w:p>
      <w:pPr>
        <w:pStyle w:val="BodyText"/>
        <w:tabs>
          <w:tab w:pos="9255" w:val="left" w:leader="dot"/>
        </w:tabs>
        <w:spacing w:before="2"/>
        <w:ind w:left="828"/>
      </w:pPr>
      <w:r>
        <w:rPr/>
        <w:t>During 2019–2020 and 2021–2022</w:t>
      </w:r>
      <w:r>
        <w:rPr>
          <w:spacing w:val="-12"/>
        </w:rPr>
        <w:t> </w:t>
      </w:r>
      <w:r>
        <w:rPr/>
        <w:t>Academic</w:t>
      </w:r>
      <w:r>
        <w:rPr>
          <w:spacing w:val="-7"/>
        </w:rPr>
        <w:t> </w:t>
      </w:r>
      <w:r>
        <w:rPr/>
        <w:t>Years</w:t>
        <w:tab/>
        <w:t>74</w:t>
      </w:r>
    </w:p>
    <w:p>
      <w:pPr>
        <w:pStyle w:val="ListParagraph"/>
        <w:numPr>
          <w:ilvl w:val="0"/>
          <w:numId w:val="2"/>
        </w:numPr>
        <w:tabs>
          <w:tab w:pos="827" w:val="left" w:leader="none"/>
          <w:tab w:pos="828" w:val="left" w:leader="none"/>
        </w:tabs>
        <w:spacing w:line="240" w:lineRule="auto" w:before="58" w:after="0"/>
        <w:ind w:left="828" w:right="0" w:hanging="708"/>
        <w:jc w:val="left"/>
        <w:rPr>
          <w:sz w:val="20"/>
        </w:rPr>
      </w:pPr>
      <w:r>
        <w:rPr>
          <w:sz w:val="20"/>
        </w:rPr>
        <w:t>Comparison of Workplace Incivility and Sexual Harassment Prevalence for Staff</w:t>
      </w:r>
      <w:r>
        <w:rPr>
          <w:spacing w:val="-21"/>
          <w:sz w:val="20"/>
        </w:rPr>
        <w:t> </w:t>
      </w:r>
      <w:r>
        <w:rPr>
          <w:sz w:val="20"/>
        </w:rPr>
        <w:t>Women</w:t>
      </w:r>
    </w:p>
    <w:p>
      <w:pPr>
        <w:pStyle w:val="BodyText"/>
        <w:tabs>
          <w:tab w:pos="9255" w:val="left" w:leader="dot"/>
        </w:tabs>
        <w:spacing w:before="2"/>
        <w:ind w:left="828"/>
      </w:pPr>
      <w:r>
        <w:rPr/>
        <w:t>During 2019–2020 and 2021–2022</w:t>
      </w:r>
      <w:r>
        <w:rPr>
          <w:spacing w:val="-12"/>
        </w:rPr>
        <w:t> </w:t>
      </w:r>
      <w:r>
        <w:rPr/>
        <w:t>Academic</w:t>
      </w:r>
      <w:r>
        <w:rPr>
          <w:spacing w:val="-7"/>
        </w:rPr>
        <w:t> </w:t>
      </w:r>
      <w:r>
        <w:rPr/>
        <w:t>Years</w:t>
        <w:tab/>
        <w:t>74</w:t>
      </w:r>
    </w:p>
    <w:p>
      <w:pPr>
        <w:spacing w:after="0"/>
        <w:sectPr>
          <w:pgSz w:w="12240" w:h="15840"/>
          <w:pgMar w:header="0" w:footer="592" w:top="1020" w:bottom="780" w:left="1320" w:right="1320"/>
        </w:sectPr>
      </w:pPr>
    </w:p>
    <w:p>
      <w:pPr>
        <w:pStyle w:val="ListParagraph"/>
        <w:numPr>
          <w:ilvl w:val="0"/>
          <w:numId w:val="2"/>
        </w:numPr>
        <w:tabs>
          <w:tab w:pos="827" w:val="left" w:leader="none"/>
          <w:tab w:pos="828" w:val="left" w:leader="none"/>
        </w:tabs>
        <w:spacing w:line="229" w:lineRule="exact" w:before="107" w:after="0"/>
        <w:ind w:left="828" w:right="0" w:hanging="708"/>
        <w:jc w:val="left"/>
        <w:rPr>
          <w:sz w:val="20"/>
        </w:rPr>
      </w:pPr>
      <w:r>
        <w:rPr>
          <w:sz w:val="20"/>
        </w:rPr>
        <w:t>Comparison of Workplace Incivility and Sexual Harassment Prevalence for Staff</w:t>
      </w:r>
      <w:r>
        <w:rPr>
          <w:spacing w:val="-19"/>
          <w:sz w:val="20"/>
        </w:rPr>
        <w:t> </w:t>
      </w:r>
      <w:r>
        <w:rPr>
          <w:sz w:val="20"/>
        </w:rPr>
        <w:t>Men</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74</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Disclosure Rates for Sexual Harassment Incidents Experienced</w:t>
      </w:r>
      <w:r>
        <w:rPr>
          <w:spacing w:val="-9"/>
          <w:sz w:val="20"/>
        </w:rPr>
        <w:t> </w:t>
      </w:r>
      <w:r>
        <w:rPr>
          <w:sz w:val="20"/>
        </w:rPr>
        <w:t>by</w:t>
      </w:r>
    </w:p>
    <w:p>
      <w:pPr>
        <w:pStyle w:val="BodyText"/>
        <w:tabs>
          <w:tab w:pos="9255" w:val="left" w:leader="dot"/>
        </w:tabs>
        <w:spacing w:line="229" w:lineRule="exact"/>
        <w:ind w:left="828"/>
      </w:pPr>
      <w:r>
        <w:rPr/>
        <w:t>Faculty Women During 2019–2020 and 2021–2022</w:t>
      </w:r>
      <w:r>
        <w:rPr>
          <w:spacing w:val="-19"/>
        </w:rPr>
        <w:t> </w:t>
      </w:r>
      <w:r>
        <w:rPr/>
        <w:t>Academic</w:t>
      </w:r>
      <w:r>
        <w:rPr>
          <w:spacing w:val="-3"/>
        </w:rPr>
        <w:t> </w:t>
      </w:r>
      <w:r>
        <w:rPr/>
        <w:t>Years</w:t>
        <w:tab/>
        <w:t>75</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Disclosure Rates for Sexual Harassment Incidents Experienced</w:t>
      </w:r>
      <w:r>
        <w:rPr>
          <w:spacing w:val="-9"/>
          <w:sz w:val="20"/>
        </w:rPr>
        <w:t> </w:t>
      </w:r>
      <w:r>
        <w:rPr>
          <w:sz w:val="20"/>
        </w:rPr>
        <w:t>by</w:t>
      </w:r>
    </w:p>
    <w:p>
      <w:pPr>
        <w:pStyle w:val="BodyText"/>
        <w:tabs>
          <w:tab w:pos="9255" w:val="left" w:leader="dot"/>
        </w:tabs>
        <w:spacing w:line="229" w:lineRule="exact"/>
        <w:ind w:left="828"/>
      </w:pPr>
      <w:r>
        <w:rPr/>
        <w:t>Faculty Men During 2019–2020 and 2021–2022</w:t>
      </w:r>
      <w:r>
        <w:rPr>
          <w:spacing w:val="-15"/>
        </w:rPr>
        <w:t> </w:t>
      </w:r>
      <w:r>
        <w:rPr/>
        <w:t>Academic</w:t>
      </w:r>
      <w:r>
        <w:rPr>
          <w:spacing w:val="-3"/>
        </w:rPr>
        <w:t> </w:t>
      </w:r>
      <w:r>
        <w:rPr/>
        <w:t>Years</w:t>
        <w:tab/>
        <w:t>76</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Disclosure Rates for Sexual Harassment Incidents Experienced by</w:t>
      </w:r>
      <w:r>
        <w:rPr>
          <w:spacing w:val="-13"/>
          <w:sz w:val="20"/>
        </w:rPr>
        <w:t> </w:t>
      </w:r>
      <w:r>
        <w:rPr>
          <w:sz w:val="20"/>
        </w:rPr>
        <w:t>Staff</w:t>
      </w:r>
    </w:p>
    <w:p>
      <w:pPr>
        <w:pStyle w:val="BodyText"/>
        <w:tabs>
          <w:tab w:pos="9255" w:val="left" w:leader="dot"/>
        </w:tabs>
        <w:spacing w:line="229" w:lineRule="exact"/>
        <w:ind w:left="828"/>
      </w:pPr>
      <w:r>
        <w:rPr/>
        <w:t>Women During 2019–2020 and 2021–2022</w:t>
      </w:r>
      <w:r>
        <w:rPr>
          <w:spacing w:val="-14"/>
        </w:rPr>
        <w:t> </w:t>
      </w:r>
      <w:r>
        <w:rPr/>
        <w:t>Academic</w:t>
      </w:r>
      <w:r>
        <w:rPr>
          <w:spacing w:val="-3"/>
        </w:rPr>
        <w:t> </w:t>
      </w:r>
      <w:r>
        <w:rPr/>
        <w:t>Years</w:t>
        <w:tab/>
        <w:t>76</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Disclosure Rates for Sexual Harassment Incidents Experienced by</w:t>
      </w:r>
      <w:r>
        <w:rPr>
          <w:spacing w:val="-13"/>
          <w:sz w:val="20"/>
        </w:rPr>
        <w:t> </w:t>
      </w:r>
      <w:r>
        <w:rPr>
          <w:sz w:val="20"/>
        </w:rPr>
        <w:t>Staff</w:t>
      </w:r>
    </w:p>
    <w:p>
      <w:pPr>
        <w:pStyle w:val="BodyText"/>
        <w:tabs>
          <w:tab w:pos="9255" w:val="left" w:leader="dot"/>
        </w:tabs>
        <w:spacing w:line="229" w:lineRule="exact"/>
        <w:ind w:left="828"/>
      </w:pPr>
      <w:r>
        <w:rPr/>
        <w:t>Men During 2019–2020 and 2021–2022</w:t>
      </w:r>
      <w:r>
        <w:rPr>
          <w:spacing w:val="-14"/>
        </w:rPr>
        <w:t> </w:t>
      </w:r>
      <w:r>
        <w:rPr/>
        <w:t>Academic</w:t>
      </w:r>
      <w:r>
        <w:rPr>
          <w:spacing w:val="-3"/>
        </w:rPr>
        <w:t> </w:t>
      </w:r>
      <w:r>
        <w:rPr/>
        <w:t>Years</w:t>
        <w:tab/>
        <w:t>77</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Undergraduate Women</w:t>
      </w:r>
      <w:r>
        <w:rPr>
          <w:spacing w:val="-12"/>
          <w:sz w:val="20"/>
        </w:rPr>
        <w:t> </w:t>
      </w:r>
      <w:r>
        <w:rPr>
          <w:sz w:val="20"/>
        </w:rPr>
        <w:t>During</w:t>
      </w:r>
    </w:p>
    <w:p>
      <w:pPr>
        <w:pStyle w:val="BodyText"/>
        <w:tabs>
          <w:tab w:pos="9255" w:val="left" w:leader="dot"/>
        </w:tabs>
        <w:spacing w:line="229" w:lineRule="exact"/>
        <w:ind w:left="828"/>
      </w:pPr>
      <w:r>
        <w:rPr/>
        <w:t>2019–2020 and 2021–2022</w:t>
      </w:r>
      <w:r>
        <w:rPr>
          <w:spacing w:val="-9"/>
        </w:rPr>
        <w:t> </w:t>
      </w:r>
      <w:r>
        <w:rPr/>
        <w:t>Academic</w:t>
      </w:r>
      <w:r>
        <w:rPr>
          <w:spacing w:val="-2"/>
        </w:rPr>
        <w:t> </w:t>
      </w:r>
      <w:r>
        <w:rPr/>
        <w:t>Years</w:t>
        <w:tab/>
        <w:t>78</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Undergraduate Men During</w:t>
      </w:r>
      <w:r>
        <w:rPr>
          <w:spacing w:val="-39"/>
          <w:sz w:val="20"/>
        </w:rPr>
        <w:t> </w:t>
      </w:r>
      <w:r>
        <w:rPr>
          <w:sz w:val="20"/>
        </w:rPr>
        <w:t>2019–</w:t>
      </w:r>
    </w:p>
    <w:p>
      <w:pPr>
        <w:pStyle w:val="BodyText"/>
        <w:tabs>
          <w:tab w:pos="9255" w:val="left" w:leader="dot"/>
        </w:tabs>
        <w:spacing w:line="229" w:lineRule="exact"/>
        <w:ind w:left="828"/>
      </w:pPr>
      <w:r>
        <w:rPr/>
        <w:t>2020 and 2021–2022</w:t>
      </w:r>
      <w:r>
        <w:rPr>
          <w:spacing w:val="-7"/>
        </w:rPr>
        <w:t> </w:t>
      </w:r>
      <w:r>
        <w:rPr/>
        <w:t>Academic</w:t>
      </w:r>
      <w:r>
        <w:rPr>
          <w:spacing w:val="-2"/>
        </w:rPr>
        <w:t> </w:t>
      </w:r>
      <w:r>
        <w:rPr/>
        <w:t>Years</w:t>
        <w:tab/>
        <w:t>79</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Graduate/Professional</w:t>
      </w:r>
      <w:r>
        <w:rPr>
          <w:spacing w:val="-12"/>
          <w:sz w:val="20"/>
        </w:rPr>
        <w:t> </w:t>
      </w:r>
      <w:r>
        <w:rPr>
          <w:sz w:val="20"/>
        </w:rPr>
        <w:t>Women</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79</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Graduate/Professional</w:t>
      </w:r>
      <w:r>
        <w:rPr>
          <w:spacing w:val="-14"/>
          <w:sz w:val="20"/>
        </w:rPr>
        <w:t> </w:t>
      </w:r>
      <w:r>
        <w:rPr>
          <w:sz w:val="20"/>
        </w:rPr>
        <w:t>Men</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80</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Faculty Women During</w:t>
      </w:r>
      <w:r>
        <w:rPr>
          <w:spacing w:val="-14"/>
          <w:sz w:val="20"/>
        </w:rPr>
        <w:t> </w:t>
      </w:r>
      <w:r>
        <w:rPr>
          <w:sz w:val="20"/>
        </w:rPr>
        <w:t>2019–</w:t>
      </w:r>
    </w:p>
    <w:p>
      <w:pPr>
        <w:pStyle w:val="BodyText"/>
        <w:tabs>
          <w:tab w:pos="9255" w:val="left" w:leader="dot"/>
        </w:tabs>
        <w:spacing w:line="229" w:lineRule="exact"/>
        <w:ind w:left="828"/>
      </w:pPr>
      <w:r>
        <w:rPr/>
        <w:t>2020 and 2021–2022</w:t>
      </w:r>
      <w:r>
        <w:rPr>
          <w:spacing w:val="-7"/>
        </w:rPr>
        <w:t> </w:t>
      </w:r>
      <w:r>
        <w:rPr/>
        <w:t>Academic</w:t>
      </w:r>
      <w:r>
        <w:rPr>
          <w:spacing w:val="-2"/>
        </w:rPr>
        <w:t> </w:t>
      </w:r>
      <w:r>
        <w:rPr/>
        <w:t>Years</w:t>
        <w:tab/>
        <w:t>80</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Faculty Men During</w:t>
      </w:r>
      <w:r>
        <w:rPr>
          <w:spacing w:val="-16"/>
          <w:sz w:val="20"/>
        </w:rPr>
        <w:t> </w:t>
      </w:r>
      <w:r>
        <w:rPr>
          <w:sz w:val="20"/>
        </w:rPr>
        <w:t>2019–2020</w:t>
      </w:r>
    </w:p>
    <w:p>
      <w:pPr>
        <w:pStyle w:val="BodyText"/>
        <w:tabs>
          <w:tab w:pos="9255" w:val="left" w:leader="dot"/>
        </w:tabs>
        <w:spacing w:line="229" w:lineRule="exact"/>
        <w:ind w:left="827"/>
      </w:pPr>
      <w:r>
        <w:rPr/>
        <w:t>and 2021–2022</w:t>
      </w:r>
      <w:r>
        <w:rPr>
          <w:spacing w:val="-5"/>
        </w:rPr>
        <w:t> </w:t>
      </w:r>
      <w:r>
        <w:rPr/>
        <w:t>Academic</w:t>
      </w:r>
      <w:r>
        <w:rPr>
          <w:spacing w:val="-2"/>
        </w:rPr>
        <w:t> </w:t>
      </w:r>
      <w:r>
        <w:rPr/>
        <w:t>Years</w:t>
        <w:tab/>
        <w:t>81</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Standardized Climate Scale Scores for Staff Women During</w:t>
      </w:r>
      <w:r>
        <w:rPr>
          <w:spacing w:val="-15"/>
          <w:sz w:val="20"/>
        </w:rPr>
        <w:t> </w:t>
      </w:r>
      <w:r>
        <w:rPr>
          <w:sz w:val="20"/>
        </w:rPr>
        <w:t>2019–2020</w:t>
      </w:r>
    </w:p>
    <w:p>
      <w:pPr>
        <w:pStyle w:val="BodyText"/>
        <w:tabs>
          <w:tab w:pos="9255" w:val="left" w:leader="dot"/>
        </w:tabs>
        <w:spacing w:line="229" w:lineRule="exact"/>
        <w:ind w:left="828"/>
      </w:pPr>
      <w:r>
        <w:rPr/>
        <w:t>and 2021–2022</w:t>
      </w:r>
      <w:r>
        <w:rPr>
          <w:spacing w:val="-5"/>
        </w:rPr>
        <w:t> </w:t>
      </w:r>
      <w:r>
        <w:rPr/>
        <w:t>Academic</w:t>
      </w:r>
      <w:r>
        <w:rPr>
          <w:spacing w:val="-2"/>
        </w:rPr>
        <w:t> </w:t>
      </w:r>
      <w:r>
        <w:rPr/>
        <w:t>Years</w:t>
        <w:tab/>
        <w:t>81</w:t>
      </w:r>
    </w:p>
    <w:p>
      <w:pPr>
        <w:pStyle w:val="ListParagraph"/>
        <w:numPr>
          <w:ilvl w:val="0"/>
          <w:numId w:val="2"/>
        </w:numPr>
        <w:tabs>
          <w:tab w:pos="827" w:val="left" w:leader="none"/>
          <w:tab w:pos="828" w:val="left" w:leader="none"/>
          <w:tab w:pos="9255" w:val="left" w:leader="dot"/>
        </w:tabs>
        <w:spacing w:line="240" w:lineRule="auto" w:before="62" w:after="0"/>
        <w:ind w:left="828" w:right="119" w:hanging="708"/>
        <w:jc w:val="left"/>
        <w:rPr>
          <w:sz w:val="20"/>
        </w:rPr>
      </w:pPr>
      <w:r>
        <w:rPr>
          <w:sz w:val="20"/>
        </w:rPr>
        <w:t>Comparison of Standardized Climate Scale Scores for Staff Men During 2019–2020 and 2021–2022</w:t>
      </w:r>
      <w:r>
        <w:rPr>
          <w:spacing w:val="-2"/>
          <w:sz w:val="20"/>
        </w:rPr>
        <w:t> </w:t>
      </w:r>
      <w:r>
        <w:rPr>
          <w:sz w:val="20"/>
        </w:rPr>
        <w:t>Academic</w:t>
      </w:r>
      <w:r>
        <w:rPr>
          <w:spacing w:val="-3"/>
          <w:sz w:val="20"/>
        </w:rPr>
        <w:t> </w:t>
      </w:r>
      <w:r>
        <w:rPr>
          <w:sz w:val="20"/>
        </w:rPr>
        <w:t>Years</w:t>
        <w:tab/>
      </w:r>
      <w:r>
        <w:rPr>
          <w:spacing w:val="-9"/>
          <w:sz w:val="20"/>
        </w:rPr>
        <w:t>82</w:t>
      </w:r>
    </w:p>
    <w:p>
      <w:pPr>
        <w:pStyle w:val="ListParagraph"/>
        <w:numPr>
          <w:ilvl w:val="0"/>
          <w:numId w:val="2"/>
        </w:numPr>
        <w:tabs>
          <w:tab w:pos="827" w:val="left" w:leader="none"/>
          <w:tab w:pos="828" w:val="left" w:leader="none"/>
        </w:tabs>
        <w:spacing w:line="229" w:lineRule="exact" w:before="60" w:after="0"/>
        <w:ind w:left="828" w:right="0" w:hanging="708"/>
        <w:jc w:val="left"/>
        <w:rPr>
          <w:sz w:val="20"/>
        </w:rPr>
      </w:pPr>
      <w:r>
        <w:rPr>
          <w:sz w:val="20"/>
        </w:rPr>
        <w:t>Comparison of Undergraduate Women’s Awareness of Various MSU Offices</w:t>
      </w:r>
      <w:r>
        <w:rPr>
          <w:spacing w:val="-13"/>
          <w:sz w:val="20"/>
        </w:rPr>
        <w:t> </w:t>
      </w:r>
      <w:r>
        <w:rPr>
          <w:sz w:val="20"/>
        </w:rPr>
        <w:t>and</w:t>
      </w:r>
    </w:p>
    <w:p>
      <w:pPr>
        <w:pStyle w:val="BodyText"/>
        <w:tabs>
          <w:tab w:pos="9255" w:val="left" w:leader="dot"/>
        </w:tabs>
        <w:spacing w:line="229" w:lineRule="exact"/>
        <w:ind w:left="828"/>
      </w:pPr>
      <w:r>
        <w:rPr/>
        <w:t>Resources During 2019–2020 and 2021–2022</w:t>
      </w:r>
      <w:r>
        <w:rPr>
          <w:spacing w:val="-16"/>
        </w:rPr>
        <w:t> </w:t>
      </w:r>
      <w:r>
        <w:rPr/>
        <w:t>Academic</w:t>
      </w:r>
      <w:r>
        <w:rPr>
          <w:spacing w:val="-3"/>
        </w:rPr>
        <w:t> </w:t>
      </w:r>
      <w:r>
        <w:rPr/>
        <w:t>Years</w:t>
        <w:tab/>
        <w:t>83</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Undergraduate Men’s Awareness of Various</w:t>
      </w:r>
      <w:r>
        <w:rPr>
          <w:spacing w:val="-40"/>
          <w:sz w:val="20"/>
        </w:rPr>
        <w:t> </w:t>
      </w:r>
      <w:r>
        <w:rPr>
          <w:sz w:val="20"/>
        </w:rPr>
        <w:t>MSU Offices and Resources</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83</w:t>
      </w:r>
    </w:p>
    <w:p>
      <w:pPr>
        <w:pStyle w:val="ListParagraph"/>
        <w:numPr>
          <w:ilvl w:val="0"/>
          <w:numId w:val="2"/>
        </w:numPr>
        <w:tabs>
          <w:tab w:pos="827" w:val="left" w:leader="none"/>
          <w:tab w:pos="828" w:val="left" w:leader="none"/>
          <w:tab w:pos="9255" w:val="left" w:leader="dot"/>
        </w:tabs>
        <w:spacing w:line="240" w:lineRule="auto" w:before="62" w:after="0"/>
        <w:ind w:left="828" w:right="119" w:hanging="708"/>
        <w:jc w:val="left"/>
        <w:rPr>
          <w:sz w:val="20"/>
        </w:rPr>
      </w:pPr>
      <w:r>
        <w:rPr>
          <w:sz w:val="20"/>
        </w:rPr>
        <w:t>Comparison of Graduate/Professional Women’s Awareness of Various MSU Offices and Resources During 2019–2020 and 2021–2022</w:t>
      </w:r>
      <w:r>
        <w:rPr>
          <w:spacing w:val="-16"/>
          <w:sz w:val="20"/>
        </w:rPr>
        <w:t> </w:t>
      </w:r>
      <w:r>
        <w:rPr>
          <w:sz w:val="20"/>
        </w:rPr>
        <w:t>Academic</w:t>
      </w:r>
      <w:r>
        <w:rPr>
          <w:spacing w:val="-3"/>
          <w:sz w:val="20"/>
        </w:rPr>
        <w:t> </w:t>
      </w:r>
      <w:r>
        <w:rPr>
          <w:sz w:val="20"/>
        </w:rPr>
        <w:t>Years</w:t>
        <w:tab/>
      </w:r>
      <w:r>
        <w:rPr>
          <w:spacing w:val="-9"/>
          <w:sz w:val="20"/>
        </w:rPr>
        <w:t>84</w:t>
      </w:r>
    </w:p>
    <w:p>
      <w:pPr>
        <w:pStyle w:val="ListParagraph"/>
        <w:numPr>
          <w:ilvl w:val="0"/>
          <w:numId w:val="2"/>
        </w:numPr>
        <w:tabs>
          <w:tab w:pos="827" w:val="left" w:leader="none"/>
          <w:tab w:pos="828" w:val="left" w:leader="none"/>
        </w:tabs>
        <w:spacing w:line="229" w:lineRule="exact" w:before="61" w:after="0"/>
        <w:ind w:left="828" w:right="0" w:hanging="708"/>
        <w:jc w:val="left"/>
        <w:rPr>
          <w:sz w:val="20"/>
        </w:rPr>
      </w:pPr>
      <w:r>
        <w:rPr>
          <w:sz w:val="20"/>
        </w:rPr>
        <w:t>Comparison of Graduate/Professional Men’s Awareness of Various MSU Offices</w:t>
      </w:r>
      <w:r>
        <w:rPr>
          <w:spacing w:val="-15"/>
          <w:sz w:val="20"/>
        </w:rPr>
        <w:t> </w:t>
      </w:r>
      <w:r>
        <w:rPr>
          <w:sz w:val="20"/>
        </w:rPr>
        <w:t>and</w:t>
      </w:r>
    </w:p>
    <w:p>
      <w:pPr>
        <w:pStyle w:val="BodyText"/>
        <w:tabs>
          <w:tab w:pos="9255" w:val="left" w:leader="dot"/>
        </w:tabs>
        <w:spacing w:line="229" w:lineRule="exact"/>
        <w:ind w:left="828"/>
      </w:pPr>
      <w:r>
        <w:rPr/>
        <w:t>Resources During 2019–2020 and 2021–2022</w:t>
      </w:r>
      <w:r>
        <w:rPr>
          <w:spacing w:val="-16"/>
        </w:rPr>
        <w:t> </w:t>
      </w:r>
      <w:r>
        <w:rPr/>
        <w:t>Academic</w:t>
      </w:r>
      <w:r>
        <w:rPr>
          <w:spacing w:val="-3"/>
        </w:rPr>
        <w:t> </w:t>
      </w:r>
      <w:r>
        <w:rPr/>
        <w:t>Years</w:t>
        <w:tab/>
        <w:t>84</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Faculty Women’s Awareness of Various MSU Offices and</w:t>
      </w:r>
      <w:r>
        <w:rPr>
          <w:spacing w:val="-17"/>
          <w:sz w:val="20"/>
        </w:rPr>
        <w:t> </w:t>
      </w:r>
      <w:r>
        <w:rPr>
          <w:sz w:val="20"/>
        </w:rPr>
        <w:t>Resources</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85</w:t>
      </w:r>
    </w:p>
    <w:p>
      <w:pPr>
        <w:pStyle w:val="ListParagraph"/>
        <w:numPr>
          <w:ilvl w:val="0"/>
          <w:numId w:val="2"/>
        </w:numPr>
        <w:tabs>
          <w:tab w:pos="827" w:val="left" w:leader="none"/>
          <w:tab w:pos="828" w:val="left" w:leader="none"/>
          <w:tab w:pos="9255" w:val="left" w:leader="dot"/>
        </w:tabs>
        <w:spacing w:line="240" w:lineRule="auto" w:before="62" w:after="0"/>
        <w:ind w:left="828" w:right="119" w:hanging="708"/>
        <w:jc w:val="left"/>
        <w:rPr>
          <w:sz w:val="20"/>
        </w:rPr>
      </w:pPr>
      <w:r>
        <w:rPr>
          <w:sz w:val="20"/>
        </w:rPr>
        <w:t>Comparison of Faculty Men’s Awareness of Various MSU Offices and Resources During 2019–2020 and 2021–2022</w:t>
      </w:r>
      <w:r>
        <w:rPr>
          <w:spacing w:val="-9"/>
          <w:sz w:val="20"/>
        </w:rPr>
        <w:t> </w:t>
      </w:r>
      <w:r>
        <w:rPr>
          <w:sz w:val="20"/>
        </w:rPr>
        <w:t>Academic</w:t>
      </w:r>
      <w:r>
        <w:rPr>
          <w:spacing w:val="-2"/>
          <w:sz w:val="20"/>
        </w:rPr>
        <w:t> </w:t>
      </w:r>
      <w:r>
        <w:rPr>
          <w:sz w:val="20"/>
        </w:rPr>
        <w:t>Years</w:t>
        <w:tab/>
      </w:r>
      <w:r>
        <w:rPr>
          <w:spacing w:val="-9"/>
          <w:sz w:val="20"/>
        </w:rPr>
        <w:t>86</w:t>
      </w:r>
    </w:p>
    <w:p>
      <w:pPr>
        <w:pStyle w:val="ListParagraph"/>
        <w:numPr>
          <w:ilvl w:val="0"/>
          <w:numId w:val="2"/>
        </w:numPr>
        <w:tabs>
          <w:tab w:pos="827" w:val="left" w:leader="none"/>
          <w:tab w:pos="828" w:val="left" w:leader="none"/>
          <w:tab w:pos="9255" w:val="left" w:leader="dot"/>
        </w:tabs>
        <w:spacing w:line="240" w:lineRule="auto" w:before="60" w:after="0"/>
        <w:ind w:left="828" w:right="119" w:hanging="708"/>
        <w:jc w:val="left"/>
        <w:rPr>
          <w:sz w:val="20"/>
        </w:rPr>
      </w:pPr>
      <w:r>
        <w:rPr>
          <w:sz w:val="20"/>
        </w:rPr>
        <w:t>Comparison of Staff Women’s Awareness of Various MSU Offices and Resources During 2019–2020 and 2021–2022</w:t>
      </w:r>
      <w:r>
        <w:rPr>
          <w:spacing w:val="-9"/>
          <w:sz w:val="20"/>
        </w:rPr>
        <w:t> </w:t>
      </w:r>
      <w:r>
        <w:rPr>
          <w:sz w:val="20"/>
        </w:rPr>
        <w:t>Academic</w:t>
      </w:r>
      <w:r>
        <w:rPr>
          <w:spacing w:val="-2"/>
          <w:sz w:val="20"/>
        </w:rPr>
        <w:t> </w:t>
      </w:r>
      <w:r>
        <w:rPr>
          <w:sz w:val="20"/>
        </w:rPr>
        <w:t>Years</w:t>
        <w:tab/>
      </w:r>
      <w:r>
        <w:rPr>
          <w:spacing w:val="-9"/>
          <w:sz w:val="20"/>
        </w:rPr>
        <w:t>87</w:t>
      </w:r>
    </w:p>
    <w:p>
      <w:pPr>
        <w:pStyle w:val="ListParagraph"/>
        <w:numPr>
          <w:ilvl w:val="0"/>
          <w:numId w:val="2"/>
        </w:numPr>
        <w:tabs>
          <w:tab w:pos="827" w:val="left" w:leader="none"/>
          <w:tab w:pos="828" w:val="left" w:leader="none"/>
        </w:tabs>
        <w:spacing w:line="229" w:lineRule="exact" w:before="60" w:after="0"/>
        <w:ind w:left="828" w:right="0" w:hanging="708"/>
        <w:jc w:val="left"/>
        <w:rPr>
          <w:sz w:val="20"/>
        </w:rPr>
      </w:pPr>
      <w:r>
        <w:rPr>
          <w:sz w:val="20"/>
        </w:rPr>
        <w:t>Comparison of Staff Men’s Awareness of Various MSU Offices and Resources</w:t>
      </w:r>
      <w:r>
        <w:rPr>
          <w:spacing w:val="-17"/>
          <w:sz w:val="20"/>
        </w:rPr>
        <w:t> </w:t>
      </w:r>
      <w:r>
        <w:rPr>
          <w:sz w:val="20"/>
        </w:rPr>
        <w:t>During</w:t>
      </w:r>
    </w:p>
    <w:p>
      <w:pPr>
        <w:pStyle w:val="BodyText"/>
        <w:tabs>
          <w:tab w:pos="9255" w:val="left" w:leader="dot"/>
        </w:tabs>
        <w:spacing w:line="229" w:lineRule="exact"/>
        <w:ind w:left="828"/>
      </w:pPr>
      <w:r>
        <w:rPr/>
        <w:t>2019–2020 and 2021–2022</w:t>
      </w:r>
      <w:r>
        <w:rPr>
          <w:spacing w:val="-9"/>
        </w:rPr>
        <w:t> </w:t>
      </w:r>
      <w:r>
        <w:rPr/>
        <w:t>Academic</w:t>
      </w:r>
      <w:r>
        <w:rPr>
          <w:spacing w:val="-2"/>
        </w:rPr>
        <w:t> </w:t>
      </w:r>
      <w:r>
        <w:rPr/>
        <w:t>Years</w:t>
        <w:tab/>
        <w:t>87</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Undergraduate Women Who Received Training</w:t>
      </w:r>
      <w:r>
        <w:rPr>
          <w:spacing w:val="-13"/>
          <w:sz w:val="20"/>
        </w:rPr>
        <w:t> </w:t>
      </w:r>
      <w:r>
        <w:rPr>
          <w:sz w:val="20"/>
        </w:rPr>
        <w:t>on</w:t>
      </w:r>
    </w:p>
    <w:p>
      <w:pPr>
        <w:pStyle w:val="BodyText"/>
        <w:tabs>
          <w:tab w:pos="9255" w:val="left" w:leader="dot"/>
        </w:tabs>
        <w:spacing w:line="229" w:lineRule="exact"/>
        <w:ind w:left="828"/>
      </w:pPr>
      <w:r>
        <w:rPr/>
        <w:t>Various Topics During 2019–2020 and 2021–2022</w:t>
      </w:r>
      <w:r>
        <w:rPr>
          <w:spacing w:val="-19"/>
        </w:rPr>
        <w:t> </w:t>
      </w:r>
      <w:r>
        <w:rPr/>
        <w:t>Academic</w:t>
      </w:r>
      <w:r>
        <w:rPr>
          <w:spacing w:val="-4"/>
        </w:rPr>
        <w:t> </w:t>
      </w:r>
      <w:r>
        <w:rPr/>
        <w:t>Years</w:t>
        <w:tab/>
        <w:t>88</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Undergraduate Men Who Received Training</w:t>
      </w:r>
      <w:r>
        <w:rPr>
          <w:spacing w:val="-11"/>
          <w:sz w:val="20"/>
        </w:rPr>
        <w:t> </w:t>
      </w:r>
      <w:r>
        <w:rPr>
          <w:sz w:val="20"/>
        </w:rPr>
        <w:t>on</w:t>
      </w:r>
    </w:p>
    <w:p>
      <w:pPr>
        <w:pStyle w:val="BodyText"/>
        <w:tabs>
          <w:tab w:pos="9255" w:val="left" w:leader="dot"/>
        </w:tabs>
        <w:spacing w:line="229" w:lineRule="exact"/>
        <w:ind w:left="828"/>
      </w:pPr>
      <w:r>
        <w:rPr/>
        <w:t>Various Topics During 2019–2020 and 2021–2022</w:t>
      </w:r>
      <w:r>
        <w:rPr>
          <w:spacing w:val="-19"/>
        </w:rPr>
        <w:t> </w:t>
      </w:r>
      <w:r>
        <w:rPr/>
        <w:t>Academic</w:t>
      </w:r>
      <w:r>
        <w:rPr>
          <w:spacing w:val="-4"/>
        </w:rPr>
        <w:t> </w:t>
      </w:r>
      <w:r>
        <w:rPr/>
        <w:t>Years</w:t>
        <w:tab/>
        <w:t>89</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Graduate/Professional Women Who Received</w:t>
      </w:r>
      <w:r>
        <w:rPr>
          <w:spacing w:val="-37"/>
          <w:sz w:val="20"/>
        </w:rPr>
        <w:t> </w:t>
      </w:r>
      <w:r>
        <w:rPr>
          <w:sz w:val="20"/>
        </w:rPr>
        <w:t>Training</w:t>
      </w:r>
    </w:p>
    <w:p>
      <w:pPr>
        <w:pStyle w:val="BodyText"/>
        <w:tabs>
          <w:tab w:pos="9255" w:val="left" w:leader="dot"/>
        </w:tabs>
        <w:spacing w:line="229" w:lineRule="exact"/>
        <w:ind w:left="828"/>
      </w:pPr>
      <w:r>
        <w:rPr/>
        <w:t>on Various Topics During 2019–2020 and 2021–2022</w:t>
      </w:r>
      <w:r>
        <w:rPr>
          <w:spacing w:val="-22"/>
        </w:rPr>
        <w:t> </w:t>
      </w:r>
      <w:r>
        <w:rPr/>
        <w:t>Academic</w:t>
      </w:r>
      <w:r>
        <w:rPr>
          <w:spacing w:val="-2"/>
        </w:rPr>
        <w:t> </w:t>
      </w:r>
      <w:r>
        <w:rPr/>
        <w:t>Years</w:t>
        <w:tab/>
        <w:t>89</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Graduate/Professional Men Who Received Training</w:t>
      </w:r>
      <w:r>
        <w:rPr>
          <w:spacing w:val="-39"/>
          <w:sz w:val="20"/>
        </w:rPr>
        <w:t> </w:t>
      </w:r>
      <w:r>
        <w:rPr>
          <w:sz w:val="20"/>
        </w:rPr>
        <w:t>on</w:t>
      </w:r>
    </w:p>
    <w:p>
      <w:pPr>
        <w:pStyle w:val="BodyText"/>
        <w:tabs>
          <w:tab w:pos="9255" w:val="left" w:leader="dot"/>
        </w:tabs>
        <w:spacing w:line="229" w:lineRule="exact"/>
        <w:ind w:left="828"/>
      </w:pPr>
      <w:r>
        <w:rPr/>
        <w:t>Various Topics During 2019–2020 and 2021–2022</w:t>
      </w:r>
      <w:r>
        <w:rPr>
          <w:spacing w:val="-19"/>
        </w:rPr>
        <w:t> </w:t>
      </w:r>
      <w:r>
        <w:rPr/>
        <w:t>Academic</w:t>
      </w:r>
      <w:r>
        <w:rPr>
          <w:spacing w:val="-4"/>
        </w:rPr>
        <w:t> </w:t>
      </w:r>
      <w:r>
        <w:rPr/>
        <w:t>Years</w:t>
        <w:tab/>
        <w:t>90</w:t>
      </w:r>
    </w:p>
    <w:p>
      <w:pPr>
        <w:spacing w:after="0" w:line="229" w:lineRule="exact"/>
        <w:sectPr>
          <w:pgSz w:w="12240" w:h="15840"/>
          <w:pgMar w:header="0" w:footer="592" w:top="1020" w:bottom="780" w:left="1320" w:right="1320"/>
        </w:sectPr>
      </w:pPr>
    </w:p>
    <w:p>
      <w:pPr>
        <w:pStyle w:val="ListParagraph"/>
        <w:numPr>
          <w:ilvl w:val="0"/>
          <w:numId w:val="2"/>
        </w:numPr>
        <w:tabs>
          <w:tab w:pos="827" w:val="left" w:leader="none"/>
          <w:tab w:pos="828" w:val="left" w:leader="none"/>
        </w:tabs>
        <w:spacing w:line="229" w:lineRule="exact" w:before="107" w:after="0"/>
        <w:ind w:left="828" w:right="0" w:hanging="708"/>
        <w:jc w:val="left"/>
        <w:rPr>
          <w:sz w:val="20"/>
        </w:rPr>
      </w:pPr>
      <w:r>
        <w:rPr>
          <w:sz w:val="20"/>
        </w:rPr>
        <w:t>Comparison of the Percentage of Faculty Women Who Received Training on</w:t>
      </w:r>
      <w:r>
        <w:rPr>
          <w:spacing w:val="-14"/>
          <w:sz w:val="20"/>
        </w:rPr>
        <w:t> </w:t>
      </w:r>
      <w:r>
        <w:rPr>
          <w:sz w:val="20"/>
        </w:rPr>
        <w:t>Various</w:t>
      </w:r>
    </w:p>
    <w:p>
      <w:pPr>
        <w:pStyle w:val="BodyText"/>
        <w:tabs>
          <w:tab w:pos="9255" w:val="left" w:leader="dot"/>
        </w:tabs>
        <w:spacing w:line="229" w:lineRule="exact"/>
        <w:ind w:left="828"/>
      </w:pPr>
      <w:r>
        <w:rPr/>
        <w:t>Topics During 2019–2020 and 2021–2022</w:t>
      </w:r>
      <w:r>
        <w:rPr>
          <w:spacing w:val="-15"/>
        </w:rPr>
        <w:t> </w:t>
      </w:r>
      <w:r>
        <w:rPr/>
        <w:t>Academic</w:t>
      </w:r>
      <w:r>
        <w:rPr>
          <w:spacing w:val="-3"/>
        </w:rPr>
        <w:t> </w:t>
      </w:r>
      <w:r>
        <w:rPr/>
        <w:t>Years</w:t>
        <w:tab/>
        <w:t>91</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Faculty Men Who Received Training on Various</w:t>
      </w:r>
      <w:r>
        <w:rPr>
          <w:spacing w:val="-35"/>
          <w:sz w:val="20"/>
        </w:rPr>
        <w:t> </w:t>
      </w:r>
      <w:r>
        <w:rPr>
          <w:sz w:val="20"/>
        </w:rPr>
        <w:t>Topics</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91</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Staff Women Who Received Training on</w:t>
      </w:r>
      <w:r>
        <w:rPr>
          <w:spacing w:val="-13"/>
          <w:sz w:val="20"/>
        </w:rPr>
        <w:t> </w:t>
      </w:r>
      <w:r>
        <w:rPr>
          <w:sz w:val="20"/>
        </w:rPr>
        <w:t>Various</w:t>
      </w:r>
    </w:p>
    <w:p>
      <w:pPr>
        <w:pStyle w:val="BodyText"/>
        <w:tabs>
          <w:tab w:pos="9255" w:val="left" w:leader="dot"/>
        </w:tabs>
        <w:spacing w:line="229" w:lineRule="exact"/>
        <w:ind w:left="828"/>
      </w:pPr>
      <w:r>
        <w:rPr/>
        <w:t>Topics During 2019–2020 and 2021–2022</w:t>
      </w:r>
      <w:r>
        <w:rPr>
          <w:spacing w:val="-15"/>
        </w:rPr>
        <w:t> </w:t>
      </w:r>
      <w:r>
        <w:rPr/>
        <w:t>Academic</w:t>
      </w:r>
      <w:r>
        <w:rPr>
          <w:spacing w:val="-3"/>
        </w:rPr>
        <w:t> </w:t>
      </w:r>
      <w:r>
        <w:rPr/>
        <w:t>Years</w:t>
        <w:tab/>
        <w:t>92</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Staff Men Who Received Training on Various</w:t>
      </w:r>
      <w:r>
        <w:rPr>
          <w:spacing w:val="-16"/>
          <w:sz w:val="20"/>
        </w:rPr>
        <w:t> </w:t>
      </w:r>
      <w:r>
        <w:rPr>
          <w:sz w:val="20"/>
        </w:rPr>
        <w:t>Topics</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92</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Undergraduate Women Who Received</w:t>
      </w:r>
      <w:r>
        <w:rPr>
          <w:spacing w:val="-8"/>
          <w:sz w:val="20"/>
        </w:rPr>
        <w:t> </w:t>
      </w:r>
      <w:r>
        <w:rPr>
          <w:sz w:val="20"/>
        </w:rPr>
        <w:t>Specific</w:t>
      </w:r>
    </w:p>
    <w:p>
      <w:pPr>
        <w:pStyle w:val="BodyText"/>
        <w:tabs>
          <w:tab w:pos="9255" w:val="left" w:leader="dot"/>
        </w:tabs>
        <w:spacing w:line="229" w:lineRule="exact"/>
        <w:ind w:left="828"/>
      </w:pPr>
      <w:r>
        <w:rPr/>
        <w:t>Trainings During 2019–2020 and 2021–2022</w:t>
      </w:r>
      <w:r>
        <w:rPr>
          <w:spacing w:val="-18"/>
        </w:rPr>
        <w:t> </w:t>
      </w:r>
      <w:r>
        <w:rPr/>
        <w:t>Academic</w:t>
      </w:r>
      <w:r>
        <w:rPr>
          <w:spacing w:val="-3"/>
        </w:rPr>
        <w:t> </w:t>
      </w:r>
      <w:r>
        <w:rPr/>
        <w:t>Years</w:t>
        <w:tab/>
        <w:t>93</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Undergraduate Men Who Received Specific</w:t>
      </w:r>
      <w:r>
        <w:rPr>
          <w:spacing w:val="-17"/>
          <w:sz w:val="20"/>
        </w:rPr>
        <w:t> </w:t>
      </w:r>
      <w:r>
        <w:rPr>
          <w:sz w:val="20"/>
        </w:rPr>
        <w:t>Trainings</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93</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Graduate/Professional Women Who</w:t>
      </w:r>
      <w:r>
        <w:rPr>
          <w:spacing w:val="-10"/>
          <w:sz w:val="20"/>
        </w:rPr>
        <w:t> </w:t>
      </w:r>
      <w:r>
        <w:rPr>
          <w:sz w:val="20"/>
        </w:rPr>
        <w:t>Received</w:t>
      </w:r>
    </w:p>
    <w:p>
      <w:pPr>
        <w:pStyle w:val="BodyText"/>
        <w:tabs>
          <w:tab w:pos="9255" w:val="left" w:leader="dot"/>
        </w:tabs>
        <w:spacing w:line="229" w:lineRule="exact"/>
        <w:ind w:left="828"/>
      </w:pPr>
      <w:r>
        <w:rPr/>
        <w:t>Trainings During 2019–2020 and 2021–2022</w:t>
      </w:r>
      <w:r>
        <w:rPr>
          <w:spacing w:val="-18"/>
        </w:rPr>
        <w:t> </w:t>
      </w:r>
      <w:r>
        <w:rPr/>
        <w:t>Academic</w:t>
      </w:r>
      <w:r>
        <w:rPr>
          <w:spacing w:val="-3"/>
        </w:rPr>
        <w:t> </w:t>
      </w:r>
      <w:r>
        <w:rPr/>
        <w:t>Years</w:t>
        <w:tab/>
        <w:t>94</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Graduate/Professional Men Who Received</w:t>
      </w:r>
      <w:r>
        <w:rPr>
          <w:spacing w:val="-13"/>
          <w:sz w:val="20"/>
        </w:rPr>
        <w:t> </w:t>
      </w:r>
      <w:r>
        <w:rPr>
          <w:sz w:val="20"/>
        </w:rPr>
        <w:t>Trainings</w:t>
      </w:r>
    </w:p>
    <w:p>
      <w:pPr>
        <w:pStyle w:val="BodyText"/>
        <w:tabs>
          <w:tab w:pos="9255" w:val="left" w:leader="dot"/>
        </w:tabs>
        <w:spacing w:line="229" w:lineRule="exact"/>
        <w:ind w:left="828"/>
      </w:pPr>
      <w:r>
        <w:rPr/>
        <w:t>During 2019–2020 and 2021–2022</w:t>
      </w:r>
      <w:r>
        <w:rPr>
          <w:spacing w:val="-12"/>
        </w:rPr>
        <w:t> </w:t>
      </w:r>
      <w:r>
        <w:rPr/>
        <w:t>Academic</w:t>
      </w:r>
      <w:r>
        <w:rPr>
          <w:spacing w:val="-7"/>
        </w:rPr>
        <w:t> </w:t>
      </w:r>
      <w:r>
        <w:rPr/>
        <w:t>Years</w:t>
        <w:tab/>
        <w:t>94</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Faculty Women Who Received Trainings During</w:t>
      </w:r>
      <w:r>
        <w:rPr>
          <w:spacing w:val="-36"/>
          <w:sz w:val="20"/>
        </w:rPr>
        <w:t> </w:t>
      </w:r>
      <w:r>
        <w:rPr>
          <w:sz w:val="20"/>
        </w:rPr>
        <w:t>2019–</w:t>
      </w:r>
    </w:p>
    <w:p>
      <w:pPr>
        <w:pStyle w:val="BodyText"/>
        <w:tabs>
          <w:tab w:pos="9255" w:val="left" w:leader="dot"/>
        </w:tabs>
        <w:spacing w:line="229" w:lineRule="exact"/>
        <w:ind w:left="828"/>
      </w:pPr>
      <w:r>
        <w:rPr/>
        <w:t>2020 and 2021–2022</w:t>
      </w:r>
      <w:r>
        <w:rPr>
          <w:spacing w:val="-7"/>
        </w:rPr>
        <w:t> </w:t>
      </w:r>
      <w:r>
        <w:rPr/>
        <w:t>Academic</w:t>
      </w:r>
      <w:r>
        <w:rPr>
          <w:spacing w:val="-2"/>
        </w:rPr>
        <w:t> </w:t>
      </w:r>
      <w:r>
        <w:rPr/>
        <w:t>Years</w:t>
        <w:tab/>
        <w:t>94</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Faculty Men Who Received Trainings During</w:t>
      </w:r>
      <w:r>
        <w:rPr>
          <w:spacing w:val="-29"/>
          <w:sz w:val="20"/>
        </w:rPr>
        <w:t> </w:t>
      </w:r>
      <w:r>
        <w:rPr>
          <w:sz w:val="20"/>
        </w:rPr>
        <w:t>2019–</w:t>
      </w:r>
    </w:p>
    <w:p>
      <w:pPr>
        <w:pStyle w:val="BodyText"/>
        <w:tabs>
          <w:tab w:pos="9255" w:val="left" w:leader="dot"/>
        </w:tabs>
        <w:spacing w:line="229" w:lineRule="exact"/>
        <w:ind w:left="828"/>
      </w:pPr>
      <w:r>
        <w:rPr/>
        <w:t>2020 and 2021–2022</w:t>
      </w:r>
      <w:r>
        <w:rPr>
          <w:spacing w:val="-7"/>
        </w:rPr>
        <w:t> </w:t>
      </w:r>
      <w:r>
        <w:rPr/>
        <w:t>Academic</w:t>
      </w:r>
      <w:r>
        <w:rPr>
          <w:spacing w:val="-2"/>
        </w:rPr>
        <w:t> </w:t>
      </w:r>
      <w:r>
        <w:rPr/>
        <w:t>Years</w:t>
        <w:tab/>
        <w:t>95</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Staff Women Who Received Trainings During</w:t>
      </w:r>
      <w:r>
        <w:rPr>
          <w:spacing w:val="-19"/>
          <w:sz w:val="20"/>
        </w:rPr>
        <w:t> </w:t>
      </w:r>
      <w:r>
        <w:rPr>
          <w:sz w:val="20"/>
        </w:rPr>
        <w:t>2019–</w:t>
      </w:r>
    </w:p>
    <w:p>
      <w:pPr>
        <w:pStyle w:val="BodyText"/>
        <w:tabs>
          <w:tab w:pos="9255" w:val="left" w:leader="dot"/>
        </w:tabs>
        <w:spacing w:line="229" w:lineRule="exact"/>
        <w:ind w:left="827"/>
      </w:pPr>
      <w:r>
        <w:rPr/>
        <w:t>2020 and 2021–2022</w:t>
      </w:r>
      <w:r>
        <w:rPr>
          <w:spacing w:val="-7"/>
        </w:rPr>
        <w:t> </w:t>
      </w:r>
      <w:r>
        <w:rPr/>
        <w:t>Academic</w:t>
      </w:r>
      <w:r>
        <w:rPr>
          <w:spacing w:val="-2"/>
        </w:rPr>
        <w:t> </w:t>
      </w:r>
      <w:r>
        <w:rPr/>
        <w:t>Years</w:t>
        <w:tab/>
        <w:t>95</w:t>
      </w:r>
    </w:p>
    <w:p>
      <w:pPr>
        <w:pStyle w:val="ListParagraph"/>
        <w:numPr>
          <w:ilvl w:val="0"/>
          <w:numId w:val="2"/>
        </w:numPr>
        <w:tabs>
          <w:tab w:pos="827" w:val="left" w:leader="none"/>
          <w:tab w:pos="828" w:val="left" w:leader="none"/>
        </w:tabs>
        <w:spacing w:line="229" w:lineRule="exact" w:before="62" w:after="0"/>
        <w:ind w:left="828" w:right="0" w:hanging="708"/>
        <w:jc w:val="left"/>
        <w:rPr>
          <w:sz w:val="20"/>
        </w:rPr>
      </w:pPr>
      <w:r>
        <w:rPr>
          <w:sz w:val="20"/>
        </w:rPr>
        <w:t>Comparison of the Percentage of Staff Men Who Received Trainings During</w:t>
      </w:r>
      <w:r>
        <w:rPr>
          <w:spacing w:val="-19"/>
          <w:sz w:val="20"/>
        </w:rPr>
        <w:t> </w:t>
      </w:r>
      <w:r>
        <w:rPr>
          <w:sz w:val="20"/>
        </w:rPr>
        <w:t>2019–2020</w:t>
      </w:r>
    </w:p>
    <w:p>
      <w:pPr>
        <w:pStyle w:val="BodyText"/>
        <w:tabs>
          <w:tab w:pos="9255" w:val="left" w:leader="dot"/>
        </w:tabs>
        <w:spacing w:line="229" w:lineRule="exact"/>
        <w:ind w:left="827"/>
      </w:pPr>
      <w:r>
        <w:rPr/>
        <w:t>and 2021–2022</w:t>
      </w:r>
      <w:r>
        <w:rPr>
          <w:spacing w:val="-5"/>
        </w:rPr>
        <w:t> </w:t>
      </w:r>
      <w:r>
        <w:rPr/>
        <w:t>Academic</w:t>
      </w:r>
      <w:r>
        <w:rPr>
          <w:spacing w:val="-2"/>
        </w:rPr>
        <w:t> </w:t>
      </w:r>
      <w:r>
        <w:rPr/>
        <w:t>Years</w:t>
        <w:tab/>
        <w:t>95</w:t>
      </w:r>
    </w:p>
    <w:p>
      <w:pPr>
        <w:spacing w:after="0" w:line="229" w:lineRule="exact"/>
        <w:sectPr>
          <w:pgSz w:w="12240" w:h="15840"/>
          <w:pgMar w:header="0" w:footer="592" w:top="1020" w:bottom="780" w:left="1320" w:right="1320"/>
        </w:sectPr>
      </w:pPr>
    </w:p>
    <w:p>
      <w:pPr>
        <w:pStyle w:val="Heading4"/>
        <w:ind w:right="6" w:firstLine="0"/>
        <w:jc w:val="center"/>
      </w:pPr>
      <w:bookmarkStart w:name="List of Tables" w:id="4"/>
      <w:bookmarkEnd w:id="4"/>
      <w:r>
        <w:rPr>
          <w:b w:val="0"/>
        </w:rPr>
      </w:r>
      <w:r>
        <w:rPr/>
        <w:t>List of Tables</w:t>
      </w:r>
    </w:p>
    <w:p>
      <w:pPr>
        <w:tabs>
          <w:tab w:pos="8789" w:val="left" w:leader="none"/>
        </w:tabs>
        <w:spacing w:before="236"/>
        <w:ind w:left="1" w:right="0" w:firstLine="0"/>
        <w:jc w:val="center"/>
        <w:rPr>
          <w:b/>
          <w:sz w:val="24"/>
        </w:rPr>
      </w:pPr>
      <w:r>
        <w:rPr>
          <w:b/>
          <w:sz w:val="24"/>
        </w:rPr>
        <w:t>No.</w:t>
        <w:tab/>
        <w:t>Page</w:t>
      </w:r>
    </w:p>
    <w:p>
      <w:pPr>
        <w:pStyle w:val="BodyText"/>
        <w:rPr>
          <w:b/>
          <w:sz w:val="21"/>
        </w:rPr>
      </w:pPr>
    </w:p>
    <w:p>
      <w:pPr>
        <w:pStyle w:val="ListParagraph"/>
        <w:numPr>
          <w:ilvl w:val="0"/>
          <w:numId w:val="3"/>
        </w:numPr>
        <w:tabs>
          <w:tab w:pos="827" w:val="left" w:leader="none"/>
          <w:tab w:pos="828" w:val="left" w:leader="none"/>
          <w:tab w:pos="9367" w:val="left" w:leader="dot"/>
        </w:tabs>
        <w:spacing w:line="240" w:lineRule="auto" w:before="0" w:after="0"/>
        <w:ind w:left="828" w:right="0" w:hanging="708"/>
        <w:jc w:val="left"/>
        <w:rPr>
          <w:sz w:val="20"/>
        </w:rPr>
      </w:pPr>
      <w:r>
        <w:rPr>
          <w:sz w:val="20"/>
        </w:rPr>
        <w:t>Number of Survey Participants and Average Survey</w:t>
      </w:r>
      <w:r>
        <w:rPr>
          <w:spacing w:val="-16"/>
          <w:sz w:val="20"/>
        </w:rPr>
        <w:t> </w:t>
      </w:r>
      <w:r>
        <w:rPr>
          <w:sz w:val="20"/>
        </w:rPr>
        <w:t>Completion</w:t>
      </w:r>
      <w:r>
        <w:rPr>
          <w:spacing w:val="-6"/>
          <w:sz w:val="20"/>
        </w:rPr>
        <w:t> </w:t>
      </w:r>
      <w:r>
        <w:rPr>
          <w:sz w:val="20"/>
        </w:rPr>
        <w:t>Time</w:t>
        <w:tab/>
        <w:t>3</w:t>
      </w:r>
    </w:p>
    <w:p>
      <w:pPr>
        <w:pStyle w:val="ListParagraph"/>
        <w:numPr>
          <w:ilvl w:val="0"/>
          <w:numId w:val="3"/>
        </w:numPr>
        <w:tabs>
          <w:tab w:pos="827" w:val="left" w:leader="none"/>
          <w:tab w:pos="828" w:val="left" w:leader="none"/>
          <w:tab w:pos="9367" w:val="left" w:leader="dot"/>
        </w:tabs>
        <w:spacing w:line="240" w:lineRule="auto" w:before="62" w:after="0"/>
        <w:ind w:left="828" w:right="0" w:hanging="708"/>
        <w:jc w:val="left"/>
        <w:rPr>
          <w:sz w:val="20"/>
        </w:rPr>
      </w:pPr>
      <w:r>
        <w:rPr>
          <w:sz w:val="20"/>
        </w:rPr>
        <w:t>Distribution of Respondents,</w:t>
      </w:r>
      <w:r>
        <w:rPr>
          <w:spacing w:val="-10"/>
          <w:sz w:val="20"/>
        </w:rPr>
        <w:t> </w:t>
      </w:r>
      <w:r>
        <w:rPr>
          <w:sz w:val="20"/>
        </w:rPr>
        <w:t>Undergraduate</w:t>
      </w:r>
      <w:r>
        <w:rPr>
          <w:spacing w:val="-7"/>
          <w:sz w:val="20"/>
        </w:rPr>
        <w:t> </w:t>
      </w:r>
      <w:r>
        <w:rPr>
          <w:sz w:val="20"/>
        </w:rPr>
        <w:t>Students</w:t>
        <w:tab/>
        <w:t>5</w:t>
      </w:r>
    </w:p>
    <w:p>
      <w:pPr>
        <w:pStyle w:val="ListParagraph"/>
        <w:numPr>
          <w:ilvl w:val="0"/>
          <w:numId w:val="3"/>
        </w:numPr>
        <w:tabs>
          <w:tab w:pos="827" w:val="left" w:leader="none"/>
          <w:tab w:pos="828" w:val="left" w:leader="none"/>
          <w:tab w:pos="9367" w:val="left" w:leader="dot"/>
        </w:tabs>
        <w:spacing w:line="240" w:lineRule="auto" w:before="58" w:after="0"/>
        <w:ind w:left="828" w:right="0" w:hanging="708"/>
        <w:jc w:val="left"/>
        <w:rPr>
          <w:sz w:val="20"/>
        </w:rPr>
      </w:pPr>
      <w:r>
        <w:rPr>
          <w:sz w:val="20"/>
        </w:rPr>
        <w:t>Distribution of Respondents, Graduate and</w:t>
      </w:r>
      <w:r>
        <w:rPr>
          <w:spacing w:val="-18"/>
          <w:sz w:val="20"/>
        </w:rPr>
        <w:t> </w:t>
      </w:r>
      <w:r>
        <w:rPr>
          <w:sz w:val="20"/>
        </w:rPr>
        <w:t>Professional</w:t>
      </w:r>
      <w:r>
        <w:rPr>
          <w:spacing w:val="-4"/>
          <w:sz w:val="20"/>
        </w:rPr>
        <w:t> </w:t>
      </w:r>
      <w:r>
        <w:rPr>
          <w:sz w:val="20"/>
        </w:rPr>
        <w:t>Students</w:t>
        <w:tab/>
        <w:t>7</w:t>
      </w:r>
    </w:p>
    <w:p>
      <w:pPr>
        <w:pStyle w:val="ListParagraph"/>
        <w:numPr>
          <w:ilvl w:val="0"/>
          <w:numId w:val="3"/>
        </w:numPr>
        <w:tabs>
          <w:tab w:pos="827" w:val="left" w:leader="none"/>
          <w:tab w:pos="828" w:val="left" w:leader="none"/>
          <w:tab w:pos="9255" w:val="left" w:leader="dot"/>
        </w:tabs>
        <w:spacing w:line="240" w:lineRule="auto" w:before="62" w:after="0"/>
        <w:ind w:left="828" w:right="0" w:hanging="708"/>
        <w:jc w:val="left"/>
        <w:rPr>
          <w:sz w:val="20"/>
        </w:rPr>
      </w:pPr>
      <w:r>
        <w:rPr>
          <w:sz w:val="20"/>
        </w:rPr>
        <w:t>Distribution of Respondents, Faculty</w:t>
      </w:r>
      <w:r>
        <w:rPr>
          <w:spacing w:val="-13"/>
          <w:sz w:val="20"/>
        </w:rPr>
        <w:t> </w:t>
      </w:r>
      <w:r>
        <w:rPr>
          <w:sz w:val="20"/>
        </w:rPr>
        <w:t>and</w:t>
      </w:r>
      <w:r>
        <w:rPr>
          <w:spacing w:val="-3"/>
          <w:sz w:val="20"/>
        </w:rPr>
        <w:t> </w:t>
      </w:r>
      <w:r>
        <w:rPr>
          <w:sz w:val="20"/>
        </w:rPr>
        <w:t>Staff</w:t>
        <w:tab/>
        <w:t>10</w:t>
      </w:r>
    </w:p>
    <w:p>
      <w:pPr>
        <w:pStyle w:val="ListParagraph"/>
        <w:numPr>
          <w:ilvl w:val="0"/>
          <w:numId w:val="3"/>
        </w:numPr>
        <w:tabs>
          <w:tab w:pos="827" w:val="left" w:leader="none"/>
          <w:tab w:pos="828" w:val="left" w:leader="none"/>
          <w:tab w:pos="9255" w:val="left" w:leader="dot"/>
        </w:tabs>
        <w:spacing w:line="240" w:lineRule="auto" w:before="58" w:after="0"/>
        <w:ind w:left="828" w:right="0" w:hanging="708"/>
        <w:jc w:val="left"/>
        <w:rPr>
          <w:sz w:val="20"/>
        </w:rPr>
      </w:pPr>
      <w:r>
        <w:rPr>
          <w:sz w:val="20"/>
        </w:rPr>
        <w:t>Sexual</w:t>
      </w:r>
      <w:r>
        <w:rPr>
          <w:spacing w:val="-3"/>
          <w:sz w:val="20"/>
        </w:rPr>
        <w:t> </w:t>
      </w:r>
      <w:r>
        <w:rPr>
          <w:sz w:val="20"/>
        </w:rPr>
        <w:t>Victimization</w:t>
      </w:r>
      <w:r>
        <w:rPr>
          <w:spacing w:val="-2"/>
          <w:sz w:val="20"/>
        </w:rPr>
        <w:t> </w:t>
      </w:r>
      <w:r>
        <w:rPr>
          <w:sz w:val="20"/>
        </w:rPr>
        <w:t>Definitions</w:t>
        <w:tab/>
        <w:t>13</w:t>
      </w:r>
    </w:p>
    <w:p>
      <w:pPr>
        <w:pStyle w:val="ListParagraph"/>
        <w:numPr>
          <w:ilvl w:val="0"/>
          <w:numId w:val="3"/>
        </w:numPr>
        <w:tabs>
          <w:tab w:pos="827" w:val="left" w:leader="none"/>
          <w:tab w:pos="828" w:val="left" w:leader="none"/>
          <w:tab w:pos="9255" w:val="left" w:leader="dot"/>
        </w:tabs>
        <w:spacing w:line="240" w:lineRule="auto" w:before="62" w:after="0"/>
        <w:ind w:left="828" w:right="0" w:hanging="708"/>
        <w:jc w:val="left"/>
        <w:rPr>
          <w:sz w:val="20"/>
        </w:rPr>
      </w:pPr>
      <w:r>
        <w:rPr>
          <w:sz w:val="20"/>
        </w:rPr>
        <w:t>Climate</w:t>
      </w:r>
      <w:r>
        <w:rPr>
          <w:spacing w:val="-2"/>
          <w:sz w:val="20"/>
        </w:rPr>
        <w:t> </w:t>
      </w:r>
      <w:r>
        <w:rPr>
          <w:sz w:val="20"/>
        </w:rPr>
        <w:t>Scale</w:t>
      </w:r>
      <w:r>
        <w:rPr>
          <w:spacing w:val="-2"/>
          <w:sz w:val="20"/>
        </w:rPr>
        <w:t> </w:t>
      </w:r>
      <w:r>
        <w:rPr>
          <w:sz w:val="20"/>
        </w:rPr>
        <w:t>Description</w:t>
        <w:tab/>
        <w:t>56</w:t>
      </w:r>
    </w:p>
    <w:p>
      <w:pPr>
        <w:spacing w:after="0" w:line="240" w:lineRule="auto"/>
        <w:jc w:val="left"/>
        <w:rPr>
          <w:sz w:val="20"/>
        </w:rPr>
        <w:sectPr>
          <w:pgSz w:w="12240" w:h="15840"/>
          <w:pgMar w:header="0" w:footer="592" w:top="1020" w:bottom="780" w:left="1320" w:right="1320"/>
        </w:sectPr>
      </w:pPr>
    </w:p>
    <w:p>
      <w:pPr>
        <w:spacing w:before="85"/>
        <w:ind w:left="120" w:right="0" w:firstLine="0"/>
        <w:jc w:val="left"/>
        <w:rPr>
          <w:b/>
          <w:sz w:val="48"/>
        </w:rPr>
      </w:pPr>
      <w:bookmarkStart w:name="Executive Summary" w:id="5"/>
      <w:bookmarkEnd w:id="5"/>
      <w:r>
        <w:rPr/>
      </w:r>
      <w:r>
        <w:rPr>
          <w:b/>
          <w:color w:val="09357D"/>
          <w:sz w:val="48"/>
        </w:rPr>
        <w:t>Executive Summary</w:t>
      </w:r>
    </w:p>
    <w:p>
      <w:pPr>
        <w:pStyle w:val="BodyText"/>
        <w:spacing w:line="333" w:lineRule="auto" w:before="306"/>
        <w:ind w:left="144" w:right="253" w:firstLine="720"/>
      </w:pPr>
      <w:r>
        <w:rPr/>
        <w:t>Michigan State University (MSU) sponsored the Know More @ MSU Campus Survey to assess the culture, perceptions, and policies associated with sexual misconduct among the entire MSU campus community. All undergraduate students, graduate and professional students, faculty, and staff were invited to participate in a brief, web-based survey in spring 2022. The Know More @ MSU Campus Survey was previously administered in spring 2019. This report primarily presents the 2022 results, although comparisons of the 2019 and 2022 results are presented in a dedicated chapter. RTI International, an independent, nonprofit research organization, collected and analyzed the data.</w:t>
      </w:r>
    </w:p>
    <w:p>
      <w:pPr>
        <w:pStyle w:val="BodyText"/>
        <w:spacing w:line="333" w:lineRule="auto" w:before="162"/>
        <w:ind w:left="119" w:right="166" w:firstLine="720"/>
        <w:rPr>
          <w:sz w:val="12"/>
        </w:rPr>
      </w:pPr>
      <w:r>
        <w:rPr/>
        <w:t>Members of the MSU campus community completed more than 11,500 surveys. Throughout this report, results are shown for multiple gender identity groups; the categorization of respondents was done according to self-reported gender identity. For the 2022 Know More @ MSU Campus Survey, gender identity information was collected using an approach that differs from the approach used in 2019, and 2022 results are presented separately for students, faculty, and staff who identify as being transgender and/or nonbinary. Survey respondents who identified as being transgender or nonbinary were grouped together in an effort to create groups with enough respondents to enable analysis. The definitions used in the survey for various terms related to gender identity were provided by the MSU Gender and Sexuality Campus Center.</w:t>
      </w:r>
      <w:r>
        <w:rPr>
          <w:position w:val="5"/>
          <w:sz w:val="12"/>
        </w:rPr>
        <w:t>1</w:t>
      </w:r>
    </w:p>
    <w:p>
      <w:pPr>
        <w:pStyle w:val="BodyText"/>
        <w:spacing w:line="333" w:lineRule="auto" w:before="163"/>
        <w:ind w:left="119" w:right="166" w:firstLine="720"/>
      </w:pPr>
      <w:r>
        <w:rPr/>
        <w:t>The Know More @ MSU Campus Survey results are presented in tables and figures throughout this report. Additional tables presenting all of the results and associated confidence intervals are presented in separate, linked appendices. The surveys covered three broad areas: students’ experiences with various types of victimization (primarily relationship violence and sexual misconduct [RVSM]); faculty and staff experiences with workplace incivility and work-related sexual harassment; and perceptions of campus climate and awareness of resources among students, faculty, and staff. Key highlights for each area are summarized below.</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4"/>
        </w:rPr>
      </w:pPr>
      <w:r>
        <w:rPr/>
        <w:pict>
          <v:shape style="position:absolute;margin-left:72pt;margin-top:16.447901pt;width:144pt;height:.1pt;mso-position-horizontal-relative:page;mso-position-vertical-relative:paragraph;z-index:-251653120;mso-wrap-distance-left:0;mso-wrap-distance-right:0" coordorigin="1440,329" coordsize="2880,0" path="m1440,329l4320,329e" filled="false" stroked="true" strokeweight=".4pt" strokecolor="#000000">
            <v:path arrowok="t"/>
            <v:stroke dashstyle="solid"/>
            <w10:wrap type="topAndBottom"/>
          </v:shape>
        </w:pict>
      </w:r>
    </w:p>
    <w:p>
      <w:pPr>
        <w:spacing w:line="242" w:lineRule="auto" w:before="54"/>
        <w:ind w:left="391" w:right="1564" w:hanging="272"/>
        <w:jc w:val="left"/>
        <w:rPr>
          <w:sz w:val="18"/>
        </w:rPr>
      </w:pPr>
      <w:r>
        <w:rPr>
          <w:position w:val="5"/>
          <w:sz w:val="12"/>
        </w:rPr>
        <w:t>1 </w:t>
      </w:r>
      <w:r>
        <w:rPr>
          <w:sz w:val="18"/>
        </w:rPr>
        <w:t>Gender and Sexuality Campus Center, Michigan State University. (n.d.) </w:t>
      </w:r>
      <w:r>
        <w:rPr>
          <w:i/>
          <w:sz w:val="18"/>
        </w:rPr>
        <w:t>Glossary</w:t>
      </w:r>
      <w:r>
        <w:rPr>
          <w:sz w:val="18"/>
        </w:rPr>
        <w:t>. </w:t>
      </w:r>
      <w:hyperlink r:id="rId16">
        <w:r>
          <w:rPr>
            <w:color w:val="1F419A"/>
            <w:spacing w:val="-1"/>
            <w:sz w:val="18"/>
            <w:u w:val="single" w:color="1F419A"/>
          </w:rPr>
          <w:t>https://gscc.msu.edu/education/glossary.htm</w:t>
        </w:r>
        <w:r>
          <w:rPr>
            <w:color w:val="1F419A"/>
            <w:spacing w:val="-1"/>
            <w:sz w:val="18"/>
          </w:rPr>
          <w:t>l </w:t>
        </w:r>
        <w:r>
          <w:rPr>
            <w:color w:val="1F419A"/>
            <w:spacing w:val="-7"/>
            <w:sz w:val="18"/>
          </w:rPr>
        </w:r>
      </w:hyperlink>
      <w:r>
        <w:rPr>
          <w:color w:val="1F419A"/>
          <w:spacing w:val="-7"/>
          <w:sz w:val="18"/>
        </w:rPr>
        <w:drawing>
          <wp:inline distT="0" distB="0" distL="0" distR="0">
            <wp:extent cx="100329" cy="100329"/>
            <wp:effectExtent l="0" t="0" r="0" b="0"/>
            <wp:docPr id="3" name="image5.png"/>
            <wp:cNvGraphicFramePr>
              <a:graphicFrameLocks noChangeAspect="1"/>
            </wp:cNvGraphicFramePr>
            <a:graphic>
              <a:graphicData uri="http://schemas.openxmlformats.org/drawingml/2006/picture">
                <pic:pic>
                  <pic:nvPicPr>
                    <pic:cNvPr id="4"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after="0" w:line="242" w:lineRule="auto"/>
        <w:jc w:val="left"/>
        <w:rPr>
          <w:sz w:val="18"/>
        </w:rPr>
        <w:sectPr>
          <w:headerReference w:type="default" r:id="rId14"/>
          <w:footerReference w:type="default" r:id="rId15"/>
          <w:pgSz w:w="12240" w:h="15840"/>
          <w:pgMar w:header="0" w:footer="592" w:top="1020" w:bottom="780" w:left="1320" w:right="1320"/>
          <w:pgNumType w:start="1"/>
        </w:sectPr>
      </w:pPr>
    </w:p>
    <w:p>
      <w:pPr>
        <w:pStyle w:val="Heading1"/>
        <w:tabs>
          <w:tab w:pos="1387" w:val="left" w:leader="none"/>
        </w:tabs>
      </w:pPr>
      <w:r>
        <w:rPr>
          <w:color w:val="1F419A"/>
        </w:rPr>
        <w:t>ES.1</w:t>
        <w:tab/>
        <w:t>Students’ Victimization</w:t>
      </w:r>
      <w:r>
        <w:rPr>
          <w:color w:val="1F419A"/>
          <w:spacing w:val="-17"/>
        </w:rPr>
        <w:t> </w:t>
      </w:r>
      <w:r>
        <w:rPr>
          <w:color w:val="1F419A"/>
        </w:rPr>
        <w:t>Experiences</w:t>
      </w:r>
    </w:p>
    <w:p>
      <w:pPr>
        <w:pStyle w:val="BodyText"/>
        <w:spacing w:before="307"/>
        <w:ind w:left="840"/>
      </w:pPr>
      <w:r>
        <w:rPr/>
        <w:t>Key findings pertaining to students’ victimization experiences included the</w:t>
      </w:r>
      <w:r>
        <w:rPr>
          <w:spacing w:val="-40"/>
        </w:rPr>
        <w:t> </w:t>
      </w:r>
      <w:r>
        <w:rPr/>
        <w:t>following:</w:t>
      </w:r>
    </w:p>
    <w:p>
      <w:pPr>
        <w:pStyle w:val="ListParagraph"/>
        <w:numPr>
          <w:ilvl w:val="1"/>
          <w:numId w:val="3"/>
        </w:numPr>
        <w:tabs>
          <w:tab w:pos="1199" w:val="left" w:leader="none"/>
          <w:tab w:pos="1200" w:val="left" w:leader="none"/>
        </w:tabs>
        <w:spacing w:line="240" w:lineRule="auto" w:before="182" w:after="0"/>
        <w:ind w:left="1200" w:right="466" w:hanging="360"/>
        <w:jc w:val="left"/>
        <w:rPr>
          <w:sz w:val="20"/>
        </w:rPr>
      </w:pPr>
      <w:r>
        <w:rPr>
          <w:sz w:val="20"/>
        </w:rPr>
        <w:t>Sexual harassment</w:t>
      </w:r>
      <w:r>
        <w:rPr>
          <w:position w:val="5"/>
          <w:sz w:val="12"/>
        </w:rPr>
        <w:t>2 </w:t>
      </w:r>
      <w:r>
        <w:rPr>
          <w:sz w:val="20"/>
        </w:rPr>
        <w:t>was the most prevalent type of victimization students experienced (Figure ES-1). Nearly two-thirds of undergraduate cisgender women</w:t>
      </w:r>
      <w:r>
        <w:rPr>
          <w:position w:val="5"/>
          <w:sz w:val="12"/>
        </w:rPr>
        <w:t>3 </w:t>
      </w:r>
      <w:r>
        <w:rPr>
          <w:sz w:val="20"/>
        </w:rPr>
        <w:t>(61.0%), 72.8% of transgender and/or nonbinary undergraduates, 37.5% of cisgender women graduate/professional students, 65.1% of transgender and/or nonbinary graduate/professional students, 35.7% of undergraduate cisgender men, and 17.3% of cisgender men graduate/professional students experienced sexual harassment during the 2021–2022 academic year.</w:t>
      </w:r>
    </w:p>
    <w:p>
      <w:pPr>
        <w:pStyle w:val="ListParagraph"/>
        <w:numPr>
          <w:ilvl w:val="2"/>
          <w:numId w:val="3"/>
        </w:numPr>
        <w:tabs>
          <w:tab w:pos="1559" w:val="left" w:leader="none"/>
          <w:tab w:pos="1560" w:val="left" w:leader="none"/>
        </w:tabs>
        <w:spacing w:line="240" w:lineRule="auto" w:before="78" w:after="0"/>
        <w:ind w:left="1560" w:right="279" w:hanging="360"/>
        <w:jc w:val="left"/>
        <w:rPr>
          <w:sz w:val="20"/>
        </w:rPr>
      </w:pPr>
      <w:r>
        <w:rPr>
          <w:sz w:val="20"/>
        </w:rPr>
        <w:t>The most common forms of sexual harassment were someone making “inappropriate or offensive comments about your or someone else’s body, appearance, or sexual activities” and “someone referring to people of your gender in insulting or offensive terms.”</w:t>
      </w:r>
    </w:p>
    <w:p>
      <w:pPr>
        <w:pStyle w:val="ListParagraph"/>
        <w:numPr>
          <w:ilvl w:val="1"/>
          <w:numId w:val="3"/>
        </w:numPr>
        <w:tabs>
          <w:tab w:pos="1199" w:val="left" w:leader="none"/>
          <w:tab w:pos="1200" w:val="left" w:leader="none"/>
        </w:tabs>
        <w:spacing w:line="240" w:lineRule="auto" w:before="80" w:after="0"/>
        <w:ind w:left="1199" w:right="266" w:hanging="360"/>
        <w:jc w:val="left"/>
        <w:rPr>
          <w:sz w:val="20"/>
        </w:rPr>
      </w:pPr>
      <w:r>
        <w:rPr>
          <w:sz w:val="20"/>
        </w:rPr>
        <w:t>About 11.8% of undergraduate cisgender women, 2.8% of undergraduate cisgender men, 10.6% of transgender and/or nonbinary undergraduates, 3.1% of cisgender women graduate/professional students, 0.7% of cisgender men graduate/professional students,</w:t>
      </w:r>
      <w:r>
        <w:rPr>
          <w:spacing w:val="-40"/>
          <w:sz w:val="20"/>
        </w:rPr>
        <w:t> </w:t>
      </w:r>
      <w:r>
        <w:rPr>
          <w:sz w:val="20"/>
        </w:rPr>
        <w:t>and</w:t>
      </w:r>
    </w:p>
    <w:p>
      <w:pPr>
        <w:pStyle w:val="BodyText"/>
        <w:spacing w:line="218" w:lineRule="auto" w:before="19"/>
        <w:ind w:left="1197" w:right="342" w:firstLine="2"/>
      </w:pPr>
      <w:r>
        <w:rPr/>
        <w:t>14.4% of transgender and/or nonbinary graduate/professional students experienced sexual</w:t>
      </w:r>
      <w:r>
        <w:rPr>
          <w:position w:val="-2"/>
        </w:rPr>
        <w:t> assault</w:t>
      </w:r>
      <w:r>
        <w:rPr>
          <w:position w:val="2"/>
          <w:sz w:val="12"/>
        </w:rPr>
        <w:t>4 </w:t>
      </w:r>
      <w:r>
        <w:rPr/>
        <w:t>during the 2021–2022 academic year. These last two estimates are, however, not considered reliable statistically because they are based on fewer than 10 people or have a relative standard error greater than 30%.</w:t>
      </w:r>
    </w:p>
    <w:p>
      <w:pPr>
        <w:pStyle w:val="ListParagraph"/>
        <w:numPr>
          <w:ilvl w:val="2"/>
          <w:numId w:val="3"/>
        </w:numPr>
        <w:tabs>
          <w:tab w:pos="1532" w:val="left" w:leader="none"/>
          <w:tab w:pos="1533" w:val="left" w:leader="none"/>
        </w:tabs>
        <w:spacing w:line="240" w:lineRule="auto" w:before="114" w:after="0"/>
        <w:ind w:left="1532" w:right="389" w:hanging="360"/>
        <w:jc w:val="left"/>
        <w:rPr>
          <w:sz w:val="20"/>
        </w:rPr>
      </w:pPr>
      <w:r>
        <w:rPr>
          <w:sz w:val="20"/>
        </w:rPr>
        <w:t>Sexual battery—defined as any unwanted, nonconsensual sexual contact that involved forced touching of a sexual nature but without penetration—was more common than rape.</w:t>
      </w:r>
    </w:p>
    <w:p>
      <w:pPr>
        <w:pStyle w:val="ListParagraph"/>
        <w:numPr>
          <w:ilvl w:val="2"/>
          <w:numId w:val="3"/>
        </w:numPr>
        <w:tabs>
          <w:tab w:pos="1532" w:val="left" w:leader="none"/>
          <w:tab w:pos="1533" w:val="left" w:leader="none"/>
        </w:tabs>
        <w:spacing w:line="240" w:lineRule="auto" w:before="82" w:after="0"/>
        <w:ind w:left="1533" w:right="157" w:hanging="360"/>
        <w:jc w:val="left"/>
        <w:rPr>
          <w:sz w:val="20"/>
        </w:rPr>
      </w:pPr>
      <w:r>
        <w:rPr>
          <w:sz w:val="20"/>
        </w:rPr>
        <w:t>People committing a sexual assault most commonly used the tactic of “ignoring you when you said ‘no’ or just [doing] it without your consent, when you did not want it to</w:t>
      </w:r>
      <w:r>
        <w:rPr>
          <w:spacing w:val="-32"/>
          <w:sz w:val="20"/>
        </w:rPr>
        <w:t> </w:t>
      </w:r>
      <w:r>
        <w:rPr>
          <w:sz w:val="20"/>
        </w:rPr>
        <w:t>happen.”</w:t>
      </w:r>
    </w:p>
    <w:p>
      <w:pPr>
        <w:pStyle w:val="ListParagraph"/>
        <w:numPr>
          <w:ilvl w:val="2"/>
          <w:numId w:val="3"/>
        </w:numPr>
        <w:tabs>
          <w:tab w:pos="1532" w:val="left" w:leader="none"/>
          <w:tab w:pos="1533" w:val="left" w:leader="none"/>
        </w:tabs>
        <w:spacing w:line="240" w:lineRule="auto" w:before="80" w:after="0"/>
        <w:ind w:left="1533" w:right="333" w:hanging="360"/>
        <w:jc w:val="left"/>
        <w:rPr>
          <w:sz w:val="20"/>
        </w:rPr>
      </w:pPr>
      <w:r>
        <w:rPr>
          <w:sz w:val="20"/>
        </w:rPr>
        <w:t>Most perpetrators were MSU students, and the most common location of rape incidents was an off-campus private</w:t>
      </w:r>
      <w:r>
        <w:rPr>
          <w:spacing w:val="-7"/>
          <w:sz w:val="20"/>
        </w:rPr>
        <w:t> </w:t>
      </w:r>
      <w:r>
        <w:rPr>
          <w:sz w:val="20"/>
        </w:rPr>
        <w:t>residence.</w:t>
      </w:r>
    </w:p>
    <w:p>
      <w:pPr>
        <w:pStyle w:val="ListParagraph"/>
        <w:numPr>
          <w:ilvl w:val="2"/>
          <w:numId w:val="3"/>
        </w:numPr>
        <w:tabs>
          <w:tab w:pos="1532" w:val="left" w:leader="none"/>
          <w:tab w:pos="1533" w:val="left" w:leader="none"/>
        </w:tabs>
        <w:spacing w:line="240" w:lineRule="auto" w:before="80" w:after="0"/>
        <w:ind w:left="1533" w:right="613" w:hanging="360"/>
        <w:jc w:val="left"/>
        <w:rPr>
          <w:sz w:val="20"/>
        </w:rPr>
      </w:pPr>
      <w:r>
        <w:rPr>
          <w:sz w:val="20"/>
        </w:rPr>
        <w:t>A disproportionately high number of incidents took place for first-year undergraduate cisgender women in September and</w:t>
      </w:r>
      <w:r>
        <w:rPr>
          <w:spacing w:val="3"/>
          <w:sz w:val="20"/>
        </w:rPr>
        <w:t> </w:t>
      </w:r>
      <w:r>
        <w:rPr>
          <w:sz w:val="20"/>
        </w:rPr>
        <w:t>October.</w:t>
      </w:r>
    </w:p>
    <w:p>
      <w:pPr>
        <w:pStyle w:val="ListParagraph"/>
        <w:numPr>
          <w:ilvl w:val="2"/>
          <w:numId w:val="3"/>
        </w:numPr>
        <w:tabs>
          <w:tab w:pos="1532" w:val="left" w:leader="none"/>
          <w:tab w:pos="1533" w:val="left" w:leader="none"/>
        </w:tabs>
        <w:spacing w:line="240" w:lineRule="auto" w:before="80" w:after="0"/>
        <w:ind w:left="1533" w:right="169" w:hanging="360"/>
        <w:jc w:val="left"/>
        <w:rPr>
          <w:sz w:val="20"/>
        </w:rPr>
      </w:pPr>
      <w:r>
        <w:rPr>
          <w:sz w:val="20"/>
        </w:rPr>
        <w:t>Most incidents were disclosed to someone close to the survivor (e.g., a roommate, friend, or family member). In about 16.2% of rape incidents and 4.1% of sexual battery incidents undergraduate cisgender women experienced, the student disclosed the incident to, or sought services from, an MSU</w:t>
      </w:r>
      <w:r>
        <w:rPr>
          <w:spacing w:val="-4"/>
          <w:sz w:val="20"/>
        </w:rPr>
        <w:t> </w:t>
      </w:r>
      <w:r>
        <w:rPr>
          <w:sz w:val="20"/>
        </w:rPr>
        <w:t>office.</w:t>
      </w:r>
    </w:p>
    <w:p>
      <w:pPr>
        <w:pStyle w:val="ListParagraph"/>
        <w:numPr>
          <w:ilvl w:val="2"/>
          <w:numId w:val="3"/>
        </w:numPr>
        <w:tabs>
          <w:tab w:pos="1532" w:val="left" w:leader="none"/>
          <w:tab w:pos="1533" w:val="left" w:leader="none"/>
        </w:tabs>
        <w:spacing w:line="240" w:lineRule="auto" w:before="80" w:after="0"/>
        <w:ind w:left="1533" w:right="313" w:hanging="360"/>
        <w:jc w:val="left"/>
        <w:rPr>
          <w:sz w:val="20"/>
        </w:rPr>
      </w:pPr>
      <w:r>
        <w:rPr>
          <w:sz w:val="20"/>
        </w:rPr>
        <w:t>Students who experienced sexual assault were affected in a number of ways; rape incidents were considered to be much more upsetting to the student than sexual battery incidents and led to more problems in various areas of their</w:t>
      </w:r>
      <w:r>
        <w:rPr>
          <w:spacing w:val="-14"/>
          <w:sz w:val="20"/>
        </w:rPr>
        <w:t> </w:t>
      </w:r>
      <w:r>
        <w:rPr>
          <w:sz w:val="20"/>
        </w:rPr>
        <w:t>lives.</w:t>
      </w:r>
    </w:p>
    <w:p>
      <w:pPr>
        <w:pStyle w:val="ListParagraph"/>
        <w:numPr>
          <w:ilvl w:val="1"/>
          <w:numId w:val="3"/>
        </w:numPr>
        <w:tabs>
          <w:tab w:pos="1172" w:val="left" w:leader="none"/>
          <w:tab w:pos="1173" w:val="left" w:leader="none"/>
        </w:tabs>
        <w:spacing w:line="240" w:lineRule="auto" w:before="78" w:after="0"/>
        <w:ind w:left="1173" w:right="229" w:hanging="360"/>
        <w:jc w:val="left"/>
        <w:rPr>
          <w:sz w:val="20"/>
        </w:rPr>
      </w:pPr>
      <w:r>
        <w:rPr>
          <w:sz w:val="20"/>
        </w:rPr>
        <w:t>When considering longer-term experiences, about a quarter (24.8%) of undergraduate cisgender women had experienced sexual assault since enrolling at MSU. This estimate was 5.5% for undergraduate cisgender men, 25.3% for transgender and/or nonbinary undergraduates, 7.3% for cisgender women graduate/professional students, 1.6% for men graduate or professional students, and 18.6% for transgender and/or nonbinary graduate/professional students. These last two estimates are, however, not</w:t>
      </w:r>
      <w:r>
        <w:rPr>
          <w:spacing w:val="-30"/>
          <w:sz w:val="20"/>
        </w:rPr>
        <w:t> </w:t>
      </w:r>
      <w:r>
        <w:rPr>
          <w:sz w:val="20"/>
        </w:rPr>
        <w:t>considered</w:t>
      </w:r>
    </w:p>
    <w:p>
      <w:pPr>
        <w:pStyle w:val="BodyText"/>
      </w:pPr>
    </w:p>
    <w:p>
      <w:pPr>
        <w:pStyle w:val="BodyText"/>
        <w:spacing w:before="4"/>
        <w:rPr>
          <w:sz w:val="14"/>
        </w:rPr>
      </w:pPr>
      <w:r>
        <w:rPr/>
        <w:pict>
          <v:shape style="position:absolute;margin-left:72pt;margin-top:10.435351pt;width:144pt;height:.1pt;mso-position-horizontal-relative:page;mso-position-vertical-relative:paragraph;z-index:-251652096;mso-wrap-distance-left:0;mso-wrap-distance-right:0" coordorigin="1440,209" coordsize="2880,0" path="m1440,209l4320,209e" filled="false" stroked="true" strokeweight=".4pt" strokecolor="#000000">
            <v:path arrowok="t"/>
            <v:stroke dashstyle="solid"/>
            <w10:wrap type="topAndBottom"/>
          </v:shape>
        </w:pict>
      </w:r>
    </w:p>
    <w:p>
      <w:pPr>
        <w:spacing w:line="240" w:lineRule="auto" w:before="54"/>
        <w:ind w:left="392" w:right="173" w:hanging="273"/>
        <w:jc w:val="left"/>
        <w:rPr>
          <w:sz w:val="18"/>
        </w:rPr>
      </w:pPr>
      <w:r>
        <w:rPr>
          <w:position w:val="5"/>
          <w:sz w:val="12"/>
        </w:rPr>
        <w:t>2 </w:t>
      </w:r>
      <w:r>
        <w:rPr>
          <w:sz w:val="18"/>
        </w:rPr>
        <w:t>Sexual harassment included a number of behaviors pertaining to sexual remarks; continued sexual advances; sharing of sexual photos or videos; use of offensive, gender-based language; or someone in a position of authority promising better treatment (or threatening worse treatment) associated with sexual contact. See Table 5 for a detailed description of how sexual harassment was measured in the survey.</w:t>
      </w:r>
    </w:p>
    <w:p>
      <w:pPr>
        <w:spacing w:before="0"/>
        <w:ind w:left="391" w:right="253" w:hanging="272"/>
        <w:jc w:val="left"/>
        <w:rPr>
          <w:sz w:val="18"/>
        </w:rPr>
      </w:pPr>
      <w:r>
        <w:rPr>
          <w:position w:val="5"/>
          <w:sz w:val="12"/>
        </w:rPr>
        <w:t>3 </w:t>
      </w:r>
      <w:r>
        <w:rPr>
          <w:sz w:val="18"/>
        </w:rPr>
        <w:t>Throughout this report, all results for students, faculty, and staff are shown according to self-reported gender identity.</w:t>
      </w:r>
    </w:p>
    <w:p>
      <w:pPr>
        <w:spacing w:before="0"/>
        <w:ind w:left="391" w:right="0" w:hanging="272"/>
        <w:jc w:val="left"/>
        <w:rPr>
          <w:sz w:val="18"/>
        </w:rPr>
      </w:pPr>
      <w:r>
        <w:rPr>
          <w:position w:val="5"/>
          <w:sz w:val="12"/>
        </w:rPr>
        <w:t>4 </w:t>
      </w:r>
      <w:r>
        <w:rPr>
          <w:sz w:val="18"/>
        </w:rPr>
        <w:t>Sexual assault was defined as sexual contact that the person did not consent to and did not want to happen. See Table 5 for a detailed description of how sexual assault was measured in the survey.</w:t>
      </w:r>
    </w:p>
    <w:p>
      <w:pPr>
        <w:spacing w:after="0"/>
        <w:jc w:val="left"/>
        <w:rPr>
          <w:sz w:val="18"/>
        </w:rPr>
        <w:sectPr>
          <w:pgSz w:w="12240" w:h="15840"/>
          <w:pgMar w:header="0" w:footer="592" w:top="1020" w:bottom="780" w:left="1320" w:right="1320"/>
        </w:sectPr>
      </w:pPr>
    </w:p>
    <w:p>
      <w:pPr>
        <w:pStyle w:val="BodyText"/>
        <w:spacing w:before="83"/>
        <w:ind w:left="1200" w:right="242"/>
      </w:pPr>
      <w:r>
        <w:rPr/>
        <w:t>reliable statistically. The lifetime sexual assault rate was 38.6% for undergraduate cisgender women and 39.8% for cisgender women graduate/professional students.</w:t>
      </w:r>
    </w:p>
    <w:p>
      <w:pPr>
        <w:pStyle w:val="ListParagraph"/>
        <w:numPr>
          <w:ilvl w:val="1"/>
          <w:numId w:val="3"/>
        </w:numPr>
        <w:tabs>
          <w:tab w:pos="1199" w:val="left" w:leader="none"/>
          <w:tab w:pos="1200" w:val="left" w:leader="none"/>
        </w:tabs>
        <w:spacing w:line="240" w:lineRule="auto" w:before="80" w:after="0"/>
        <w:ind w:left="1200" w:right="125" w:hanging="360"/>
        <w:jc w:val="left"/>
        <w:rPr>
          <w:sz w:val="20"/>
        </w:rPr>
      </w:pPr>
      <w:r>
        <w:rPr>
          <w:sz w:val="20"/>
        </w:rPr>
        <w:t>Detailed estimates were developed for numerous subgroups of students. The most consistent findings were that students with a diagnosed or documented disability and students who were bisexual, pansexual, queer, or another combination of orientations tended to have the highest likelihood of experiencing various forms of victimization. There were no other clear patterns of association between various types of victimization and other student characteristics (e.g., race/ethnicity).</w:t>
      </w:r>
    </w:p>
    <w:p>
      <w:pPr>
        <w:pStyle w:val="Heading5"/>
        <w:tabs>
          <w:tab w:pos="1559" w:val="left" w:leader="none"/>
        </w:tabs>
        <w:spacing w:before="80"/>
        <w:ind w:left="120" w:firstLine="0"/>
      </w:pPr>
      <w:r>
        <w:rPr/>
        <w:pict>
          <v:group style="position:absolute;margin-left:73.199997pt;margin-top:18.579859pt;width:463.6pt;height:184.8pt;mso-position-horizontal-relative:page;mso-position-vertical-relative:paragraph;z-index:-251651072;mso-wrap-distance-left:0;mso-wrap-distance-right:0" coordorigin="1464,372" coordsize="9272,3696">
            <v:line style="position:absolute" from="1472,376" to="10728,376" stroked="true" strokeweight=".4pt" strokecolor="#a4a4a4">
              <v:stroke dashstyle="solid"/>
            </v:line>
            <v:line style="position:absolute" from="1472,4064" to="10728,4064" stroked="true" strokeweight=".401pt" strokecolor="#a4a4a4">
              <v:stroke dashstyle="solid"/>
            </v:line>
            <v:line style="position:absolute" from="1468,372" to="1468,4068" stroked="true" strokeweight=".4pt" strokecolor="#a4a4a4">
              <v:stroke dashstyle="solid"/>
            </v:line>
            <v:line style="position:absolute" from="10732,372" to="10732,4068" stroked="true" strokeweight=".4pt" strokecolor="#a4a4a4">
              <v:stroke dashstyle="solid"/>
            </v:line>
            <v:shape style="position:absolute;left:1669;top:459;width:8909;height:3519" type="#_x0000_t75" alt="See Notes for information on an accessible version of this figure.  " stroked="false">
              <v:imagedata r:id="rId18" o:title=""/>
            </v:shape>
            <w10:wrap type="topAndBottom"/>
          </v:group>
        </w:pict>
      </w:r>
      <w:r>
        <w:rPr/>
        <w:t>Figure ES-1.</w:t>
        <w:tab/>
        <w:t>Victimization</w:t>
      </w:r>
      <w:r>
        <w:rPr>
          <w:spacing w:val="2"/>
        </w:rPr>
        <w:t> </w:t>
      </w:r>
      <w:r>
        <w:rPr/>
        <w:t>Prevalence</w:t>
      </w:r>
    </w:p>
    <w:p>
      <w:pPr>
        <w:spacing w:before="26"/>
        <w:ind w:left="308" w:right="436"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19">
        <w:r>
          <w:rPr>
            <w:color w:val="1F419A"/>
            <w:sz w:val="18"/>
            <w:u w:val="single" w:color="1F419A"/>
          </w:rPr>
          <w:t>Appendix Tables D-1a</w:t>
        </w:r>
        <w:r>
          <w:rPr>
            <w:color w:val="1F419A"/>
            <w:sz w:val="18"/>
          </w:rPr>
          <w:t> </w:t>
        </w:r>
      </w:hyperlink>
      <w:r>
        <w:rPr>
          <w:sz w:val="18"/>
        </w:rPr>
        <w:t>and </w:t>
      </w:r>
      <w:hyperlink r:id="rId20">
        <w:r>
          <w:rPr>
            <w:color w:val="1F419A"/>
            <w:sz w:val="18"/>
            <w:u w:val="single" w:color="1F419A"/>
          </w:rPr>
          <w:t>D-1b</w:t>
        </w:r>
      </w:hyperlink>
      <w:r>
        <w:rPr>
          <w:sz w:val="18"/>
        </w:rPr>
        <w:t>.</w:t>
      </w:r>
    </w:p>
    <w:p>
      <w:pPr>
        <w:pStyle w:val="BodyText"/>
      </w:pPr>
    </w:p>
    <w:p>
      <w:pPr>
        <w:pStyle w:val="Heading1"/>
        <w:spacing w:before="171"/>
        <w:ind w:left="1387" w:right="938" w:hanging="1268"/>
        <w:jc w:val="both"/>
      </w:pPr>
      <w:r>
        <w:rPr>
          <w:color w:val="1F419A"/>
        </w:rPr>
        <w:t>ES.2 Faculty’s and Staff’s Experiences with Workplace Incivility and Work-Related Sexual Harassment</w:t>
      </w:r>
    </w:p>
    <w:p>
      <w:pPr>
        <w:pStyle w:val="BodyText"/>
        <w:spacing w:before="307"/>
        <w:ind w:left="840"/>
      </w:pPr>
      <w:r>
        <w:rPr/>
        <w:t>Key findings pertaining to faculty and staff experiences included the following:</w:t>
      </w:r>
    </w:p>
    <w:p>
      <w:pPr>
        <w:pStyle w:val="ListParagraph"/>
        <w:numPr>
          <w:ilvl w:val="1"/>
          <w:numId w:val="3"/>
        </w:numPr>
        <w:tabs>
          <w:tab w:pos="1199" w:val="left" w:leader="none"/>
          <w:tab w:pos="1200" w:val="left" w:leader="none"/>
        </w:tabs>
        <w:spacing w:line="240" w:lineRule="auto" w:before="182" w:after="0"/>
        <w:ind w:left="1200" w:right="138" w:hanging="360"/>
        <w:jc w:val="left"/>
        <w:rPr>
          <w:sz w:val="20"/>
        </w:rPr>
      </w:pPr>
      <w:r>
        <w:rPr>
          <w:sz w:val="20"/>
        </w:rPr>
        <w:t>The majority of faculty and staff (of all gender identities) experienced at least some workplace incivility. The most common types were that a supervisor or coworker paid little attention to their statements or showed little interest in their opinions, doubted their judgment on a matter for which they were responsible, or interrupted or spoke over</w:t>
      </w:r>
      <w:r>
        <w:rPr>
          <w:spacing w:val="-9"/>
          <w:sz w:val="20"/>
        </w:rPr>
        <w:t> </w:t>
      </w:r>
      <w:r>
        <w:rPr>
          <w:sz w:val="20"/>
        </w:rPr>
        <w:t>them.</w:t>
      </w:r>
    </w:p>
    <w:p>
      <w:pPr>
        <w:pStyle w:val="ListParagraph"/>
        <w:numPr>
          <w:ilvl w:val="2"/>
          <w:numId w:val="3"/>
        </w:numPr>
        <w:tabs>
          <w:tab w:pos="1559" w:val="left" w:leader="none"/>
          <w:tab w:pos="1560" w:val="left" w:leader="none"/>
        </w:tabs>
        <w:spacing w:line="240" w:lineRule="auto" w:before="80" w:after="0"/>
        <w:ind w:left="1560" w:right="138" w:hanging="360"/>
        <w:jc w:val="left"/>
        <w:rPr>
          <w:sz w:val="20"/>
        </w:rPr>
      </w:pPr>
      <w:r>
        <w:rPr>
          <w:sz w:val="20"/>
        </w:rPr>
        <w:t>Cisgender women and transgender and/or nonbinary faculty and staff experienced more workplace incivility than cisgender men, younger faculty and staff experienced more workplace incivility than their older counterparts, and faculty and staff with a diagnosed or documented disability experienced more workplace incivility than those without a disability. Among cisgender women faculty, those who identified as lesbian, bisexual, pansexual, or queer; white, multiracial,</w:t>
      </w:r>
      <w:r>
        <w:rPr>
          <w:position w:val="7"/>
          <w:sz w:val="13"/>
        </w:rPr>
        <w:t>5 </w:t>
      </w:r>
      <w:r>
        <w:rPr>
          <w:sz w:val="20"/>
        </w:rPr>
        <w:t>or Hispanic; or as being in the associate professor role were more likely to experience workplace incivility. There were no other clear patterns of association between various types of victimization and other faculty/staff characteristics (e.g.,</w:t>
      </w:r>
      <w:r>
        <w:rPr>
          <w:spacing w:val="-1"/>
          <w:sz w:val="20"/>
        </w:rPr>
        <w:t> </w:t>
      </w:r>
      <w:r>
        <w:rPr>
          <w:sz w:val="20"/>
        </w:rPr>
        <w:t>race/ethnicity).</w:t>
      </w:r>
    </w:p>
    <w:p>
      <w:pPr>
        <w:pStyle w:val="BodyText"/>
      </w:pPr>
    </w:p>
    <w:p>
      <w:pPr>
        <w:pStyle w:val="BodyText"/>
        <w:spacing w:before="8"/>
        <w:rPr>
          <w:sz w:val="22"/>
        </w:rPr>
      </w:pPr>
      <w:r>
        <w:rPr/>
        <w:pict>
          <v:shape style="position:absolute;margin-left:72pt;margin-top:15.20708pt;width:144pt;height:.1pt;mso-position-horizontal-relative:page;mso-position-vertical-relative:paragraph;z-index:-251650048;mso-wrap-distance-left:0;mso-wrap-distance-right:0" coordorigin="1440,304" coordsize="2880,0" path="m1440,304l4320,304e" filled="false" stroked="true" strokeweight=".4pt" strokecolor="#000000">
            <v:path arrowok="t"/>
            <v:stroke dashstyle="solid"/>
            <w10:wrap type="topAndBottom"/>
          </v:shape>
        </w:pict>
      </w:r>
    </w:p>
    <w:p>
      <w:pPr>
        <w:spacing w:before="54"/>
        <w:ind w:left="392" w:right="0" w:hanging="273"/>
        <w:jc w:val="left"/>
        <w:rPr>
          <w:sz w:val="18"/>
        </w:rPr>
      </w:pPr>
      <w:r>
        <w:rPr>
          <w:position w:val="5"/>
          <w:sz w:val="12"/>
        </w:rPr>
        <w:t>5 </w:t>
      </w:r>
      <w:r>
        <w:rPr>
          <w:sz w:val="18"/>
        </w:rPr>
        <w:t>Among faculty who selected more than one race, the most common pattern was American Indian/Alaska Native and White. Among staff, it was Black and White, Asian and White, and American Indian/Alaska Native and White.</w:t>
      </w:r>
    </w:p>
    <w:p>
      <w:pPr>
        <w:spacing w:after="0"/>
        <w:jc w:val="left"/>
        <w:rPr>
          <w:sz w:val="18"/>
        </w:rPr>
        <w:sectPr>
          <w:pgSz w:w="12240" w:h="15840"/>
          <w:pgMar w:header="0" w:footer="592" w:top="1020" w:bottom="780" w:left="1320" w:right="1320"/>
        </w:sectPr>
      </w:pPr>
    </w:p>
    <w:p>
      <w:pPr>
        <w:pStyle w:val="ListParagraph"/>
        <w:numPr>
          <w:ilvl w:val="1"/>
          <w:numId w:val="3"/>
        </w:numPr>
        <w:tabs>
          <w:tab w:pos="1199" w:val="left" w:leader="none"/>
          <w:tab w:pos="1200" w:val="left" w:leader="none"/>
        </w:tabs>
        <w:spacing w:line="240" w:lineRule="auto" w:before="83" w:after="0"/>
        <w:ind w:left="1199" w:right="147" w:hanging="360"/>
        <w:jc w:val="left"/>
        <w:rPr>
          <w:sz w:val="20"/>
        </w:rPr>
      </w:pPr>
      <w:r>
        <w:rPr>
          <w:sz w:val="20"/>
        </w:rPr>
        <w:t>The prevalence of work-related sexual harassment was 12.3% for cisgender women faculty, 3.8% for cisgender men faculty, 9.2% for cisgender women staff, 8.7% for cisgender men staff, and 21.5% for transgender and/or nonbinary faculty/staff (Figure ES-2). The most common types of sexual harassment were someone referring to people of one’s gender in insulting or offensive terms; someone making inappropriate or offensive comments about </w:t>
      </w:r>
      <w:r>
        <w:rPr>
          <w:spacing w:val="-3"/>
          <w:sz w:val="20"/>
        </w:rPr>
        <w:t>the </w:t>
      </w:r>
      <w:r>
        <w:rPr>
          <w:sz w:val="20"/>
        </w:rPr>
        <w:t>person’s or someone else’s body, appearance, or sexual activities; and someone making sexual remarks or telling jokes or stories that were insulting to the person. No faculty or staff indicated they experienced “quid pro quo” harassment, such as someone </w:t>
      </w:r>
      <w:r>
        <w:rPr>
          <w:spacing w:val="-3"/>
          <w:sz w:val="20"/>
        </w:rPr>
        <w:t>in </w:t>
      </w:r>
      <w:r>
        <w:rPr>
          <w:sz w:val="20"/>
        </w:rPr>
        <w:t>a position of authority promising them better treatment or implying favors if they engaged in sexual contact (or implying/threatening worse treatment if they refused it).</w:t>
      </w:r>
    </w:p>
    <w:p>
      <w:pPr>
        <w:pStyle w:val="ListParagraph"/>
        <w:numPr>
          <w:ilvl w:val="2"/>
          <w:numId w:val="3"/>
        </w:numPr>
        <w:tabs>
          <w:tab w:pos="1559" w:val="left" w:leader="none"/>
          <w:tab w:pos="1560" w:val="left" w:leader="none"/>
        </w:tabs>
        <w:spacing w:line="240" w:lineRule="auto" w:before="80" w:after="0"/>
        <w:ind w:left="1559" w:right="130" w:hanging="360"/>
        <w:jc w:val="left"/>
        <w:rPr>
          <w:sz w:val="20"/>
        </w:rPr>
      </w:pPr>
      <w:r>
        <w:rPr>
          <w:sz w:val="20"/>
        </w:rPr>
        <w:t>Substantial proportions of faculty and staff (particularly cisgender women faculty) indicated that the experience affected them negatively. Survey participants indicated that their sexual harassment experiences interfered with their ability to do their job or created an intimidating, uncomfortable, or offensive work environment; damaged their relationships with coworkers, supervisors, students, or others they were in contact with for their job at MSU; affected their emotional well-being in a negative way (e.g., increased stress, fear, anxiety, or depression); or hindered their ability to complete their work or do their jobs.</w:t>
      </w:r>
    </w:p>
    <w:p>
      <w:pPr>
        <w:pStyle w:val="ListParagraph"/>
        <w:numPr>
          <w:ilvl w:val="2"/>
          <w:numId w:val="3"/>
        </w:numPr>
        <w:tabs>
          <w:tab w:pos="1560" w:val="left" w:leader="none"/>
        </w:tabs>
        <w:spacing w:line="240" w:lineRule="auto" w:before="81" w:after="0"/>
        <w:ind w:left="1560" w:right="430" w:hanging="360"/>
        <w:jc w:val="both"/>
        <w:rPr>
          <w:sz w:val="20"/>
        </w:rPr>
      </w:pPr>
      <w:r>
        <w:rPr>
          <w:sz w:val="20"/>
        </w:rPr>
        <w:t>When faculty experienced sexual harassment, the perpetrator was most commonly an MSU professor, instructor, or postdoctoral scholar. For staff, the perpetrator was most commonly an MSU staff member or</w:t>
      </w:r>
      <w:r>
        <w:rPr>
          <w:spacing w:val="-3"/>
          <w:sz w:val="20"/>
        </w:rPr>
        <w:t> </w:t>
      </w:r>
      <w:r>
        <w:rPr>
          <w:sz w:val="20"/>
        </w:rPr>
        <w:t>administrator.</w:t>
      </w:r>
    </w:p>
    <w:p>
      <w:pPr>
        <w:pStyle w:val="ListParagraph"/>
        <w:numPr>
          <w:ilvl w:val="2"/>
          <w:numId w:val="3"/>
        </w:numPr>
        <w:tabs>
          <w:tab w:pos="1560" w:val="left" w:leader="none"/>
        </w:tabs>
        <w:spacing w:line="242" w:lineRule="auto" w:before="78" w:after="0"/>
        <w:ind w:left="1560" w:right="238" w:hanging="360"/>
        <w:jc w:val="both"/>
        <w:rPr>
          <w:sz w:val="20"/>
        </w:rPr>
      </w:pPr>
      <w:r>
        <w:rPr>
          <w:sz w:val="20"/>
        </w:rPr>
        <w:t>Disclosure of work-related sexual harassment was less common for cisgender men than cisgender women.</w:t>
      </w:r>
    </w:p>
    <w:p>
      <w:pPr>
        <w:pStyle w:val="Heading5"/>
        <w:spacing w:line="242" w:lineRule="auto" w:before="75"/>
        <w:ind w:left="1200" w:right="1021"/>
        <w:jc w:val="both"/>
      </w:pPr>
      <w:r>
        <w:rPr/>
        <w:pict>
          <v:group style="position:absolute;margin-left:73.199997pt;margin-top:29.929895pt;width:463.6pt;height:287.8pt;mso-position-horizontal-relative:page;mso-position-vertical-relative:paragraph;z-index:-251649024;mso-wrap-distance-left:0;mso-wrap-distance-right:0" coordorigin="1464,599" coordsize="9272,5756">
            <v:line style="position:absolute" from="1472,603" to="10728,603" stroked="true" strokeweight=".4pt" strokecolor="#a4a4a4">
              <v:stroke dashstyle="solid"/>
            </v:line>
            <v:line style="position:absolute" from="1472,6351" to="10728,6351" stroked="true" strokeweight=".4pt" strokecolor="#a4a4a4">
              <v:stroke dashstyle="solid"/>
            </v:line>
            <v:line style="position:absolute" from="1468,599" to="1468,6355" stroked="true" strokeweight=".4pt" strokecolor="#a4a4a4">
              <v:stroke dashstyle="solid"/>
            </v:line>
            <v:line style="position:absolute" from="10732,599" to="10732,6355" stroked="true" strokeweight=".4pt" strokecolor="#a4a4a4">
              <v:stroke dashstyle="solid"/>
            </v:line>
            <v:shape style="position:absolute;left:2314;top:686;width:7693;height:5572" type="#_x0000_t75" alt="See Notes for information on an accessible version of this figure.  " stroked="false">
              <v:imagedata r:id="rId21" o:title=""/>
            </v:shape>
            <w10:wrap type="topAndBottom"/>
          </v:group>
        </w:pict>
      </w:r>
      <w:r>
        <w:rPr/>
        <w:t>Figure ES-2. Prevalence of Work-Related Sexual Harassment Among Faculty and Staff, 2021–2022</w:t>
      </w:r>
    </w:p>
    <w:p>
      <w:pPr>
        <w:spacing w:before="26"/>
        <w:ind w:left="307" w:right="106" w:hanging="188"/>
        <w:jc w:val="left"/>
        <w:rPr>
          <w:sz w:val="18"/>
        </w:rPr>
      </w:pPr>
      <w:r>
        <w:rPr>
          <w:sz w:val="18"/>
        </w:rPr>
        <w:t>Notes: Percentages are of faculty and staff. ! Estimate is considered not statistically reliable because it is either based on fewer than 10 people or has a relative standard error greater than 30%. All statistically unreliable percentages in this figure were &lt;1 and thus too small to be displayed. For an accessible version of the information shown in this figure, see </w:t>
      </w:r>
      <w:hyperlink r:id="rId22">
        <w:r>
          <w:rPr>
            <w:color w:val="1F419A"/>
            <w:sz w:val="18"/>
            <w:u w:val="single" w:color="1F419A"/>
          </w:rPr>
          <w:t>Appendix Table E-4</w:t>
        </w:r>
      </w:hyperlink>
      <w:r>
        <w:rPr>
          <w:sz w:val="18"/>
        </w:rPr>
        <w:t>.</w:t>
      </w:r>
    </w:p>
    <w:p>
      <w:pPr>
        <w:spacing w:after="0"/>
        <w:jc w:val="left"/>
        <w:rPr>
          <w:sz w:val="18"/>
        </w:rPr>
        <w:sectPr>
          <w:pgSz w:w="12240" w:h="15840"/>
          <w:pgMar w:header="0" w:footer="592" w:top="1020" w:bottom="780" w:left="1320" w:right="1320"/>
        </w:sectPr>
      </w:pPr>
    </w:p>
    <w:p>
      <w:pPr>
        <w:pStyle w:val="Heading1"/>
        <w:tabs>
          <w:tab w:pos="1387" w:val="left" w:leader="none"/>
        </w:tabs>
        <w:ind w:left="1388" w:right="337" w:hanging="1268"/>
      </w:pPr>
      <w:r>
        <w:rPr>
          <w:color w:val="1F419A"/>
        </w:rPr>
        <w:t>ES.3</w:t>
        <w:tab/>
        <w:t>Perceptions of Climate and Awareness of Resources</w:t>
      </w:r>
    </w:p>
    <w:p>
      <w:pPr>
        <w:pStyle w:val="BodyText"/>
        <w:spacing w:before="307"/>
        <w:ind w:left="840"/>
      </w:pPr>
      <w:r>
        <w:rPr/>
        <w:t>Key findings related to campus climate included the following.</w:t>
      </w:r>
    </w:p>
    <w:p>
      <w:pPr>
        <w:pStyle w:val="ListParagraph"/>
        <w:numPr>
          <w:ilvl w:val="1"/>
          <w:numId w:val="3"/>
        </w:numPr>
        <w:tabs>
          <w:tab w:pos="1199" w:val="left" w:leader="none"/>
          <w:tab w:pos="1200" w:val="left" w:leader="none"/>
        </w:tabs>
        <w:spacing w:line="240" w:lineRule="auto" w:before="182" w:after="0"/>
        <w:ind w:left="1199" w:right="403" w:hanging="360"/>
        <w:jc w:val="left"/>
        <w:rPr>
          <w:sz w:val="20"/>
        </w:rPr>
      </w:pPr>
      <w:r>
        <w:rPr>
          <w:sz w:val="20"/>
        </w:rPr>
        <w:t>Across the dimensions of climate explored in the study (Figure ES-3), undergraduate cisgender men, cisgender faculty men, and cisgender staff men provided the most positive perceptions of climate, whereas transgender and/or nonbinary undergraduate students, transgender and/or nonbinary graduate/professional students, and transgender and/or nonbinary faculty/staff had the most negative perceptions of climate. Cisgender women’s perceptions of climate were between those of cisgender men and transgender and/or nonbinary</w:t>
      </w:r>
      <w:r>
        <w:rPr>
          <w:spacing w:val="-5"/>
          <w:sz w:val="20"/>
        </w:rPr>
        <w:t> </w:t>
      </w:r>
      <w:r>
        <w:rPr>
          <w:sz w:val="20"/>
        </w:rPr>
        <w:t>respondents.</w:t>
      </w:r>
    </w:p>
    <w:p>
      <w:pPr>
        <w:pStyle w:val="ListParagraph"/>
        <w:numPr>
          <w:ilvl w:val="1"/>
          <w:numId w:val="3"/>
        </w:numPr>
        <w:tabs>
          <w:tab w:pos="1199" w:val="left" w:leader="none"/>
          <w:tab w:pos="1200" w:val="left" w:leader="none"/>
        </w:tabs>
        <w:spacing w:line="240" w:lineRule="auto" w:before="78" w:after="0"/>
        <w:ind w:left="1200" w:right="159" w:hanging="360"/>
        <w:jc w:val="left"/>
        <w:rPr>
          <w:sz w:val="20"/>
        </w:rPr>
      </w:pPr>
      <w:r>
        <w:rPr>
          <w:sz w:val="20"/>
        </w:rPr>
        <w:t>Overall, the most positive dimensions of climate were survey participants’ perceptions of school leadership climate for sexual misconduct, perceptions of the school leadership climate for relationship violence, connectedness to MSU, and awareness of school sexual assault policy and resources. The most negative dimensions of climate were related to general perceptions of the highest administrative leadership and other administration at the</w:t>
      </w:r>
      <w:r>
        <w:rPr>
          <w:spacing w:val="-29"/>
          <w:sz w:val="20"/>
        </w:rPr>
        <w:t> </w:t>
      </w:r>
      <w:r>
        <w:rPr>
          <w:sz w:val="20"/>
        </w:rPr>
        <w:t>school.</w:t>
      </w:r>
    </w:p>
    <w:p>
      <w:pPr>
        <w:pStyle w:val="ListParagraph"/>
        <w:numPr>
          <w:ilvl w:val="1"/>
          <w:numId w:val="3"/>
        </w:numPr>
        <w:tabs>
          <w:tab w:pos="1199" w:val="left" w:leader="none"/>
          <w:tab w:pos="1200" w:val="left" w:leader="none"/>
        </w:tabs>
        <w:spacing w:line="240" w:lineRule="auto" w:before="82" w:after="0"/>
        <w:ind w:left="1200" w:right="226" w:hanging="360"/>
        <w:jc w:val="left"/>
        <w:rPr>
          <w:sz w:val="20"/>
        </w:rPr>
      </w:pPr>
      <w:r>
        <w:rPr>
          <w:sz w:val="20"/>
        </w:rPr>
        <w:t>Awareness of MSU-specific resources and programs related to RVSM was fairly high, and the majority of undergraduate students, graduate/professional students, and faculty and staff indicated that they had received training on a number of specific topics (e.g., the legal definitions of sexual assault, obtaining consent). Survey participants perceived online trainings as less helpful than the in-person trainings in which they</w:t>
      </w:r>
      <w:r>
        <w:rPr>
          <w:spacing w:val="-11"/>
          <w:sz w:val="20"/>
        </w:rPr>
        <w:t> </w:t>
      </w:r>
      <w:r>
        <w:rPr>
          <w:sz w:val="20"/>
        </w:rPr>
        <w:t>participated.</w:t>
      </w:r>
    </w:p>
    <w:p>
      <w:pPr>
        <w:spacing w:after="0" w:line="240" w:lineRule="auto"/>
        <w:jc w:val="left"/>
        <w:rPr>
          <w:sz w:val="20"/>
        </w:rPr>
        <w:sectPr>
          <w:pgSz w:w="12240" w:h="15840"/>
          <w:pgMar w:header="0" w:footer="592" w:top="1020" w:bottom="780" w:left="1320" w:right="1320"/>
        </w:sectPr>
      </w:pPr>
    </w:p>
    <w:p>
      <w:pPr>
        <w:pStyle w:val="Heading5"/>
        <w:tabs>
          <w:tab w:pos="1559" w:val="left" w:leader="none"/>
        </w:tabs>
        <w:spacing w:before="83"/>
        <w:ind w:left="120" w:firstLine="0"/>
      </w:pPr>
      <w:r>
        <w:rPr/>
        <w:pict>
          <v:group style="position:absolute;margin-left:73.199997pt;margin-top:18.728859pt;width:463.6pt;height:397.85pt;mso-position-horizontal-relative:page;mso-position-vertical-relative:paragraph;z-index:-251648000;mso-wrap-distance-left:0;mso-wrap-distance-right:0" coordorigin="1464,375" coordsize="9272,7957">
            <v:rect style="position:absolute;left:1464;top:374;width:8;height:9" filled="true" fillcolor="#a4a4a4" stroked="false">
              <v:fill type="solid"/>
            </v:rect>
            <v:rect style="position:absolute;left:1464;top:374;width:8;height:9" filled="true" fillcolor="#a4a4a4" stroked="false">
              <v:fill type="solid"/>
            </v:rect>
            <v:line style="position:absolute" from="1472,379" to="10728,379" stroked="true" strokeweight=".401pt" strokecolor="#a4a4a4">
              <v:stroke dashstyle="solid"/>
            </v:line>
            <v:rect style="position:absolute;left:10728;top:374;width:8;height:9" filled="true" fillcolor="#a4a4a4" stroked="false">
              <v:fill type="solid"/>
            </v:rect>
            <v:rect style="position:absolute;left:10728;top:374;width:8;height:9" filled="true" fillcolor="#a4a4a4" stroked="false">
              <v:fill type="solid"/>
            </v:rect>
            <v:rect style="position:absolute;left:1464;top:8322;width:8;height:8" filled="true" fillcolor="#a4a4a4" stroked="false">
              <v:fill type="solid"/>
            </v:rect>
            <v:rect style="position:absolute;left:1464;top:8322;width:8;height:8" filled="true" fillcolor="#a4a4a4" stroked="false">
              <v:fill type="solid"/>
            </v:rect>
            <v:line style="position:absolute" from="1472,8327" to="10728,8327" stroked="true" strokeweight=".4pt" strokecolor="#a4a4a4">
              <v:stroke dashstyle="solid"/>
            </v:line>
            <v:rect style="position:absolute;left:10728;top:8322;width:8;height:8" filled="true" fillcolor="#a4a4a4" stroked="false">
              <v:fill type="solid"/>
            </v:rect>
            <v:rect style="position:absolute;left:10728;top:8322;width:8;height:8" filled="true" fillcolor="#a4a4a4" stroked="false">
              <v:fill type="solid"/>
            </v:rect>
            <v:shape style="position:absolute;left:1464;top:382;width:9272;height:7940" type="#_x0000_t75" stroked="false">
              <v:imagedata r:id="rId23" o:title=""/>
            </v:shape>
            <w10:wrap type="topAndBottom"/>
          </v:group>
        </w:pict>
      </w:r>
      <w:r>
        <w:rPr/>
        <w:t>Figure ES-3.</w:t>
        <w:tab/>
        <w:t>Campus Climate (Standardized Scale Scores), by</w:t>
      </w:r>
      <w:r>
        <w:rPr>
          <w:spacing w:val="-5"/>
        </w:rPr>
        <w:t> </w:t>
      </w:r>
      <w:r>
        <w:rPr/>
        <w:t>Population</w:t>
      </w:r>
    </w:p>
    <w:p>
      <w:pPr>
        <w:spacing w:before="30"/>
        <w:ind w:left="308" w:right="161" w:hanging="188"/>
        <w:jc w:val="left"/>
        <w:rPr>
          <w:sz w:val="18"/>
        </w:rPr>
      </w:pPr>
      <w:r>
        <w:rPr>
          <w:sz w:val="18"/>
        </w:rPr>
        <w:t>For an accessible version of the information shown in this figure, see </w:t>
      </w:r>
      <w:hyperlink r:id="rId24">
        <w:r>
          <w:rPr>
            <w:color w:val="1F419A"/>
            <w:sz w:val="18"/>
            <w:u w:val="single" w:color="1F419A"/>
          </w:rPr>
          <w:t>Appendix Tables F-8a1</w:t>
        </w:r>
        <w:r>
          <w:rPr>
            <w:color w:val="1F419A"/>
            <w:sz w:val="18"/>
          </w:rPr>
          <w:t> </w:t>
        </w:r>
      </w:hyperlink>
      <w:r>
        <w:rPr>
          <w:sz w:val="18"/>
        </w:rPr>
        <w:t>through </w:t>
      </w:r>
      <w:hyperlink r:id="rId25">
        <w:r>
          <w:rPr>
            <w:color w:val="1F419A"/>
            <w:sz w:val="18"/>
            <w:u w:val="single" w:color="1F419A"/>
          </w:rPr>
          <w:t>F-8b5</w:t>
        </w:r>
      </w:hyperlink>
      <w:r>
        <w:rPr>
          <w:sz w:val="18"/>
        </w:rPr>
        <w:t>, as well as (for “Students offer support to other students who they suspect are in an abusive relationship”) </w:t>
      </w:r>
      <w:hyperlink r:id="rId26">
        <w:r>
          <w:rPr>
            <w:color w:val="1F419A"/>
            <w:sz w:val="18"/>
            <w:u w:val="single" w:color="1F419A"/>
          </w:rPr>
          <w:t>Appendix Table</w:t>
        </w:r>
      </w:hyperlink>
      <w:r>
        <w:rPr>
          <w:color w:val="1F419A"/>
          <w:sz w:val="18"/>
          <w:u w:val="single" w:color="1F419A"/>
        </w:rPr>
        <w:t>s</w:t>
      </w:r>
      <w:r>
        <w:rPr>
          <w:color w:val="1F419A"/>
          <w:sz w:val="18"/>
        </w:rPr>
        <w:t> </w:t>
      </w:r>
      <w:hyperlink r:id="rId26">
        <w:r>
          <w:rPr>
            <w:color w:val="1F419A"/>
            <w:sz w:val="18"/>
            <w:u w:val="single" w:color="1F419A"/>
          </w:rPr>
          <w:t>F-3a1</w:t>
        </w:r>
        <w:r>
          <w:rPr>
            <w:color w:val="1F419A"/>
            <w:sz w:val="18"/>
          </w:rPr>
          <w:t> </w:t>
        </w:r>
      </w:hyperlink>
      <w:r>
        <w:rPr>
          <w:sz w:val="18"/>
        </w:rPr>
        <w:t>through </w:t>
      </w:r>
      <w:hyperlink r:id="rId27">
        <w:r>
          <w:rPr>
            <w:color w:val="1F419A"/>
            <w:sz w:val="18"/>
            <w:u w:val="single" w:color="1F419A"/>
          </w:rPr>
          <w:t>F-3a6</w:t>
        </w:r>
      </w:hyperlink>
      <w:r>
        <w:rPr>
          <w:sz w:val="18"/>
        </w:rPr>
        <w:t>.</w:t>
      </w:r>
    </w:p>
    <w:p>
      <w:pPr>
        <w:pStyle w:val="BodyText"/>
      </w:pPr>
    </w:p>
    <w:p>
      <w:pPr>
        <w:pStyle w:val="Heading1"/>
        <w:tabs>
          <w:tab w:pos="1387" w:val="left" w:leader="none"/>
        </w:tabs>
        <w:spacing w:before="175"/>
      </w:pPr>
      <w:r>
        <w:rPr>
          <w:color w:val="1F419A"/>
        </w:rPr>
        <w:t>ES.4</w:t>
        <w:tab/>
        <w:t>Change from 2019 to</w:t>
      </w:r>
      <w:r>
        <w:rPr>
          <w:color w:val="1F419A"/>
          <w:spacing w:val="-1"/>
        </w:rPr>
        <w:t> </w:t>
      </w:r>
      <w:r>
        <w:rPr>
          <w:color w:val="1F419A"/>
        </w:rPr>
        <w:t>2022</w:t>
      </w:r>
    </w:p>
    <w:p>
      <w:pPr>
        <w:pStyle w:val="BodyText"/>
        <w:spacing w:line="333" w:lineRule="auto" w:before="307"/>
        <w:ind w:left="120" w:right="390" w:firstLine="720"/>
      </w:pPr>
      <w:r>
        <w:rPr/>
        <w:t>A number of significant changes occurred from 2019 to 2022 at MSU. Both undergraduate and graduate/professional students experienced a decrease in the prevalence of multiple types of victimization. Similarly, MSU faculty and staff experienced decreases in the prevalence of workplace incivility and workplace sexual harassment. In addition, from 2019 to 2022, a number of improvements occurred in terms of the climate or culture on campus, and there were considerable increases in awareness of offices and resources charged with addressing RVSM at MSU and in the participation in related trainings. The one area in which change was not detected was in the prevalence of disclosing victimization experiences to different groups, such as roommates, friends, and family; any MSU or off- campus office/organization; an MSU office; or an off-campus organization.</w:t>
      </w:r>
    </w:p>
    <w:p>
      <w:pPr>
        <w:spacing w:after="0" w:line="333" w:lineRule="auto"/>
        <w:sectPr>
          <w:pgSz w:w="12240" w:h="15840"/>
          <w:pgMar w:header="0" w:footer="592" w:top="1020" w:bottom="780" w:left="1320" w:right="1320"/>
        </w:sectPr>
      </w:pPr>
    </w:p>
    <w:p>
      <w:pPr>
        <w:pStyle w:val="Heading1"/>
        <w:tabs>
          <w:tab w:pos="1387" w:val="left" w:leader="none"/>
        </w:tabs>
      </w:pPr>
      <w:r>
        <w:rPr>
          <w:color w:val="1F419A"/>
        </w:rPr>
        <w:t>ES.5</w:t>
        <w:tab/>
        <w:t>Conclusions</w:t>
      </w:r>
    </w:p>
    <w:p>
      <w:pPr>
        <w:pStyle w:val="BodyText"/>
        <w:spacing w:line="333" w:lineRule="auto" w:before="307"/>
        <w:ind w:left="120" w:right="155" w:firstLine="720"/>
      </w:pPr>
      <w:r>
        <w:rPr/>
        <w:t>Overall, the 2022 Know More @ MSU Campus Survey findings provided a breadth of information that the MSU community can use to continue to improve its RVSM policies, prevention programming, and services to survivors, as well as to target specific areas of the campus climate for intervention and improvement. The study also provides MSU with an opportunity to compare the 2022 results with the results from 2019, the last time the Know More @ MSU Campus Survey was administered. Together, the findings are indicative of whether and how things have changed over time and will help MSU understand student, faculty, and staff victimization experiences and the related campus culture or climate.</w:t>
      </w:r>
    </w:p>
    <w:p>
      <w:pPr>
        <w:pStyle w:val="BodyText"/>
        <w:spacing w:line="333" w:lineRule="auto" w:before="162"/>
        <w:ind w:left="120" w:right="341" w:firstLine="720"/>
      </w:pPr>
      <w:r>
        <w:rPr/>
        <w:t>The remainder of this report presents and describes the 2022 Know More @ MSU Campus Survey results. After a description of the study background and methodology, the report describes students’ victimization experiences; faculty and staff experiences with workplace incivility and work- related sexual harassment; and perceptions of campus climate among students, faculty, and staff. The comparisons between the 2019 and 2022 Know More @ MSU Campus Survey results are presented in Chapter 5.</w:t>
      </w:r>
    </w:p>
    <w:p>
      <w:pPr>
        <w:spacing w:after="0" w:line="333" w:lineRule="auto"/>
        <w:sectPr>
          <w:pgSz w:w="12240" w:h="15840"/>
          <w:pgMar w:header="0" w:footer="592" w:top="1020" w:bottom="780" w:left="1320" w:right="1320"/>
        </w:sectPr>
      </w:pPr>
    </w:p>
    <w:p>
      <w:pPr>
        <w:pStyle w:val="BodyText"/>
        <w:spacing w:before="4"/>
        <w:rPr>
          <w:sz w:val="22"/>
        </w:rPr>
      </w:pPr>
    </w:p>
    <w:p>
      <w:pPr>
        <w:pStyle w:val="Heading2"/>
        <w:numPr>
          <w:ilvl w:val="0"/>
          <w:numId w:val="4"/>
        </w:numPr>
        <w:tabs>
          <w:tab w:pos="983" w:val="left" w:leader="none"/>
          <w:tab w:pos="984" w:val="left" w:leader="none"/>
        </w:tabs>
        <w:spacing w:line="240" w:lineRule="auto" w:before="88" w:after="0"/>
        <w:ind w:left="983" w:right="0" w:hanging="864"/>
        <w:jc w:val="left"/>
      </w:pPr>
      <w:bookmarkStart w:name="_TOC_250013" w:id="6"/>
      <w:bookmarkStart w:name="1. Background" w:id="7"/>
      <w:r>
        <w:rPr>
          <w:b w:val="0"/>
        </w:rPr>
      </w:r>
      <w:bookmarkEnd w:id="7"/>
      <w:bookmarkEnd w:id="6"/>
      <w:r>
        <w:rPr>
          <w:color w:val="09357D"/>
        </w:rPr>
        <w:t>Background</w:t>
      </w:r>
    </w:p>
    <w:p>
      <w:pPr>
        <w:pStyle w:val="BodyText"/>
        <w:spacing w:line="333" w:lineRule="auto" w:before="228"/>
        <w:ind w:left="120" w:right="224" w:firstLine="720"/>
      </w:pPr>
      <w:r>
        <w:rPr/>
        <w:t>As part of its efforts to understand the experiences and challenges the Michigan State University (MSU) community has faced concerning relationship violence and sexual misconduct (RVSM), in 2019 MSU sponsored the school-wide </w:t>
      </w:r>
      <w:hyperlink r:id="rId30">
        <w:r>
          <w:rPr>
            <w:color w:val="1F419A"/>
            <w:u w:val="single" w:color="1F419A"/>
          </w:rPr>
          <w:t>Know More @ MSU Campus Survey</w:t>
        </w:r>
      </w:hyperlink>
      <w:r>
        <w:rPr/>
        <w:t>. The findings were used to inform a number of activities at MSU designed to improve climate and the institution’s response to RVSM. Most notably, MSU developed an </w:t>
      </w:r>
      <w:hyperlink r:id="rId31">
        <w:r>
          <w:rPr>
            <w:color w:val="1F419A"/>
            <w:u w:val="single" w:color="1F419A"/>
          </w:rPr>
          <w:t>RVSM Strategic Plan</w:t>
        </w:r>
      </w:hyperlink>
      <w:r>
        <w:rPr/>
        <w:t>, alongside a general university strategic plan and a plan focused on diversity, equity, and inclusion (DEI). The RVSM Strategic Plan outlined initiatives for expanding trauma-informed services; building a trauma-informed culture; strengthening RVSM policy violation, sanction, and discipline processes; assessing resources and support for respondents; strengthening RVSM prevention programming; creating respectful work environments; and promoting accountability. Many of these initiatives were directly related to findings from the 2019 Know More @ MSU Campus Survey. Interested parties can track progress on the strategic plan and review a more comprehensive list of actions MSU has engaged in over the past several years through a </w:t>
      </w:r>
      <w:hyperlink r:id="rId32">
        <w:r>
          <w:rPr>
            <w:color w:val="1F419A"/>
            <w:u w:val="single" w:color="1F419A"/>
          </w:rPr>
          <w:t>dashboard</w:t>
        </w:r>
      </w:hyperlink>
      <w:r>
        <w:rPr/>
        <w:t>.</w:t>
      </w:r>
    </w:p>
    <w:p>
      <w:pPr>
        <w:pStyle w:val="BodyText"/>
        <w:spacing w:line="333" w:lineRule="auto" w:before="4"/>
        <w:ind w:left="120" w:right="464"/>
      </w:pPr>
      <w:r>
        <w:rPr/>
        <w:t>Recognizing the importance of collecting data as a means of assessing progress on these and other initiatives, MSU committed to conducting the Know More @ MSU Campus Survey at regular intervals. The survey was revised slightly and administered again in spring 2022.</w:t>
      </w:r>
    </w:p>
    <w:p>
      <w:pPr>
        <w:pStyle w:val="BodyText"/>
        <w:spacing w:line="333" w:lineRule="auto" w:before="161"/>
        <w:ind w:left="120" w:right="146" w:firstLine="720"/>
      </w:pPr>
      <w:r>
        <w:rPr/>
        <w:t>Both the 2019 and 2022 surveys were led by the RVSM Expert Advisory Workgroup at MSU. The Know More @ MSU Campus Surveys were intended to comprehensively assess the culture, perceptions, and policies associated with sexual misconduct, relationship violence, stalking, and workplace incivility among the entire MSU campus community, including undergraduate students, graduate and professional students, faculty, and staff.</w:t>
      </w:r>
    </w:p>
    <w:p>
      <w:pPr>
        <w:pStyle w:val="BodyText"/>
        <w:spacing w:line="333" w:lineRule="auto" w:before="162"/>
        <w:ind w:left="120" w:right="113" w:firstLine="720"/>
      </w:pPr>
      <w:r>
        <w:rPr/>
        <w:t>To ensure the objectivity and quality of the study and protect survey participant confidentiality, MSU contracted with an independent research organization, RTI International, to design and administer the 2019 and the 2022 Know More @ MSU Campus Surveys, process and analyze the data, and report the results.</w:t>
      </w:r>
      <w:r>
        <w:rPr>
          <w:position w:val="5"/>
          <w:sz w:val="12"/>
        </w:rPr>
        <w:t>6  </w:t>
      </w:r>
      <w:r>
        <w:rPr/>
        <w:t>The 2022 survey is largely similar to the 2019 survey, which was developed by experts at RTI and key members of the RVSM Expert Advisory Workgroup, drawing on established, reliable, and valid measurement tools.</w:t>
      </w:r>
      <w:r>
        <w:rPr>
          <w:position w:val="5"/>
          <w:sz w:val="12"/>
        </w:rPr>
        <w:t>7 </w:t>
      </w:r>
      <w:r>
        <w:rPr/>
        <w:t>The student survey primarily focused on students’ perceptions of the climate related to sexual misconduct at MSU and experiences with various forms of victimization (including sexual assault, sexual harassment, coerced sexual contact, intimate partner violence, and stalking). The faculty and staff survey covered employees’ perceptions of the climate related to sexual misconduct at MSU and experiences with workplace incivility and work-related sexual</w:t>
      </w:r>
      <w:r>
        <w:rPr>
          <w:spacing w:val="-8"/>
        </w:rPr>
        <w:t> </w:t>
      </w:r>
      <w:r>
        <w:rPr/>
        <w:t>harassment.</w:t>
      </w:r>
    </w:p>
    <w:p>
      <w:pPr>
        <w:pStyle w:val="BodyText"/>
        <w:spacing w:line="333" w:lineRule="auto" w:before="163"/>
        <w:ind w:left="120" w:firstLine="720"/>
      </w:pPr>
      <w:r>
        <w:rPr/>
        <w:t>For the 2022 administration, a number of improvements were made to the Know More @ MSU Campus Survey instruments: making minor wording changes; updating the names of relevant MSU</w:t>
      </w:r>
    </w:p>
    <w:p>
      <w:pPr>
        <w:pStyle w:val="BodyText"/>
        <w:spacing w:before="5"/>
        <w:rPr>
          <w:sz w:val="24"/>
        </w:rPr>
      </w:pPr>
      <w:r>
        <w:rPr/>
        <w:pict>
          <v:shape style="position:absolute;margin-left:72pt;margin-top:16.229004pt;width:144pt;height:.1pt;mso-position-horizontal-relative:page;mso-position-vertical-relative:paragraph;z-index:-251646976;mso-wrap-distance-left:0;mso-wrap-distance-right:0" coordorigin="1440,325" coordsize="2880,0" path="m1440,325l4320,325e" filled="false" stroked="true" strokeweight=".4pt" strokecolor="#000000">
            <v:path arrowok="t"/>
            <v:stroke dashstyle="solid"/>
            <w10:wrap type="topAndBottom"/>
          </v:shape>
        </w:pict>
      </w:r>
    </w:p>
    <w:p>
      <w:pPr>
        <w:spacing w:before="54"/>
        <w:ind w:left="392" w:right="0" w:hanging="273"/>
        <w:jc w:val="left"/>
        <w:rPr>
          <w:sz w:val="18"/>
        </w:rPr>
      </w:pPr>
      <w:r>
        <w:rPr>
          <w:position w:val="5"/>
          <w:sz w:val="12"/>
        </w:rPr>
        <w:t>6 </w:t>
      </w:r>
      <w:r>
        <w:rPr>
          <w:sz w:val="18"/>
        </w:rPr>
        <w:t>RTI is a nonprofit research organization with previous experience conducting student surveys on sexual assault victimization and campus climate related to sexual misconduct (see </w:t>
      </w:r>
      <w:hyperlink r:id="rId33">
        <w:r>
          <w:rPr>
            <w:color w:val="1F419A"/>
            <w:sz w:val="18"/>
            <w:u w:val="single" w:color="1F419A"/>
          </w:rPr>
          <w:t>https://www.bjs.gov/content/pub/pdf/ccsvsftr.pdf</w:t>
        </w:r>
      </w:hyperlink>
      <w:r>
        <w:rPr>
          <w:sz w:val="18"/>
        </w:rPr>
        <w:t>).</w:t>
      </w:r>
    </w:p>
    <w:p>
      <w:pPr>
        <w:spacing w:line="240" w:lineRule="auto" w:before="3"/>
        <w:ind w:left="391" w:right="405" w:hanging="272"/>
        <w:jc w:val="left"/>
        <w:rPr>
          <w:sz w:val="18"/>
        </w:rPr>
      </w:pPr>
      <w:r>
        <w:rPr>
          <w:position w:val="5"/>
          <w:sz w:val="12"/>
        </w:rPr>
        <w:t>7 </w:t>
      </w:r>
      <w:r>
        <w:rPr>
          <w:sz w:val="18"/>
        </w:rPr>
        <w:t>Krebs, C., Lindquist, C., Berzofsky, M. Shook-Sa, B., Peterson, K., Planty, M., Langton, L., &amp; Stroop, J. (2016, January). </w:t>
      </w:r>
      <w:r>
        <w:rPr>
          <w:i/>
          <w:sz w:val="18"/>
        </w:rPr>
        <w:t>Campus Climate Survey validation study: Final technical report </w:t>
      </w:r>
      <w:r>
        <w:rPr>
          <w:sz w:val="18"/>
        </w:rPr>
        <w:t>(NCJ 249545). U.S. Department of Justice, Office of Justice Programs, Bureau of Justice Statistics. </w:t>
      </w:r>
      <w:hyperlink r:id="rId34">
        <w:r>
          <w:rPr>
            <w:color w:val="1F419A"/>
            <w:sz w:val="18"/>
            <w:u w:val="single" w:color="1F419A"/>
          </w:rPr>
          <w:t>https://bjs.ojp.gov/content/pub/pdf/ccsvsftr.pdf</w:t>
        </w:r>
      </w:hyperlink>
    </w:p>
    <w:p>
      <w:pPr>
        <w:spacing w:after="0" w:line="240" w:lineRule="auto"/>
        <w:jc w:val="left"/>
        <w:rPr>
          <w:sz w:val="18"/>
        </w:rPr>
        <w:sectPr>
          <w:headerReference w:type="default" r:id="rId28"/>
          <w:footerReference w:type="default" r:id="rId29"/>
          <w:pgSz w:w="12240" w:h="15840"/>
          <w:pgMar w:header="0" w:footer="592" w:top="1020" w:bottom="780" w:left="1320" w:right="1320"/>
          <w:pgNumType w:start="1"/>
        </w:sectPr>
      </w:pPr>
    </w:p>
    <w:p>
      <w:pPr>
        <w:pStyle w:val="BodyText"/>
        <w:spacing w:line="333" w:lineRule="auto" w:before="151"/>
        <w:ind w:left="120" w:right="119"/>
      </w:pPr>
      <w:r>
        <w:rPr/>
        <w:t>offices, organizations, and programs; revising response options to better reflect respondent perspectives and experiences; adding a series of questions (scale) related to bystander intervention behaviors; adding a series of questions that ask students who were employed by MSU about their experiences with workplace incivility; and revising the questions about gender identity and sexual orientation to be more inclusive and accurate. The complete 2022 Know More @ MSU Campus Survey instruments are included in Appendix A.</w:t>
      </w:r>
    </w:p>
    <w:p>
      <w:pPr>
        <w:pStyle w:val="BodyText"/>
        <w:spacing w:line="333" w:lineRule="auto" w:before="162"/>
        <w:ind w:left="120" w:right="333" w:firstLine="720"/>
      </w:pPr>
      <w:r>
        <w:rPr/>
        <w:t>Data collection took place from March 16 through May 15, 2022. After extensive awareness- raising activities by MSU, all undergraduate students,</w:t>
      </w:r>
      <w:r>
        <w:rPr>
          <w:position w:val="5"/>
          <w:sz w:val="12"/>
        </w:rPr>
        <w:t>8 </w:t>
      </w:r>
      <w:r>
        <w:rPr/>
        <w:t>graduate and professional students, faculty, and staff were invited via email to take the survey.</w:t>
      </w:r>
      <w:r>
        <w:rPr>
          <w:position w:val="5"/>
          <w:sz w:val="12"/>
        </w:rPr>
        <w:t>9 </w:t>
      </w:r>
      <w:r>
        <w:rPr/>
        <w:t>The survey was programmed for web-based administration and was mobile device friendly. Participation was voluntary and the survey was confidential; each survey participant received a survey access code to take the survey, but survey participants’ identities were kept confidential (and no individual-level data were shared with MSU). Over the field period, RTI sent a number of follow-up emails.</w:t>
      </w:r>
    </w:p>
    <w:p>
      <w:pPr>
        <w:pStyle w:val="BodyText"/>
        <w:spacing w:line="333" w:lineRule="auto" w:before="162"/>
        <w:ind w:left="120" w:right="115" w:firstLine="720"/>
      </w:pPr>
      <w:r>
        <w:rPr/>
        <w:t>The time period covered by this survey includes times in which university operations were affected by the COVID-19 pandemic. For example, during the 2021–2022 academic year, which was the primary reference period for many survey questions, the university had a number of COVID precautions in place, including mandatory masks and vaccines, activities that occurred online or had robust online options, and periods of the academic year in which classes were shifted online for a short period of time to control spread of disease. Other questions ask about broader time periods that could include 2020– 2021, a time when the university was operating primarily online, with few students living on campus and many faculty and staff working remotely. Although some research suggests that rates of intimate partner violence in the general public increased during COVID,</w:t>
      </w:r>
      <w:r>
        <w:rPr>
          <w:position w:val="7"/>
          <w:sz w:val="13"/>
        </w:rPr>
        <w:t>10, 11 </w:t>
      </w:r>
      <w:r>
        <w:rPr/>
        <w:t>there is less clarity around how university students, faculty, and staff experiences with sexual assault, sexual harassment, stalking, intimate partner violence, and workplace incivility were affected by COVID. We are unable to identify exactly how these unprecedented conditions may have influenced the results of this survey, though we do believe it is important contextual</w:t>
      </w:r>
      <w:r>
        <w:rPr>
          <w:spacing w:val="-1"/>
        </w:rPr>
        <w:t> </w:t>
      </w:r>
      <w:r>
        <w:rPr/>
        <w:t>information.</w:t>
      </w:r>
    </w:p>
    <w:p>
      <w:pPr>
        <w:pStyle w:val="BodyText"/>
        <w:spacing w:line="333" w:lineRule="auto" w:before="160"/>
        <w:ind w:left="120" w:right="146" w:firstLine="720"/>
      </w:pPr>
      <w:r>
        <w:rPr/>
        <w:t>Table 1 presents the total number of survey participants and average survey completion times for each of 11 populations or groups of respondents: (1) Undergraduate—Cisgender</w:t>
      </w:r>
      <w:r>
        <w:rPr>
          <w:spacing w:val="-21"/>
        </w:rPr>
        <w:t> </w:t>
      </w:r>
      <w:r>
        <w:rPr/>
        <w:t>Women,</w:t>
      </w:r>
    </w:p>
    <w:p>
      <w:pPr>
        <w:pStyle w:val="BodyText"/>
        <w:spacing w:before="1"/>
        <w:ind w:left="120"/>
      </w:pPr>
      <w:r>
        <w:rPr/>
        <w:t>(2)</w:t>
      </w:r>
      <w:r>
        <w:rPr>
          <w:spacing w:val="-6"/>
        </w:rPr>
        <w:t> </w:t>
      </w:r>
      <w:r>
        <w:rPr/>
        <w:t>Undergraduate—Cisgender</w:t>
      </w:r>
      <w:r>
        <w:rPr>
          <w:spacing w:val="-5"/>
        </w:rPr>
        <w:t> </w:t>
      </w:r>
      <w:r>
        <w:rPr/>
        <w:t>Men,</w:t>
      </w:r>
      <w:r>
        <w:rPr>
          <w:spacing w:val="-10"/>
        </w:rPr>
        <w:t> </w:t>
      </w:r>
      <w:r>
        <w:rPr/>
        <w:t>(3)</w:t>
      </w:r>
      <w:r>
        <w:rPr>
          <w:spacing w:val="-9"/>
        </w:rPr>
        <w:t> </w:t>
      </w:r>
      <w:r>
        <w:rPr/>
        <w:t>Undergraduate—Transgender</w:t>
      </w:r>
      <w:r>
        <w:rPr>
          <w:spacing w:val="-9"/>
        </w:rPr>
        <w:t> </w:t>
      </w:r>
      <w:r>
        <w:rPr/>
        <w:t>and/or</w:t>
      </w:r>
      <w:r>
        <w:rPr>
          <w:spacing w:val="-5"/>
        </w:rPr>
        <w:t> </w:t>
      </w:r>
      <w:r>
        <w:rPr/>
        <w:t>Nonbinary,</w:t>
      </w:r>
    </w:p>
    <w:p>
      <w:pPr>
        <w:pStyle w:val="ListParagraph"/>
        <w:numPr>
          <w:ilvl w:val="0"/>
          <w:numId w:val="5"/>
        </w:numPr>
        <w:tabs>
          <w:tab w:pos="424" w:val="left" w:leader="none"/>
        </w:tabs>
        <w:spacing w:line="240" w:lineRule="auto" w:before="90" w:after="0"/>
        <w:ind w:left="424" w:right="0" w:hanging="304"/>
        <w:jc w:val="left"/>
        <w:rPr>
          <w:sz w:val="20"/>
        </w:rPr>
      </w:pPr>
      <w:r>
        <w:rPr>
          <w:sz w:val="20"/>
        </w:rPr>
        <w:t>Graduate/Professional—Cisgender Women, (5) Graduate/Professional—Cisgender</w:t>
      </w:r>
      <w:r>
        <w:rPr>
          <w:spacing w:val="-8"/>
          <w:sz w:val="20"/>
        </w:rPr>
        <w:t> </w:t>
      </w:r>
      <w:r>
        <w:rPr>
          <w:sz w:val="20"/>
        </w:rPr>
        <w:t>Men,</w:t>
      </w:r>
    </w:p>
    <w:p>
      <w:pPr>
        <w:pStyle w:val="BodyText"/>
        <w:spacing w:before="6"/>
        <w:rPr>
          <w:sz w:val="16"/>
        </w:rPr>
      </w:pPr>
      <w:r>
        <w:rPr/>
        <w:pict>
          <v:shape style="position:absolute;margin-left:72pt;margin-top:11.695654pt;width:144pt;height:.1pt;mso-position-horizontal-relative:page;mso-position-vertical-relative:paragraph;z-index:-251645952;mso-wrap-distance-left:0;mso-wrap-distance-right:0" coordorigin="1440,234" coordsize="2880,0" path="m1440,234l4320,234e" filled="false" stroked="true" strokeweight=".4pt" strokecolor="#000000">
            <v:path arrowok="t"/>
            <v:stroke dashstyle="solid"/>
            <w10:wrap type="topAndBottom"/>
          </v:shape>
        </w:pict>
      </w:r>
    </w:p>
    <w:p>
      <w:pPr>
        <w:spacing w:before="54"/>
        <w:ind w:left="391" w:right="203" w:hanging="272"/>
        <w:jc w:val="left"/>
        <w:rPr>
          <w:sz w:val="18"/>
        </w:rPr>
      </w:pPr>
      <w:r>
        <w:rPr>
          <w:position w:val="5"/>
          <w:sz w:val="12"/>
        </w:rPr>
        <w:t>8 </w:t>
      </w:r>
      <w:r>
        <w:rPr>
          <w:sz w:val="18"/>
        </w:rPr>
        <w:t>The following categories of students were excluded: students who were under 17 at the start of data collection and students in the following programs: high school guest, language program, lifelong education, or Visiting Graduate</w:t>
      </w:r>
    </w:p>
    <w:p>
      <w:pPr>
        <w:spacing w:before="2"/>
        <w:ind w:left="391" w:right="544" w:firstLine="0"/>
        <w:jc w:val="left"/>
        <w:rPr>
          <w:sz w:val="18"/>
        </w:rPr>
      </w:pPr>
      <w:r>
        <w:rPr>
          <w:sz w:val="18"/>
        </w:rPr>
        <w:t>- Non MSU Credit. Students who were also employed as faculty or staff were also excluded and received the faculty/staff version of the survey.</w:t>
      </w:r>
    </w:p>
    <w:p>
      <w:pPr>
        <w:spacing w:line="107" w:lineRule="exact" w:before="2"/>
        <w:ind w:left="120" w:right="0" w:firstLine="0"/>
        <w:jc w:val="left"/>
        <w:rPr>
          <w:sz w:val="12"/>
        </w:rPr>
      </w:pPr>
      <w:r>
        <w:rPr>
          <w:sz w:val="12"/>
        </w:rPr>
        <w:t>9</w:t>
      </w:r>
    </w:p>
    <w:p>
      <w:pPr>
        <w:spacing w:line="176" w:lineRule="exact" w:before="0"/>
        <w:ind w:left="179" w:right="0" w:firstLine="0"/>
        <w:jc w:val="left"/>
        <w:rPr>
          <w:sz w:val="18"/>
        </w:rPr>
      </w:pPr>
      <w:r>
        <w:rPr>
          <w:sz w:val="18"/>
        </w:rPr>
        <w:t>A random sample of undergraduate students was selected to receive a modest incentive to participate in the survey.</w:t>
      </w:r>
    </w:p>
    <w:p>
      <w:pPr>
        <w:spacing w:before="1"/>
        <w:ind w:left="331" w:right="714" w:firstLine="0"/>
        <w:jc w:val="left"/>
        <w:rPr>
          <w:sz w:val="18"/>
        </w:rPr>
      </w:pPr>
      <w:r>
        <w:rPr/>
        <w:pict>
          <v:shape style="position:absolute;margin-left:72pt;margin-top:27.397253pt;width:6.85pt;height:6.75pt;mso-position-horizontal-relative:page;mso-position-vertical-relative:paragraph;z-index:251671552" type="#_x0000_t202" filled="false" stroked="false">
            <v:textbox inset="0,0,0,0">
              <w:txbxContent>
                <w:p>
                  <w:pPr>
                    <w:spacing w:line="134" w:lineRule="exact" w:before="0"/>
                    <w:ind w:left="0" w:right="0" w:firstLine="0"/>
                    <w:jc w:val="left"/>
                    <w:rPr>
                      <w:sz w:val="12"/>
                    </w:rPr>
                  </w:pPr>
                  <w:r>
                    <w:rPr>
                      <w:sz w:val="12"/>
                    </w:rPr>
                    <w:t>10</w:t>
                  </w:r>
                </w:p>
              </w:txbxContent>
            </v:textbox>
            <w10:wrap type="none"/>
          </v:shape>
        </w:pict>
      </w:r>
      <w:r>
        <w:rPr>
          <w:sz w:val="18"/>
        </w:rPr>
        <w:t>This decision was made to ensure that statistically precise estimates could be developed for undergraduate students, who typically have lower response rates than graduate/professional students, faculty, and staff. Therefore, 5,200 undergraduate students received a $20 gift card for completing the survey.</w:t>
      </w:r>
    </w:p>
    <w:p>
      <w:pPr>
        <w:spacing w:line="125" w:lineRule="exact" w:before="0"/>
        <w:ind w:left="308" w:right="0" w:firstLine="0"/>
        <w:jc w:val="left"/>
        <w:rPr>
          <w:sz w:val="18"/>
        </w:rPr>
      </w:pPr>
      <w:r>
        <w:rPr>
          <w:sz w:val="18"/>
        </w:rPr>
        <w:t>Kourti, A., Stavridou, A., Panagouli, E., Psaltopoulou, T., Spiliopoulou, C., Tsolia, M., Sergentanis, T. N., &amp; Tsitsika,</w:t>
      </w:r>
    </w:p>
    <w:p>
      <w:pPr>
        <w:spacing w:before="1"/>
        <w:ind w:left="392" w:right="295" w:hanging="1"/>
        <w:jc w:val="left"/>
        <w:rPr>
          <w:sz w:val="18"/>
        </w:rPr>
      </w:pPr>
      <w:r>
        <w:rPr>
          <w:sz w:val="18"/>
        </w:rPr>
        <w:t>A. (2021). Domestic violence during the COVID-19 pandemic: A systematic review. </w:t>
      </w:r>
      <w:r>
        <w:rPr>
          <w:i/>
          <w:sz w:val="18"/>
        </w:rPr>
        <w:t>Trauma, Violence, &amp; Abuse</w:t>
      </w:r>
      <w:r>
        <w:rPr>
          <w:sz w:val="18"/>
        </w:rPr>
        <w:t>. Advance</w:t>
      </w:r>
      <w:r>
        <w:rPr>
          <w:spacing w:val="-14"/>
          <w:sz w:val="18"/>
        </w:rPr>
        <w:t> </w:t>
      </w:r>
      <w:r>
        <w:rPr>
          <w:sz w:val="18"/>
        </w:rPr>
        <w:t>online</w:t>
      </w:r>
      <w:r>
        <w:rPr>
          <w:spacing w:val="-16"/>
          <w:sz w:val="18"/>
        </w:rPr>
        <w:t> </w:t>
      </w:r>
      <w:r>
        <w:rPr>
          <w:sz w:val="18"/>
        </w:rPr>
        <w:t>publication.</w:t>
      </w:r>
      <w:r>
        <w:rPr>
          <w:color w:val="1F419A"/>
          <w:spacing w:val="-14"/>
          <w:sz w:val="18"/>
        </w:rPr>
        <w:t> </w:t>
      </w:r>
      <w:hyperlink r:id="rId35">
        <w:r>
          <w:rPr>
            <w:color w:val="1F419A"/>
            <w:sz w:val="18"/>
            <w:u w:val="single" w:color="1F419A"/>
          </w:rPr>
          <w:t>https://doi.org/10.1177/15248380211038690</w:t>
        </w:r>
        <w:r>
          <w:rPr>
            <w:color w:val="1F419A"/>
            <w:sz w:val="18"/>
          </w:rPr>
          <w:t> </w:t>
        </w:r>
        <w:r>
          <w:rPr>
            <w:color w:val="1F419A"/>
            <w:spacing w:val="-1"/>
            <w:sz w:val="18"/>
          </w:rPr>
        </w:r>
      </w:hyperlink>
      <w:r>
        <w:rPr>
          <w:color w:val="1F419A"/>
          <w:spacing w:val="-1"/>
          <w:sz w:val="18"/>
        </w:rPr>
        <w:drawing>
          <wp:inline distT="0" distB="0" distL="0" distR="0">
            <wp:extent cx="100329" cy="100329"/>
            <wp:effectExtent l="0" t="0" r="0" b="0"/>
            <wp:docPr id="5" name="image5.png"/>
            <wp:cNvGraphicFramePr>
              <a:graphicFrameLocks noChangeAspect="1"/>
            </wp:cNvGraphicFramePr>
            <a:graphic>
              <a:graphicData uri="http://schemas.openxmlformats.org/drawingml/2006/picture">
                <pic:pic>
                  <pic:nvPicPr>
                    <pic:cNvPr id="6"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line="240" w:lineRule="auto" w:before="2"/>
        <w:ind w:left="391" w:right="394" w:hanging="272"/>
        <w:jc w:val="left"/>
        <w:rPr>
          <w:sz w:val="18"/>
        </w:rPr>
      </w:pPr>
      <w:r>
        <w:rPr>
          <w:position w:val="5"/>
          <w:sz w:val="12"/>
        </w:rPr>
        <w:t>11 </w:t>
      </w:r>
      <w:r>
        <w:rPr>
          <w:sz w:val="18"/>
        </w:rPr>
        <w:t>Piquero, </w:t>
      </w:r>
      <w:r>
        <w:rPr>
          <w:spacing w:val="-3"/>
          <w:sz w:val="18"/>
        </w:rPr>
        <w:t>A. </w:t>
      </w:r>
      <w:r>
        <w:rPr>
          <w:sz w:val="18"/>
        </w:rPr>
        <w:t>R., Jennings, W. G., Jemison, E., Kaukinen, C., &amp; Knaul, F. M. (2021). Domestic violence during the COVID-19 pandemic—Evidence from a systematic review and meta-analysis. </w:t>
      </w:r>
      <w:r>
        <w:rPr>
          <w:i/>
          <w:sz w:val="18"/>
        </w:rPr>
        <w:t>Journal </w:t>
      </w:r>
      <w:r>
        <w:rPr>
          <w:i/>
          <w:spacing w:val="-3"/>
          <w:sz w:val="18"/>
        </w:rPr>
        <w:t>of </w:t>
      </w:r>
      <w:r>
        <w:rPr>
          <w:i/>
          <w:sz w:val="18"/>
        </w:rPr>
        <w:t>Criminal Justice</w:t>
      </w:r>
      <w:r>
        <w:rPr>
          <w:sz w:val="18"/>
        </w:rPr>
        <w:t>, </w:t>
      </w:r>
      <w:r>
        <w:rPr>
          <w:i/>
          <w:sz w:val="18"/>
        </w:rPr>
        <w:t>74</w:t>
      </w:r>
      <w:r>
        <w:rPr>
          <w:sz w:val="18"/>
        </w:rPr>
        <w:t>, Article 101806.</w:t>
      </w:r>
      <w:r>
        <w:rPr>
          <w:spacing w:val="-30"/>
          <w:sz w:val="18"/>
        </w:rPr>
        <w:t> </w:t>
      </w:r>
      <w:hyperlink r:id="rId36">
        <w:r>
          <w:rPr>
            <w:color w:val="1F419A"/>
            <w:sz w:val="18"/>
            <w:u w:val="single" w:color="1F419A"/>
          </w:rPr>
          <w:t>https://doi.org/10.1016/j.jcrimjus.2021.101806</w:t>
        </w:r>
        <w:r>
          <w:rPr>
            <w:color w:val="1F419A"/>
            <w:sz w:val="18"/>
          </w:rPr>
          <w:t> </w:t>
        </w:r>
        <w:r>
          <w:rPr>
            <w:color w:val="1F419A"/>
            <w:spacing w:val="-5"/>
            <w:sz w:val="18"/>
          </w:rPr>
        </w:r>
      </w:hyperlink>
      <w:r>
        <w:rPr>
          <w:color w:val="1F419A"/>
          <w:spacing w:val="-5"/>
          <w:sz w:val="18"/>
        </w:rPr>
        <w:drawing>
          <wp:inline distT="0" distB="0" distL="0" distR="0">
            <wp:extent cx="100329" cy="100329"/>
            <wp:effectExtent l="0" t="0" r="0" b="0"/>
            <wp:docPr id="7" name="image5.png"/>
            <wp:cNvGraphicFramePr>
              <a:graphicFrameLocks noChangeAspect="1"/>
            </wp:cNvGraphicFramePr>
            <a:graphic>
              <a:graphicData uri="http://schemas.openxmlformats.org/drawingml/2006/picture">
                <pic:pic>
                  <pic:nvPicPr>
                    <pic:cNvPr id="8"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after="0" w:line="240" w:lineRule="auto"/>
        <w:jc w:val="left"/>
        <w:rPr>
          <w:sz w:val="18"/>
        </w:rPr>
        <w:sectPr>
          <w:pgSz w:w="12240" w:h="15840"/>
          <w:pgMar w:header="0" w:footer="592" w:top="1020" w:bottom="780" w:left="1320" w:right="1320"/>
        </w:sectPr>
      </w:pPr>
    </w:p>
    <w:p>
      <w:pPr>
        <w:pStyle w:val="BodyText"/>
        <w:spacing w:before="151"/>
        <w:ind w:left="120"/>
      </w:pPr>
      <w:r>
        <w:rPr/>
        <w:t>(6) Graduate/Professional—Transgender and/or Nonbinary, (7) Faculty—Cisgender Women,</w:t>
      </w:r>
    </w:p>
    <w:p>
      <w:pPr>
        <w:pStyle w:val="BodyText"/>
        <w:spacing w:before="90"/>
        <w:ind w:left="119"/>
      </w:pPr>
      <w:r>
        <w:rPr/>
        <w:t>(8) Faculty—Cisgender Men, (9) Staff—Cisgender Women, (10) Staff—Cisgender Men, and</w:t>
      </w:r>
    </w:p>
    <w:p>
      <w:pPr>
        <w:pStyle w:val="BodyText"/>
        <w:spacing w:line="333" w:lineRule="auto" w:before="90"/>
        <w:ind w:left="119" w:right="968"/>
      </w:pPr>
      <w:r>
        <w:rPr/>
        <w:t>(11) Faculty/Staff—Transgender and/or Nonbinary. In some places, mostly in tables and figures, cisgender and transgender are shortened to cis and trans to save space.</w:t>
      </w:r>
    </w:p>
    <w:p>
      <w:pPr>
        <w:pStyle w:val="Heading5"/>
        <w:tabs>
          <w:tab w:pos="1199" w:val="left" w:leader="none"/>
        </w:tabs>
        <w:spacing w:before="161"/>
        <w:ind w:left="119" w:firstLine="0"/>
      </w:pPr>
      <w:r>
        <w:rPr/>
        <w:t>Table</w:t>
      </w:r>
      <w:r>
        <w:rPr>
          <w:spacing w:val="-3"/>
        </w:rPr>
        <w:t> </w:t>
      </w:r>
      <w:r>
        <w:rPr/>
        <w:t>1.</w:t>
        <w:tab/>
        <w:t>Number of Survey Participants and Average Survey Completion</w:t>
      </w:r>
      <w:r>
        <w:rPr>
          <w:spacing w:val="-12"/>
        </w:rPr>
        <w:t> </w:t>
      </w:r>
      <w:r>
        <w:rPr/>
        <w:t>Time</w:t>
      </w:r>
    </w:p>
    <w:p>
      <w:pPr>
        <w:pStyle w:val="BodyText"/>
        <w:spacing w:before="1"/>
        <w:rPr>
          <w:b/>
          <w:sz w:val="7"/>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95"/>
        <w:gridCol w:w="2178"/>
        <w:gridCol w:w="2589"/>
      </w:tblGrid>
      <w:tr>
        <w:trPr>
          <w:trHeight w:val="490" w:hRule="atLeast"/>
        </w:trPr>
        <w:tc>
          <w:tcPr>
            <w:tcW w:w="9362" w:type="dxa"/>
            <w:gridSpan w:val="3"/>
            <w:tcBorders>
              <w:bottom w:val="single" w:sz="4" w:space="0" w:color="585858"/>
            </w:tcBorders>
            <w:shd w:val="clear" w:color="auto" w:fill="09357D"/>
          </w:tcPr>
          <w:p>
            <w:pPr>
              <w:pStyle w:val="TableParagraph"/>
              <w:spacing w:before="39"/>
              <w:ind w:left="7372"/>
              <w:rPr>
                <w:b/>
                <w:sz w:val="18"/>
              </w:rPr>
            </w:pPr>
            <w:r>
              <w:rPr>
                <w:b/>
                <w:color w:val="FFFFFF"/>
                <w:sz w:val="18"/>
              </w:rPr>
              <w:t>Average Survey</w:t>
            </w:r>
          </w:p>
          <w:p>
            <w:pPr>
              <w:pStyle w:val="TableParagraph"/>
              <w:tabs>
                <w:tab w:pos="4395" w:val="left" w:leader="none"/>
                <w:tab w:pos="6855" w:val="left" w:leader="none"/>
              </w:tabs>
              <w:spacing w:before="1"/>
              <w:ind w:left="1603"/>
              <w:rPr>
                <w:b/>
                <w:sz w:val="18"/>
              </w:rPr>
            </w:pPr>
            <w:r>
              <w:rPr>
                <w:b/>
                <w:color w:val="FFFFFF"/>
                <w:sz w:val="18"/>
              </w:rPr>
              <w:t>Population</w:t>
              <w:tab/>
              <w:t>Number</w:t>
            </w:r>
            <w:r>
              <w:rPr>
                <w:b/>
                <w:color w:val="FFFFFF"/>
                <w:spacing w:val="-1"/>
                <w:sz w:val="18"/>
              </w:rPr>
              <w:t> </w:t>
            </w:r>
            <w:r>
              <w:rPr>
                <w:b/>
                <w:color w:val="FFFFFF"/>
                <w:sz w:val="18"/>
              </w:rPr>
              <w:t>of</w:t>
            </w:r>
            <w:r>
              <w:rPr>
                <w:b/>
                <w:color w:val="FFFFFF"/>
                <w:spacing w:val="-2"/>
                <w:sz w:val="18"/>
              </w:rPr>
              <w:t> </w:t>
            </w:r>
            <w:r>
              <w:rPr>
                <w:b/>
                <w:color w:val="FFFFFF"/>
                <w:sz w:val="18"/>
              </w:rPr>
              <w:t>Respondents</w:t>
              <w:tab/>
              <w:t>Completion Time</w:t>
            </w:r>
            <w:r>
              <w:rPr>
                <w:b/>
                <w:color w:val="FFFFFF"/>
                <w:spacing w:val="-4"/>
                <w:sz w:val="18"/>
              </w:rPr>
              <w:t> </w:t>
            </w:r>
            <w:r>
              <w:rPr>
                <w:b/>
                <w:color w:val="FFFFFF"/>
                <w:sz w:val="18"/>
              </w:rPr>
              <w:t>(minutes)*</w:t>
            </w:r>
          </w:p>
        </w:tc>
      </w:tr>
      <w:tr>
        <w:trPr>
          <w:trHeight w:val="289" w:hRule="atLeast"/>
        </w:trPr>
        <w:tc>
          <w:tcPr>
            <w:tcW w:w="4595" w:type="dxa"/>
            <w:tcBorders>
              <w:top w:val="single" w:sz="4" w:space="0" w:color="585858"/>
              <w:bottom w:val="single" w:sz="4" w:space="0" w:color="585858"/>
            </w:tcBorders>
          </w:tcPr>
          <w:p>
            <w:pPr>
              <w:pStyle w:val="TableParagraph"/>
              <w:spacing w:before="42"/>
              <w:ind w:left="107"/>
              <w:rPr>
                <w:sz w:val="18"/>
              </w:rPr>
            </w:pPr>
            <w:r>
              <w:rPr>
                <w:sz w:val="18"/>
              </w:rPr>
              <w:t>Undergraduates—Cisgender Women</w:t>
            </w:r>
          </w:p>
        </w:tc>
        <w:tc>
          <w:tcPr>
            <w:tcW w:w="2178" w:type="dxa"/>
            <w:tcBorders>
              <w:top w:val="single" w:sz="4" w:space="0" w:color="585858"/>
              <w:bottom w:val="single" w:sz="4" w:space="0" w:color="585858"/>
            </w:tcBorders>
          </w:tcPr>
          <w:p>
            <w:pPr>
              <w:pStyle w:val="TableParagraph"/>
              <w:spacing w:before="42"/>
              <w:ind w:left="621"/>
              <w:rPr>
                <w:sz w:val="18"/>
              </w:rPr>
            </w:pPr>
            <w:r>
              <w:rPr>
                <w:sz w:val="18"/>
              </w:rPr>
              <w:t>4,070</w:t>
            </w:r>
          </w:p>
        </w:tc>
        <w:tc>
          <w:tcPr>
            <w:tcW w:w="2589" w:type="dxa"/>
            <w:tcBorders>
              <w:top w:val="single" w:sz="4" w:space="0" w:color="585858"/>
              <w:bottom w:val="single" w:sz="4" w:space="0" w:color="585858"/>
            </w:tcBorders>
          </w:tcPr>
          <w:p>
            <w:pPr>
              <w:pStyle w:val="TableParagraph"/>
              <w:spacing w:before="42"/>
              <w:ind w:left="1103"/>
              <w:rPr>
                <w:sz w:val="18"/>
              </w:rPr>
            </w:pPr>
            <w:r>
              <w:rPr>
                <w:sz w:val="18"/>
              </w:rPr>
              <w:t>16.2</w:t>
            </w:r>
          </w:p>
        </w:tc>
      </w:tr>
      <w:tr>
        <w:trPr>
          <w:trHeight w:val="286" w:hRule="atLeast"/>
        </w:trPr>
        <w:tc>
          <w:tcPr>
            <w:tcW w:w="4595" w:type="dxa"/>
            <w:tcBorders>
              <w:top w:val="single" w:sz="4" w:space="0" w:color="585858"/>
              <w:bottom w:val="single" w:sz="4" w:space="0" w:color="585858"/>
            </w:tcBorders>
          </w:tcPr>
          <w:p>
            <w:pPr>
              <w:pStyle w:val="TableParagraph"/>
              <w:ind w:left="108"/>
              <w:rPr>
                <w:sz w:val="18"/>
              </w:rPr>
            </w:pPr>
            <w:r>
              <w:rPr>
                <w:sz w:val="18"/>
              </w:rPr>
              <w:t>Undergraduate—Cisgender Men</w:t>
            </w:r>
          </w:p>
        </w:tc>
        <w:tc>
          <w:tcPr>
            <w:tcW w:w="2178" w:type="dxa"/>
            <w:tcBorders>
              <w:top w:val="single" w:sz="4" w:space="0" w:color="585858"/>
              <w:bottom w:val="single" w:sz="4" w:space="0" w:color="585858"/>
            </w:tcBorders>
          </w:tcPr>
          <w:p>
            <w:pPr>
              <w:pStyle w:val="TableParagraph"/>
              <w:ind w:left="620"/>
              <w:rPr>
                <w:sz w:val="18"/>
              </w:rPr>
            </w:pPr>
            <w:r>
              <w:rPr>
                <w:sz w:val="18"/>
              </w:rPr>
              <w:t>2,017</w:t>
            </w:r>
          </w:p>
        </w:tc>
        <w:tc>
          <w:tcPr>
            <w:tcW w:w="2589" w:type="dxa"/>
            <w:tcBorders>
              <w:top w:val="single" w:sz="4" w:space="0" w:color="585858"/>
              <w:bottom w:val="single" w:sz="4" w:space="0" w:color="585858"/>
            </w:tcBorders>
          </w:tcPr>
          <w:p>
            <w:pPr>
              <w:pStyle w:val="TableParagraph"/>
              <w:ind w:left="1102"/>
              <w:rPr>
                <w:sz w:val="18"/>
              </w:rPr>
            </w:pPr>
            <w:r>
              <w:rPr>
                <w:sz w:val="18"/>
              </w:rPr>
              <w:t>14.9</w:t>
            </w:r>
          </w:p>
        </w:tc>
      </w:tr>
      <w:tr>
        <w:trPr>
          <w:trHeight w:val="285" w:hRule="atLeast"/>
        </w:trPr>
        <w:tc>
          <w:tcPr>
            <w:tcW w:w="4595" w:type="dxa"/>
            <w:tcBorders>
              <w:top w:val="single" w:sz="4" w:space="0" w:color="585858"/>
              <w:bottom w:val="single" w:sz="4" w:space="0" w:color="585858"/>
            </w:tcBorders>
          </w:tcPr>
          <w:p>
            <w:pPr>
              <w:pStyle w:val="TableParagraph"/>
              <w:ind w:left="108"/>
              <w:rPr>
                <w:sz w:val="18"/>
              </w:rPr>
            </w:pPr>
            <w:r>
              <w:rPr>
                <w:sz w:val="18"/>
              </w:rPr>
              <w:t>Undergraduate—Trans and/or Nonbinary</w:t>
            </w:r>
          </w:p>
        </w:tc>
        <w:tc>
          <w:tcPr>
            <w:tcW w:w="2178" w:type="dxa"/>
            <w:tcBorders>
              <w:top w:val="single" w:sz="4" w:space="0" w:color="585858"/>
              <w:bottom w:val="single" w:sz="4" w:space="0" w:color="585858"/>
            </w:tcBorders>
          </w:tcPr>
          <w:p>
            <w:pPr>
              <w:pStyle w:val="TableParagraph"/>
              <w:ind w:left="697"/>
              <w:rPr>
                <w:sz w:val="18"/>
              </w:rPr>
            </w:pPr>
            <w:r>
              <w:rPr>
                <w:sz w:val="18"/>
              </w:rPr>
              <w:t>323</w:t>
            </w:r>
          </w:p>
        </w:tc>
        <w:tc>
          <w:tcPr>
            <w:tcW w:w="2589" w:type="dxa"/>
            <w:tcBorders>
              <w:top w:val="single" w:sz="4" w:space="0" w:color="585858"/>
              <w:bottom w:val="single" w:sz="4" w:space="0" w:color="585858"/>
            </w:tcBorders>
          </w:tcPr>
          <w:p>
            <w:pPr>
              <w:pStyle w:val="TableParagraph"/>
              <w:ind w:left="1103"/>
              <w:rPr>
                <w:sz w:val="18"/>
              </w:rPr>
            </w:pPr>
            <w:r>
              <w:rPr>
                <w:sz w:val="18"/>
              </w:rPr>
              <w:t>16.4</w:t>
            </w:r>
          </w:p>
        </w:tc>
      </w:tr>
      <w:tr>
        <w:trPr>
          <w:trHeight w:val="286" w:hRule="atLeast"/>
        </w:trPr>
        <w:tc>
          <w:tcPr>
            <w:tcW w:w="4595" w:type="dxa"/>
            <w:tcBorders>
              <w:top w:val="single" w:sz="4" w:space="0" w:color="585858"/>
              <w:bottom w:val="single" w:sz="4" w:space="0" w:color="585858"/>
            </w:tcBorders>
          </w:tcPr>
          <w:p>
            <w:pPr>
              <w:pStyle w:val="TableParagraph"/>
              <w:spacing w:before="42"/>
              <w:ind w:left="108"/>
              <w:rPr>
                <w:sz w:val="18"/>
              </w:rPr>
            </w:pPr>
            <w:r>
              <w:rPr>
                <w:sz w:val="18"/>
              </w:rPr>
              <w:t>Graduate/Professional—Cisgender Women</w:t>
            </w:r>
          </w:p>
        </w:tc>
        <w:tc>
          <w:tcPr>
            <w:tcW w:w="2178" w:type="dxa"/>
            <w:tcBorders>
              <w:top w:val="single" w:sz="4" w:space="0" w:color="585858"/>
              <w:bottom w:val="single" w:sz="4" w:space="0" w:color="585858"/>
            </w:tcBorders>
          </w:tcPr>
          <w:p>
            <w:pPr>
              <w:pStyle w:val="TableParagraph"/>
              <w:spacing w:before="42"/>
              <w:ind w:left="697"/>
              <w:rPr>
                <w:sz w:val="18"/>
              </w:rPr>
            </w:pPr>
            <w:r>
              <w:rPr>
                <w:sz w:val="18"/>
              </w:rPr>
              <w:t>522</w:t>
            </w:r>
          </w:p>
        </w:tc>
        <w:tc>
          <w:tcPr>
            <w:tcW w:w="2589" w:type="dxa"/>
            <w:tcBorders>
              <w:top w:val="single" w:sz="4" w:space="0" w:color="585858"/>
              <w:bottom w:val="single" w:sz="4" w:space="0" w:color="585858"/>
            </w:tcBorders>
          </w:tcPr>
          <w:p>
            <w:pPr>
              <w:pStyle w:val="TableParagraph"/>
              <w:spacing w:before="42"/>
              <w:ind w:left="1103"/>
              <w:rPr>
                <w:sz w:val="18"/>
              </w:rPr>
            </w:pPr>
            <w:r>
              <w:rPr>
                <w:sz w:val="18"/>
              </w:rPr>
              <w:t>15.7</w:t>
            </w:r>
          </w:p>
        </w:tc>
      </w:tr>
      <w:tr>
        <w:trPr>
          <w:trHeight w:val="289" w:hRule="atLeast"/>
        </w:trPr>
        <w:tc>
          <w:tcPr>
            <w:tcW w:w="4595" w:type="dxa"/>
            <w:tcBorders>
              <w:top w:val="single" w:sz="4" w:space="0" w:color="585858"/>
              <w:bottom w:val="single" w:sz="4" w:space="0" w:color="585858"/>
            </w:tcBorders>
          </w:tcPr>
          <w:p>
            <w:pPr>
              <w:pStyle w:val="TableParagraph"/>
              <w:spacing w:before="42"/>
              <w:ind w:left="108"/>
              <w:rPr>
                <w:sz w:val="18"/>
              </w:rPr>
            </w:pPr>
            <w:r>
              <w:rPr>
                <w:sz w:val="18"/>
              </w:rPr>
              <w:t>Graduate/Professional—Cisgender Men</w:t>
            </w:r>
          </w:p>
        </w:tc>
        <w:tc>
          <w:tcPr>
            <w:tcW w:w="2178" w:type="dxa"/>
            <w:tcBorders>
              <w:top w:val="single" w:sz="4" w:space="0" w:color="585858"/>
              <w:bottom w:val="single" w:sz="4" w:space="0" w:color="585858"/>
            </w:tcBorders>
          </w:tcPr>
          <w:p>
            <w:pPr>
              <w:pStyle w:val="TableParagraph"/>
              <w:spacing w:before="42"/>
              <w:ind w:left="697"/>
              <w:rPr>
                <w:sz w:val="18"/>
              </w:rPr>
            </w:pPr>
            <w:r>
              <w:rPr>
                <w:sz w:val="18"/>
              </w:rPr>
              <w:t>314</w:t>
            </w:r>
          </w:p>
        </w:tc>
        <w:tc>
          <w:tcPr>
            <w:tcW w:w="2589" w:type="dxa"/>
            <w:tcBorders>
              <w:top w:val="single" w:sz="4" w:space="0" w:color="585858"/>
              <w:bottom w:val="single" w:sz="4" w:space="0" w:color="585858"/>
            </w:tcBorders>
          </w:tcPr>
          <w:p>
            <w:pPr>
              <w:pStyle w:val="TableParagraph"/>
              <w:spacing w:before="42"/>
              <w:ind w:left="1103"/>
              <w:rPr>
                <w:sz w:val="18"/>
              </w:rPr>
            </w:pPr>
            <w:r>
              <w:rPr>
                <w:sz w:val="18"/>
              </w:rPr>
              <w:t>16.6</w:t>
            </w:r>
          </w:p>
        </w:tc>
      </w:tr>
      <w:tr>
        <w:trPr>
          <w:trHeight w:val="286" w:hRule="atLeast"/>
        </w:trPr>
        <w:tc>
          <w:tcPr>
            <w:tcW w:w="4595" w:type="dxa"/>
            <w:tcBorders>
              <w:top w:val="single" w:sz="4" w:space="0" w:color="585858"/>
              <w:bottom w:val="single" w:sz="4" w:space="0" w:color="585858"/>
            </w:tcBorders>
          </w:tcPr>
          <w:p>
            <w:pPr>
              <w:pStyle w:val="TableParagraph"/>
              <w:ind w:left="108"/>
              <w:rPr>
                <w:sz w:val="18"/>
              </w:rPr>
            </w:pPr>
            <w:r>
              <w:rPr>
                <w:sz w:val="18"/>
              </w:rPr>
              <w:t>Graduate/Professional—Trans and/or Nonbinary</w:t>
            </w:r>
          </w:p>
        </w:tc>
        <w:tc>
          <w:tcPr>
            <w:tcW w:w="2178" w:type="dxa"/>
            <w:tcBorders>
              <w:top w:val="single" w:sz="4" w:space="0" w:color="585858"/>
              <w:bottom w:val="single" w:sz="4" w:space="0" w:color="585858"/>
            </w:tcBorders>
          </w:tcPr>
          <w:p>
            <w:pPr>
              <w:pStyle w:val="TableParagraph"/>
              <w:ind w:left="749"/>
              <w:rPr>
                <w:sz w:val="18"/>
              </w:rPr>
            </w:pPr>
            <w:r>
              <w:rPr>
                <w:sz w:val="18"/>
              </w:rPr>
              <w:t>52</w:t>
            </w:r>
          </w:p>
        </w:tc>
        <w:tc>
          <w:tcPr>
            <w:tcW w:w="2589" w:type="dxa"/>
            <w:tcBorders>
              <w:top w:val="single" w:sz="4" w:space="0" w:color="585858"/>
              <w:bottom w:val="single" w:sz="4" w:space="0" w:color="585858"/>
            </w:tcBorders>
          </w:tcPr>
          <w:p>
            <w:pPr>
              <w:pStyle w:val="TableParagraph"/>
              <w:ind w:left="1103"/>
              <w:rPr>
                <w:sz w:val="18"/>
              </w:rPr>
            </w:pPr>
            <w:r>
              <w:rPr>
                <w:sz w:val="18"/>
              </w:rPr>
              <w:t>16.3</w:t>
            </w:r>
          </w:p>
        </w:tc>
      </w:tr>
      <w:tr>
        <w:trPr>
          <w:trHeight w:val="285" w:hRule="atLeast"/>
        </w:trPr>
        <w:tc>
          <w:tcPr>
            <w:tcW w:w="4595" w:type="dxa"/>
            <w:tcBorders>
              <w:top w:val="single" w:sz="4" w:space="0" w:color="585858"/>
              <w:bottom w:val="single" w:sz="4" w:space="0" w:color="585858"/>
            </w:tcBorders>
          </w:tcPr>
          <w:p>
            <w:pPr>
              <w:pStyle w:val="TableParagraph"/>
              <w:ind w:left="108"/>
              <w:rPr>
                <w:sz w:val="18"/>
              </w:rPr>
            </w:pPr>
            <w:r>
              <w:rPr>
                <w:sz w:val="18"/>
              </w:rPr>
              <w:t>Faculty—Cisgender Women</w:t>
            </w:r>
          </w:p>
        </w:tc>
        <w:tc>
          <w:tcPr>
            <w:tcW w:w="2178" w:type="dxa"/>
            <w:tcBorders>
              <w:top w:val="single" w:sz="4" w:space="0" w:color="585858"/>
              <w:bottom w:val="single" w:sz="4" w:space="0" w:color="585858"/>
            </w:tcBorders>
          </w:tcPr>
          <w:p>
            <w:pPr>
              <w:pStyle w:val="TableParagraph"/>
              <w:ind w:left="696"/>
              <w:rPr>
                <w:sz w:val="18"/>
              </w:rPr>
            </w:pPr>
            <w:r>
              <w:rPr>
                <w:sz w:val="18"/>
              </w:rPr>
              <w:t>802</w:t>
            </w:r>
          </w:p>
        </w:tc>
        <w:tc>
          <w:tcPr>
            <w:tcW w:w="2589" w:type="dxa"/>
            <w:tcBorders>
              <w:top w:val="single" w:sz="4" w:space="0" w:color="585858"/>
              <w:bottom w:val="single" w:sz="4" w:space="0" w:color="585858"/>
            </w:tcBorders>
          </w:tcPr>
          <w:p>
            <w:pPr>
              <w:pStyle w:val="TableParagraph"/>
              <w:ind w:left="1102"/>
              <w:rPr>
                <w:sz w:val="18"/>
              </w:rPr>
            </w:pPr>
            <w:r>
              <w:rPr>
                <w:sz w:val="18"/>
              </w:rPr>
              <w:t>17.8</w:t>
            </w:r>
          </w:p>
        </w:tc>
      </w:tr>
      <w:tr>
        <w:trPr>
          <w:trHeight w:val="286" w:hRule="atLeast"/>
        </w:trPr>
        <w:tc>
          <w:tcPr>
            <w:tcW w:w="4595" w:type="dxa"/>
            <w:tcBorders>
              <w:top w:val="single" w:sz="4" w:space="0" w:color="585858"/>
              <w:bottom w:val="single" w:sz="4" w:space="0" w:color="585858"/>
            </w:tcBorders>
          </w:tcPr>
          <w:p>
            <w:pPr>
              <w:pStyle w:val="TableParagraph"/>
              <w:spacing w:before="42"/>
              <w:ind w:left="108"/>
              <w:rPr>
                <w:sz w:val="18"/>
              </w:rPr>
            </w:pPr>
            <w:r>
              <w:rPr>
                <w:sz w:val="18"/>
              </w:rPr>
              <w:t>Faculty—Cisgender Men</w:t>
            </w:r>
          </w:p>
        </w:tc>
        <w:tc>
          <w:tcPr>
            <w:tcW w:w="2178" w:type="dxa"/>
            <w:tcBorders>
              <w:top w:val="single" w:sz="4" w:space="0" w:color="585858"/>
              <w:bottom w:val="single" w:sz="4" w:space="0" w:color="585858"/>
            </w:tcBorders>
          </w:tcPr>
          <w:p>
            <w:pPr>
              <w:pStyle w:val="TableParagraph"/>
              <w:spacing w:before="42"/>
              <w:ind w:left="696"/>
              <w:rPr>
                <w:sz w:val="18"/>
              </w:rPr>
            </w:pPr>
            <w:r>
              <w:rPr>
                <w:sz w:val="18"/>
              </w:rPr>
              <w:t>636</w:t>
            </w:r>
          </w:p>
        </w:tc>
        <w:tc>
          <w:tcPr>
            <w:tcW w:w="2589" w:type="dxa"/>
            <w:tcBorders>
              <w:top w:val="single" w:sz="4" w:space="0" w:color="585858"/>
              <w:bottom w:val="single" w:sz="4" w:space="0" w:color="585858"/>
            </w:tcBorders>
          </w:tcPr>
          <w:p>
            <w:pPr>
              <w:pStyle w:val="TableParagraph"/>
              <w:spacing w:before="42"/>
              <w:ind w:left="1102"/>
              <w:rPr>
                <w:sz w:val="18"/>
              </w:rPr>
            </w:pPr>
            <w:r>
              <w:rPr>
                <w:sz w:val="18"/>
              </w:rPr>
              <w:t>17.9</w:t>
            </w:r>
          </w:p>
        </w:tc>
      </w:tr>
      <w:tr>
        <w:trPr>
          <w:trHeight w:val="289" w:hRule="atLeast"/>
        </w:trPr>
        <w:tc>
          <w:tcPr>
            <w:tcW w:w="4595" w:type="dxa"/>
            <w:tcBorders>
              <w:top w:val="single" w:sz="4" w:space="0" w:color="585858"/>
              <w:bottom w:val="single" w:sz="4" w:space="0" w:color="585858"/>
            </w:tcBorders>
          </w:tcPr>
          <w:p>
            <w:pPr>
              <w:pStyle w:val="TableParagraph"/>
              <w:spacing w:before="42"/>
              <w:ind w:left="108"/>
              <w:rPr>
                <w:sz w:val="18"/>
              </w:rPr>
            </w:pPr>
            <w:r>
              <w:rPr>
                <w:sz w:val="18"/>
              </w:rPr>
              <w:t>Staff—Cisgender Women</w:t>
            </w:r>
          </w:p>
        </w:tc>
        <w:tc>
          <w:tcPr>
            <w:tcW w:w="2178" w:type="dxa"/>
            <w:tcBorders>
              <w:top w:val="single" w:sz="4" w:space="0" w:color="585858"/>
              <w:bottom w:val="single" w:sz="4" w:space="0" w:color="585858"/>
            </w:tcBorders>
          </w:tcPr>
          <w:p>
            <w:pPr>
              <w:pStyle w:val="TableParagraph"/>
              <w:spacing w:before="42"/>
              <w:ind w:left="621"/>
              <w:rPr>
                <w:sz w:val="18"/>
              </w:rPr>
            </w:pPr>
            <w:r>
              <w:rPr>
                <w:sz w:val="18"/>
              </w:rPr>
              <w:t>1,473</w:t>
            </w:r>
          </w:p>
        </w:tc>
        <w:tc>
          <w:tcPr>
            <w:tcW w:w="2589" w:type="dxa"/>
            <w:tcBorders>
              <w:top w:val="single" w:sz="4" w:space="0" w:color="585858"/>
              <w:bottom w:val="single" w:sz="4" w:space="0" w:color="585858"/>
            </w:tcBorders>
          </w:tcPr>
          <w:p>
            <w:pPr>
              <w:pStyle w:val="TableParagraph"/>
              <w:spacing w:before="42"/>
              <w:ind w:left="1103"/>
              <w:rPr>
                <w:sz w:val="18"/>
              </w:rPr>
            </w:pPr>
            <w:r>
              <w:rPr>
                <w:sz w:val="18"/>
              </w:rPr>
              <w:t>19.4</w:t>
            </w:r>
          </w:p>
        </w:tc>
      </w:tr>
      <w:tr>
        <w:trPr>
          <w:trHeight w:val="286" w:hRule="atLeast"/>
        </w:trPr>
        <w:tc>
          <w:tcPr>
            <w:tcW w:w="4595" w:type="dxa"/>
            <w:tcBorders>
              <w:top w:val="single" w:sz="4" w:space="0" w:color="585858"/>
              <w:bottom w:val="single" w:sz="4" w:space="0" w:color="585858"/>
            </w:tcBorders>
          </w:tcPr>
          <w:p>
            <w:pPr>
              <w:pStyle w:val="TableParagraph"/>
              <w:ind w:left="108"/>
              <w:rPr>
                <w:sz w:val="18"/>
              </w:rPr>
            </w:pPr>
            <w:r>
              <w:rPr>
                <w:sz w:val="18"/>
              </w:rPr>
              <w:t>Staff—Cisgender Men</w:t>
            </w:r>
          </w:p>
        </w:tc>
        <w:tc>
          <w:tcPr>
            <w:tcW w:w="2178" w:type="dxa"/>
            <w:tcBorders>
              <w:top w:val="single" w:sz="4" w:space="0" w:color="585858"/>
              <w:bottom w:val="single" w:sz="4" w:space="0" w:color="585858"/>
            </w:tcBorders>
          </w:tcPr>
          <w:p>
            <w:pPr>
              <w:pStyle w:val="TableParagraph"/>
              <w:ind w:left="697"/>
              <w:rPr>
                <w:sz w:val="18"/>
              </w:rPr>
            </w:pPr>
            <w:r>
              <w:rPr>
                <w:sz w:val="18"/>
              </w:rPr>
              <w:t>687</w:t>
            </w:r>
          </w:p>
        </w:tc>
        <w:tc>
          <w:tcPr>
            <w:tcW w:w="2589" w:type="dxa"/>
            <w:tcBorders>
              <w:top w:val="single" w:sz="4" w:space="0" w:color="585858"/>
              <w:bottom w:val="single" w:sz="4" w:space="0" w:color="585858"/>
            </w:tcBorders>
          </w:tcPr>
          <w:p>
            <w:pPr>
              <w:pStyle w:val="TableParagraph"/>
              <w:ind w:left="1103"/>
              <w:rPr>
                <w:sz w:val="18"/>
              </w:rPr>
            </w:pPr>
            <w:r>
              <w:rPr>
                <w:sz w:val="18"/>
              </w:rPr>
              <w:t>19.7</w:t>
            </w:r>
          </w:p>
        </w:tc>
      </w:tr>
      <w:tr>
        <w:trPr>
          <w:trHeight w:val="245" w:hRule="atLeast"/>
        </w:trPr>
        <w:tc>
          <w:tcPr>
            <w:tcW w:w="4595" w:type="dxa"/>
            <w:tcBorders>
              <w:top w:val="single" w:sz="4" w:space="0" w:color="585858"/>
            </w:tcBorders>
          </w:tcPr>
          <w:p>
            <w:pPr>
              <w:pStyle w:val="TableParagraph"/>
              <w:spacing w:line="187" w:lineRule="exact"/>
              <w:ind w:left="108"/>
              <w:rPr>
                <w:sz w:val="18"/>
              </w:rPr>
            </w:pPr>
            <w:r>
              <w:rPr>
                <w:sz w:val="18"/>
              </w:rPr>
              <w:t>Faculty/Staff—Trans and/or Nonbinary</w:t>
            </w:r>
          </w:p>
        </w:tc>
        <w:tc>
          <w:tcPr>
            <w:tcW w:w="2178" w:type="dxa"/>
            <w:tcBorders>
              <w:top w:val="single" w:sz="4" w:space="0" w:color="585858"/>
            </w:tcBorders>
          </w:tcPr>
          <w:p>
            <w:pPr>
              <w:pStyle w:val="TableParagraph"/>
              <w:spacing w:line="187" w:lineRule="exact"/>
              <w:ind w:left="749"/>
              <w:rPr>
                <w:sz w:val="18"/>
              </w:rPr>
            </w:pPr>
            <w:r>
              <w:rPr>
                <w:sz w:val="18"/>
              </w:rPr>
              <w:t>97</w:t>
            </w:r>
          </w:p>
        </w:tc>
        <w:tc>
          <w:tcPr>
            <w:tcW w:w="2589" w:type="dxa"/>
            <w:tcBorders>
              <w:top w:val="single" w:sz="4" w:space="0" w:color="585858"/>
            </w:tcBorders>
          </w:tcPr>
          <w:p>
            <w:pPr>
              <w:pStyle w:val="TableParagraph"/>
              <w:spacing w:line="187" w:lineRule="exact"/>
              <w:ind w:left="1103"/>
              <w:rPr>
                <w:sz w:val="18"/>
              </w:rPr>
            </w:pPr>
            <w:r>
              <w:rPr>
                <w:sz w:val="18"/>
              </w:rPr>
              <w:t>19.0</w:t>
            </w:r>
          </w:p>
        </w:tc>
      </w:tr>
    </w:tbl>
    <w:p>
      <w:pPr>
        <w:spacing w:before="101"/>
        <w:ind w:left="308" w:right="546" w:hanging="189"/>
        <w:jc w:val="left"/>
        <w:rPr>
          <w:sz w:val="18"/>
        </w:rPr>
      </w:pPr>
      <w:r>
        <w:rPr>
          <w:sz w:val="18"/>
        </w:rPr>
        <w:t>*For students, the average survey completion time was longer for survivors of sexual assault than for nonvictims because detailed questions were asked about the incidents they had experienced.</w:t>
      </w:r>
    </w:p>
    <w:p>
      <w:pPr>
        <w:pStyle w:val="BodyText"/>
      </w:pPr>
    </w:p>
    <w:p>
      <w:pPr>
        <w:pStyle w:val="BodyText"/>
        <w:rPr>
          <w:sz w:val="21"/>
        </w:rPr>
      </w:pPr>
    </w:p>
    <w:p>
      <w:pPr>
        <w:pStyle w:val="BodyText"/>
        <w:spacing w:line="333" w:lineRule="auto"/>
        <w:ind w:left="120" w:right="265" w:firstLine="720"/>
      </w:pPr>
      <w:r>
        <w:rPr/>
        <w:t>Throughout this report, results are shown for each group; the categorization of respondents was done according to self-reported gender identity. For the 2022 Know More @ MSU Campus Survey, gender identity information was collected using an approach that differs from that used in 2019, and results are presented separately for students, faculty, and staff who identify as being transgender and/or nonbinary. In 2022, two survey questions were used to determine gender identity (Appendix A).</w:t>
      </w:r>
    </w:p>
    <w:p>
      <w:pPr>
        <w:pStyle w:val="BodyText"/>
        <w:spacing w:line="333" w:lineRule="auto" w:before="1"/>
        <w:ind w:left="120" w:right="143"/>
      </w:pPr>
      <w:r>
        <w:rPr/>
        <w:t>Respondents who did not answer either survey question, selected “prefer not to answer” on both questions, or answered “no” to the first gender identity question and “prefer not to answer” to the second gender identity question were excluded from analysis because it was not possible to put them in a gender category (n = 546).</w:t>
      </w:r>
    </w:p>
    <w:p>
      <w:pPr>
        <w:pStyle w:val="BodyText"/>
        <w:spacing w:line="331" w:lineRule="auto" w:before="162"/>
        <w:ind w:left="119" w:right="424" w:firstLine="720"/>
        <w:rPr>
          <w:sz w:val="13"/>
        </w:rPr>
      </w:pPr>
      <w:r>
        <w:rPr/>
        <w:t>Cisgender women undergraduates, graduate/professional students, and faculty/staff are those who identified themselves as being a “woman” and “cisgender,” or identified themselves as being a “woman” and did not select any other gender identities in either of the two survey questions.</w:t>
      </w:r>
      <w:r>
        <w:rPr>
          <w:position w:val="7"/>
          <w:sz w:val="13"/>
        </w:rPr>
        <w:t>12</w:t>
      </w:r>
    </w:p>
    <w:p>
      <w:pPr>
        <w:pStyle w:val="BodyText"/>
        <w:spacing w:line="333" w:lineRule="auto" w:before="163"/>
        <w:ind w:left="119" w:right="111" w:firstLine="720"/>
      </w:pPr>
      <w:r>
        <w:rPr/>
        <w:t>Cisgender men undergraduates, graduate/professional students, and faculty/staff are those who identified themselves as being a “man” and “cisgender,” or identified themselves as being a “man” and did not select any other gender identity in either of the two survey questions.</w:t>
      </w:r>
    </w:p>
    <w:p>
      <w:pPr>
        <w:pStyle w:val="BodyText"/>
      </w:pPr>
    </w:p>
    <w:p>
      <w:pPr>
        <w:pStyle w:val="BodyText"/>
      </w:pPr>
    </w:p>
    <w:p>
      <w:pPr>
        <w:pStyle w:val="BodyText"/>
      </w:pPr>
    </w:p>
    <w:p>
      <w:pPr>
        <w:pStyle w:val="BodyText"/>
        <w:spacing w:before="8"/>
        <w:rPr>
          <w:sz w:val="16"/>
        </w:rPr>
      </w:pPr>
      <w:r>
        <w:rPr/>
        <w:pict>
          <v:shape style="position:absolute;margin-left:72pt;margin-top:11.760975pt;width:144pt;height:.1pt;mso-position-horizontal-relative:page;mso-position-vertical-relative:paragraph;z-index:-251643904;mso-wrap-distance-left:0;mso-wrap-distance-right:0" coordorigin="1440,235" coordsize="2880,0" path="m1440,235l4320,235e" filled="false" stroked="true" strokeweight=".401pt" strokecolor="#000000">
            <v:path arrowok="t"/>
            <v:stroke dashstyle="solid"/>
            <w10:wrap type="topAndBottom"/>
          </v:shape>
        </w:pict>
      </w:r>
    </w:p>
    <w:p>
      <w:pPr>
        <w:spacing w:line="240" w:lineRule="auto" w:before="58"/>
        <w:ind w:left="391" w:right="253" w:hanging="272"/>
        <w:jc w:val="left"/>
        <w:rPr>
          <w:sz w:val="18"/>
        </w:rPr>
      </w:pPr>
      <w:r>
        <w:rPr>
          <w:position w:val="5"/>
          <w:sz w:val="12"/>
        </w:rPr>
        <w:t>12 </w:t>
      </w:r>
      <w:r>
        <w:rPr>
          <w:sz w:val="18"/>
        </w:rPr>
        <w:t>In a small number of cases when a respondent selected only “cisgender” and no other identities, registrar data were used to select a category. Registrar data were never used to assign respondents to the transgender or nonbinary categories and were not consulted for any other categorizations.</w:t>
      </w:r>
    </w:p>
    <w:p>
      <w:pPr>
        <w:spacing w:after="0" w:line="240" w:lineRule="auto"/>
        <w:jc w:val="left"/>
        <w:rPr>
          <w:sz w:val="18"/>
        </w:rPr>
        <w:sectPr>
          <w:pgSz w:w="12240" w:h="15840"/>
          <w:pgMar w:header="0" w:footer="592" w:top="1020" w:bottom="780" w:left="1320" w:right="1320"/>
        </w:sectPr>
      </w:pPr>
    </w:p>
    <w:p>
      <w:pPr>
        <w:pStyle w:val="BodyText"/>
        <w:spacing w:line="333" w:lineRule="auto" w:before="151"/>
        <w:ind w:left="120" w:right="122" w:firstLine="720"/>
      </w:pPr>
      <w:r>
        <w:rPr/>
        <w:t>Transgender and/or nonbinary undergraduates, graduate/professional students, and faculty/staff are those who identified themselves as being transgender, genderqueer, nonbinary, agender, genderfluid, two-spirit, or intersex in either of the two survey questions.</w:t>
      </w:r>
    </w:p>
    <w:p>
      <w:pPr>
        <w:pStyle w:val="BodyText"/>
        <w:spacing w:line="333" w:lineRule="auto" w:before="161"/>
        <w:ind w:left="119" w:right="223" w:firstLine="720"/>
      </w:pPr>
      <w:r>
        <w:rPr/>
        <w:t>Throughout this report, we identify any estimate that is considered imprecise or not reliable statistically because it is based on fewer than 10 people or has a relative standard error greater than 30%. Any victimization estimates or descriptive results that are considered not statistically precise will be included and identified in figures and tables but will not be described in the text of the report.</w:t>
      </w:r>
    </w:p>
    <w:p>
      <w:pPr>
        <w:pStyle w:val="BodyText"/>
        <w:spacing w:line="333" w:lineRule="auto" w:before="161"/>
        <w:ind w:left="119" w:right="111" w:firstLine="720"/>
      </w:pPr>
      <w:r>
        <w:rPr/>
        <w:t>Response rates varied considerably across the groups. Because calculating response rates requires information for both respondents and nonrespondents, it is not possible to compute response rates by gender identities self-reported in the survey. Instead, MSU registrar data on the sex of students, faculty, and staff, in which everyone was categorized as female or male, were used for the calculation of response rates. As a result, the following discussion of response rates does not refer to women or men as being cisgender and does not discuss response rates for transgender or nonbinary respondents.</w:t>
      </w:r>
    </w:p>
    <w:p>
      <w:pPr>
        <w:pStyle w:val="BodyText"/>
        <w:spacing w:line="333" w:lineRule="auto" w:before="162"/>
        <w:ind w:left="120" w:right="102" w:firstLine="720"/>
        <w:rPr>
          <w:sz w:val="12"/>
        </w:rPr>
      </w:pPr>
      <w:r>
        <w:rPr/>
        <w:t>Undergraduate women (based on data from the MSU Registrar) responded to the survey at a rate of 23.5% overall, whereas 12.3% of undergraduate men responded to the survey. Among undergraduate students, however, response rates were substantially higher for the incentive samples (35.9% for women and 18.7% for men) than the non-incentive samples (10.4% for women and 4.2% for men). Women graduate/professional students responded at the rate of 10.1%, compared to 7.8% of men graduate/professional students. For faculty and staff, 8.3% of women faculty, 4.5% of men faculty, 25.5% of women staff, and 18.0% of men staff responded to the survey.</w:t>
      </w:r>
      <w:r>
        <w:rPr>
          <w:position w:val="5"/>
          <w:sz w:val="12"/>
        </w:rPr>
        <w:t>13</w:t>
      </w:r>
    </w:p>
    <w:p>
      <w:pPr>
        <w:pStyle w:val="BodyText"/>
        <w:spacing w:line="333" w:lineRule="auto" w:before="163"/>
        <w:ind w:left="119" w:right="123" w:firstLine="720"/>
      </w:pPr>
      <w:r>
        <w:rPr/>
        <w:t>Nonresponse bias analyses (comparisons of those who participated in the survey with those who were invited to participate but did not) were conducted separately for each population using available administrative data. Among undergraduate students, those with higher grade point averages and standardized test scores were generally more likely to participate. Undergraduates who were in their first or second years at MSU were also more likely to participate. Some differences with race/ethnicity were also observed, with White, Hispanic, and Asian students slightly more likely to participate than Black students. Among graduate and professional students, those with higher grade point averages and who were graduate (as opposed to professional) students were more likely to participate. Age was positively correlated with participation, and White and Hispanic students, as well as those who indicated being two or more races, were more likely to participate than Asian and Black students. Among faculty, age and years of service were positively associated with participation, and associate professors and professors were more likely to participate than were assistant professors and instructors. Finally, among staff, those with more years of service, older staff, staff on main campus, and union staff were generally more likely to participate. (Detailed results of the nonresponse bias analysis are included in Appendix B.) For most characteristics included in the nonresponse bias analysis, the effect sizes were small to medium (i.e.,</w:t>
      </w:r>
    </w:p>
    <w:p>
      <w:pPr>
        <w:pStyle w:val="BodyText"/>
        <w:spacing w:before="2"/>
        <w:rPr>
          <w:sz w:val="18"/>
        </w:rPr>
      </w:pPr>
      <w:r>
        <w:rPr/>
        <w:pict>
          <v:shape style="position:absolute;margin-left:72pt;margin-top:12.625244pt;width:144pt;height:.1pt;mso-position-horizontal-relative:page;mso-position-vertical-relative:paragraph;z-index:-251642880;mso-wrap-distance-left:0;mso-wrap-distance-right:0" coordorigin="1440,253" coordsize="2880,0" path="m1440,253l4320,253e" filled="false" stroked="true" strokeweight=".4pt" strokecolor="#000000">
            <v:path arrowok="t"/>
            <v:stroke dashstyle="solid"/>
            <w10:wrap type="topAndBottom"/>
          </v:shape>
        </w:pict>
      </w:r>
    </w:p>
    <w:p>
      <w:pPr>
        <w:spacing w:line="240" w:lineRule="auto" w:before="54"/>
        <w:ind w:left="392" w:right="350" w:hanging="273"/>
        <w:jc w:val="left"/>
        <w:rPr>
          <w:sz w:val="18"/>
        </w:rPr>
      </w:pPr>
      <w:r>
        <w:rPr>
          <w:position w:val="5"/>
          <w:sz w:val="12"/>
        </w:rPr>
        <w:t>13 </w:t>
      </w:r>
      <w:r>
        <w:rPr>
          <w:sz w:val="18"/>
        </w:rPr>
        <w:t>For 2022, the sample includes faculty and staff who are part of a group labeled “non-pay employees,” which was not included in the 2019 Know More @ MSU Campus Survey. Fifty-four of the 10,218 faculty and staff in this group participated in the 2022 Know More @ MSU Campus Survey, representing 1.5% of the 3,695 faculty and staff respondents. The inclusion of this group suppresses response rates dramatically. If this group had been excluded, response rates would be 29.1% for women faculty and 19.3% for men faculty.</w:t>
      </w:r>
    </w:p>
    <w:p>
      <w:pPr>
        <w:spacing w:after="0" w:line="240" w:lineRule="auto"/>
        <w:jc w:val="left"/>
        <w:rPr>
          <w:sz w:val="18"/>
        </w:rPr>
        <w:sectPr>
          <w:pgSz w:w="12240" w:h="15840"/>
          <w:pgMar w:header="0" w:footer="592" w:top="1020" w:bottom="780" w:left="1320" w:right="1320"/>
        </w:sectPr>
      </w:pPr>
    </w:p>
    <w:p>
      <w:pPr>
        <w:pStyle w:val="BodyText"/>
        <w:spacing w:line="333" w:lineRule="auto" w:before="151"/>
        <w:ind w:left="120" w:right="286"/>
        <w:jc w:val="both"/>
      </w:pPr>
      <w:r>
        <w:rPr/>
        <w:t>&lt; 0.5) for student and staff groups. For the faculty groups, however, the effect sizes were large for some characteristics. The data were weighted to adjust for this potential nonresponse bias, but because of </w:t>
      </w:r>
      <w:r>
        <w:rPr>
          <w:spacing w:val="-3"/>
        </w:rPr>
        <w:t>the </w:t>
      </w:r>
      <w:r>
        <w:rPr/>
        <w:t>smaller number of faculty respondents, some covariates in the weighting models had to be collapsed.</w:t>
      </w:r>
    </w:p>
    <w:p>
      <w:pPr>
        <w:pStyle w:val="BodyText"/>
        <w:spacing w:line="333" w:lineRule="auto" w:before="1"/>
        <w:ind w:left="120" w:right="183"/>
      </w:pPr>
      <w:r>
        <w:rPr/>
        <w:t>Although this adjustment reduces the variance of estimates by reducing unequal weighting effects, the trade-off is a diminished ability to negate bias for this group through weighting. In other words, the differential response rates and small sample sizes for some faculty subgroups led to substantial variation in the sampling weights assigned to certain respondents. This variation, in turn, decreases the precision of estimates produced with the data (i.e., larger standard errors and wider confidence intervals). To reduce this variation and increase the precision of estimates, certain groups were combined for weighting purposes (e.g., instructors and assistant professors). Although this process can lead to a significant increase in precision, it also has the potential to decrease the accuracy of an estimate if the groups being combined differ with respect to a particular outcome (i.e., differ in terms of prevalence).</w:t>
      </w:r>
    </w:p>
    <w:p>
      <w:pPr>
        <w:pStyle w:val="BodyText"/>
        <w:spacing w:line="333" w:lineRule="auto" w:before="163"/>
        <w:ind w:left="120" w:right="113" w:firstLine="720"/>
      </w:pPr>
      <w:r>
        <w:rPr/>
        <w:t>The remainder of this report summarizes the findings from the study, based on the weighted data. Characteristics of the student samples are included in Tables 2 (undergraduates) and Table 3 (graduate/ professional students). Characteristics of the faculty and staff samples are shown in Table 4, with additional details included in Appendix C.</w:t>
      </w:r>
    </w:p>
    <w:p>
      <w:pPr>
        <w:pStyle w:val="Heading5"/>
        <w:tabs>
          <w:tab w:pos="1199" w:val="left" w:leader="none"/>
        </w:tabs>
        <w:spacing w:before="161"/>
        <w:ind w:left="120" w:firstLine="0"/>
      </w:pPr>
      <w:r>
        <w:rPr/>
        <w:t>Table</w:t>
      </w:r>
      <w:r>
        <w:rPr>
          <w:spacing w:val="-3"/>
        </w:rPr>
        <w:t> </w:t>
      </w:r>
      <w:r>
        <w:rPr/>
        <w:t>2.</w:t>
        <w:tab/>
        <w:t>Distribution of Respondents, Undergraduate</w:t>
      </w:r>
      <w:r>
        <w:rPr>
          <w:spacing w:val="-5"/>
        </w:rPr>
        <w:t> </w:t>
      </w:r>
      <w:r>
        <w:rPr/>
        <w:t>Students</w:t>
      </w:r>
    </w:p>
    <w:p>
      <w:pPr>
        <w:pStyle w:val="BodyText"/>
        <w:spacing w:before="1"/>
        <w:rPr>
          <w:b/>
          <w:sz w:val="7"/>
        </w:rPr>
      </w:pPr>
    </w:p>
    <w:tbl>
      <w:tblPr>
        <w:tblW w:w="0" w:type="auto"/>
        <w:jc w:val="left"/>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21"/>
        <w:gridCol w:w="1605"/>
        <w:gridCol w:w="1270"/>
        <w:gridCol w:w="894"/>
        <w:gridCol w:w="1344"/>
        <w:gridCol w:w="816"/>
        <w:gridCol w:w="1410"/>
      </w:tblGrid>
      <w:tr>
        <w:trPr>
          <w:trHeight w:val="995" w:hRule="atLeast"/>
        </w:trPr>
        <w:tc>
          <w:tcPr>
            <w:tcW w:w="9360" w:type="dxa"/>
            <w:gridSpan w:val="7"/>
            <w:tcBorders>
              <w:bottom w:val="single" w:sz="4" w:space="0" w:color="585858"/>
            </w:tcBorders>
            <w:shd w:val="clear" w:color="auto" w:fill="09357D"/>
          </w:tcPr>
          <w:p>
            <w:pPr>
              <w:pStyle w:val="TableParagraph"/>
              <w:tabs>
                <w:tab w:pos="5479" w:val="left" w:leader="none"/>
                <w:tab w:pos="7835" w:val="left" w:leader="none"/>
              </w:tabs>
              <w:spacing w:line="237" w:lineRule="auto" w:before="41"/>
              <w:ind w:left="3316" w:right="227" w:firstLine="4120"/>
              <w:rPr>
                <w:b/>
                <w:sz w:val="18"/>
              </w:rPr>
            </w:pPr>
            <w:r>
              <w:rPr>
                <w:b/>
                <w:color w:val="FFFFFF"/>
                <w:sz w:val="18"/>
              </w:rPr>
              <w:t>Transgender </w:t>
            </w:r>
            <w:r>
              <w:rPr>
                <w:b/>
                <w:color w:val="FFFFFF"/>
                <w:spacing w:val="-3"/>
                <w:sz w:val="18"/>
              </w:rPr>
              <w:t>and/or </w:t>
            </w:r>
            <w:r>
              <w:rPr>
                <w:b/>
                <w:color w:val="FFFFFF"/>
                <w:sz w:val="18"/>
              </w:rPr>
              <w:t>Undergraduate</w:t>
              <w:tab/>
              <w:t>Undergraduate</w:t>
              <w:tab/>
              <w:t>Nonbinary</w:t>
            </w:r>
          </w:p>
          <w:p>
            <w:pPr>
              <w:pStyle w:val="TableParagraph"/>
              <w:tabs>
                <w:tab w:pos="5475" w:val="left" w:leader="none"/>
                <w:tab w:pos="7591" w:val="left" w:leader="none"/>
              </w:tabs>
              <w:spacing w:before="0"/>
              <w:ind w:left="3168"/>
              <w:rPr>
                <w:b/>
                <w:sz w:val="18"/>
              </w:rPr>
            </w:pPr>
            <w:r>
              <w:rPr>
                <w:b/>
                <w:color w:val="FFFFFF"/>
                <w:sz w:val="18"/>
              </w:rPr>
              <w:t>Cisgender</w:t>
            </w:r>
            <w:r>
              <w:rPr>
                <w:b/>
                <w:color w:val="FFFFFF"/>
                <w:spacing w:val="-3"/>
                <w:sz w:val="18"/>
              </w:rPr>
              <w:t> </w:t>
            </w:r>
            <w:r>
              <w:rPr>
                <w:b/>
                <w:color w:val="FFFFFF"/>
                <w:sz w:val="18"/>
              </w:rPr>
              <w:t>Women</w:t>
              <w:tab/>
              <w:t>Cisgender</w:t>
            </w:r>
            <w:r>
              <w:rPr>
                <w:b/>
                <w:color w:val="FFFFFF"/>
                <w:spacing w:val="1"/>
                <w:sz w:val="18"/>
              </w:rPr>
              <w:t> </w:t>
            </w:r>
            <w:r>
              <w:rPr>
                <w:b/>
                <w:color w:val="FFFFFF"/>
                <w:sz w:val="18"/>
              </w:rPr>
              <w:t>Men</w:t>
              <w:tab/>
              <w:t>Undergraduates</w:t>
            </w:r>
          </w:p>
          <w:p>
            <w:pPr>
              <w:pStyle w:val="TableParagraph"/>
              <w:tabs>
                <w:tab w:pos="3187" w:val="left" w:leader="none"/>
                <w:tab w:pos="3879" w:val="left" w:leader="none"/>
                <w:tab w:pos="5351" w:val="left" w:leader="none"/>
                <w:tab w:pos="6043" w:val="left" w:leader="none"/>
                <w:tab w:pos="7511" w:val="left" w:leader="none"/>
                <w:tab w:pos="8203" w:val="left" w:leader="none"/>
              </w:tabs>
              <w:spacing w:before="93"/>
              <w:ind w:left="840"/>
              <w:rPr>
                <w:b/>
                <w:sz w:val="18"/>
              </w:rPr>
            </w:pPr>
            <w:r>
              <w:rPr>
                <w:b/>
                <w:color w:val="FFFFFF"/>
                <w:sz w:val="18"/>
              </w:rPr>
              <w:t>Characteristic</w:t>
              <w:tab/>
              <w:t>#</w:t>
              <w:tab/>
              <w:t>%</w:t>
              <w:tab/>
              <w:t>#</w:t>
              <w:tab/>
              <w:t>%</w:t>
              <w:tab/>
              <w:t>#</w:t>
              <w:tab/>
              <w:t>%</w:t>
            </w:r>
          </w:p>
        </w:tc>
      </w:tr>
      <w:tr>
        <w:trPr>
          <w:trHeight w:val="290" w:hRule="atLeast"/>
        </w:trPr>
        <w:tc>
          <w:tcPr>
            <w:tcW w:w="2021" w:type="dxa"/>
            <w:tcBorders>
              <w:top w:val="single" w:sz="4" w:space="0" w:color="585858"/>
              <w:bottom w:val="single" w:sz="4" w:space="0" w:color="585858"/>
            </w:tcBorders>
            <w:shd w:val="clear" w:color="auto" w:fill="DEEAF6"/>
          </w:tcPr>
          <w:p>
            <w:pPr>
              <w:pStyle w:val="TableParagraph"/>
              <w:spacing w:before="42"/>
              <w:ind w:left="108"/>
              <w:rPr>
                <w:sz w:val="18"/>
              </w:rPr>
            </w:pPr>
            <w:r>
              <w:rPr>
                <w:sz w:val="18"/>
              </w:rPr>
              <w:t>All persons</w:t>
            </w:r>
          </w:p>
        </w:tc>
        <w:tc>
          <w:tcPr>
            <w:tcW w:w="1605" w:type="dxa"/>
            <w:tcBorders>
              <w:top w:val="single" w:sz="4" w:space="0" w:color="585858"/>
              <w:bottom w:val="single" w:sz="4" w:space="0" w:color="585858"/>
            </w:tcBorders>
            <w:shd w:val="clear" w:color="auto" w:fill="DEEAF6"/>
          </w:tcPr>
          <w:p>
            <w:pPr>
              <w:pStyle w:val="TableParagraph"/>
              <w:spacing w:before="42"/>
              <w:ind w:left="1018"/>
              <w:rPr>
                <w:sz w:val="18"/>
              </w:rPr>
            </w:pPr>
            <w:r>
              <w:rPr>
                <w:sz w:val="18"/>
              </w:rPr>
              <w:t>4,070</w:t>
            </w:r>
          </w:p>
        </w:tc>
        <w:tc>
          <w:tcPr>
            <w:tcW w:w="1270" w:type="dxa"/>
            <w:tcBorders>
              <w:top w:val="single" w:sz="4" w:space="0" w:color="585858"/>
              <w:bottom w:val="single" w:sz="4" w:space="0" w:color="585858"/>
            </w:tcBorders>
            <w:shd w:val="clear" w:color="auto" w:fill="DEEAF6"/>
          </w:tcPr>
          <w:p>
            <w:pPr>
              <w:pStyle w:val="TableParagraph"/>
              <w:tabs>
                <w:tab w:pos="801" w:val="left" w:leader="none"/>
              </w:tabs>
              <w:spacing w:before="42"/>
              <w:ind w:left="133"/>
              <w:rPr>
                <w:sz w:val="18"/>
              </w:rPr>
            </w:pPr>
            <w:r>
              <w:rPr>
                <w:sz w:val="18"/>
              </w:rPr>
              <w:t>100.0</w:t>
              <w:tab/>
              <w:t>%</w:t>
            </w:r>
          </w:p>
        </w:tc>
        <w:tc>
          <w:tcPr>
            <w:tcW w:w="894" w:type="dxa"/>
            <w:tcBorders>
              <w:top w:val="single" w:sz="4" w:space="0" w:color="585858"/>
              <w:bottom w:val="single" w:sz="4" w:space="0" w:color="585858"/>
            </w:tcBorders>
            <w:shd w:val="clear" w:color="auto" w:fill="DEEAF6"/>
          </w:tcPr>
          <w:p>
            <w:pPr>
              <w:pStyle w:val="TableParagraph"/>
              <w:spacing w:before="42"/>
              <w:ind w:left="307"/>
              <w:rPr>
                <w:sz w:val="18"/>
              </w:rPr>
            </w:pPr>
            <w:r>
              <w:rPr>
                <w:sz w:val="18"/>
              </w:rPr>
              <w:t>2,017</w:t>
            </w:r>
          </w:p>
        </w:tc>
        <w:tc>
          <w:tcPr>
            <w:tcW w:w="1344" w:type="dxa"/>
            <w:tcBorders>
              <w:top w:val="single" w:sz="4" w:space="0" w:color="585858"/>
              <w:bottom w:val="single" w:sz="4" w:space="0" w:color="585858"/>
            </w:tcBorders>
            <w:shd w:val="clear" w:color="auto" w:fill="DEEAF6"/>
          </w:tcPr>
          <w:p>
            <w:pPr>
              <w:pStyle w:val="TableParagraph"/>
              <w:tabs>
                <w:tab w:pos="801" w:val="left" w:leader="none"/>
              </w:tabs>
              <w:spacing w:before="42"/>
              <w:ind w:left="133"/>
              <w:rPr>
                <w:sz w:val="18"/>
              </w:rPr>
            </w:pPr>
            <w:r>
              <w:rPr>
                <w:sz w:val="18"/>
              </w:rPr>
              <w:t>100.0</w:t>
              <w:tab/>
              <w:t>%</w:t>
            </w:r>
          </w:p>
        </w:tc>
        <w:tc>
          <w:tcPr>
            <w:tcW w:w="816" w:type="dxa"/>
            <w:tcBorders>
              <w:top w:val="single" w:sz="4" w:space="0" w:color="585858"/>
              <w:bottom w:val="single" w:sz="4" w:space="0" w:color="585858"/>
            </w:tcBorders>
            <w:shd w:val="clear" w:color="auto" w:fill="DEEAF6"/>
          </w:tcPr>
          <w:p>
            <w:pPr>
              <w:pStyle w:val="TableParagraph"/>
              <w:spacing w:before="42"/>
              <w:ind w:left="382"/>
              <w:rPr>
                <w:sz w:val="18"/>
              </w:rPr>
            </w:pPr>
            <w:r>
              <w:rPr>
                <w:sz w:val="18"/>
              </w:rPr>
              <w:t>323</w:t>
            </w:r>
          </w:p>
        </w:tc>
        <w:tc>
          <w:tcPr>
            <w:tcW w:w="1410" w:type="dxa"/>
            <w:tcBorders>
              <w:top w:val="single" w:sz="4" w:space="0" w:color="585858"/>
              <w:bottom w:val="single" w:sz="4" w:space="0" w:color="585858"/>
            </w:tcBorders>
            <w:shd w:val="clear" w:color="auto" w:fill="DEEAF6"/>
          </w:tcPr>
          <w:p>
            <w:pPr>
              <w:pStyle w:val="TableParagraph"/>
              <w:tabs>
                <w:tab w:pos="801" w:val="left" w:leader="none"/>
              </w:tabs>
              <w:spacing w:before="42"/>
              <w:ind w:left="133"/>
              <w:rPr>
                <w:sz w:val="18"/>
              </w:rPr>
            </w:pPr>
            <w:r>
              <w:rPr>
                <w:sz w:val="18"/>
              </w:rPr>
              <w:t>100.0</w:t>
              <w:tab/>
              <w:t>%</w:t>
            </w:r>
          </w:p>
        </w:tc>
      </w:tr>
    </w:tbl>
    <w:p>
      <w:pPr>
        <w:spacing w:before="40" w:after="46"/>
        <w:ind w:left="228" w:right="0" w:firstLine="0"/>
        <w:jc w:val="left"/>
        <w:rPr>
          <w:sz w:val="18"/>
        </w:rPr>
      </w:pPr>
      <w:r>
        <w:rPr>
          <w:sz w:val="18"/>
        </w:rPr>
        <w:t>Year of study</w:t>
      </w: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81"/>
        <w:gridCol w:w="1101"/>
        <w:gridCol w:w="644"/>
        <w:gridCol w:w="576"/>
        <w:gridCol w:w="944"/>
        <w:gridCol w:w="644"/>
        <w:gridCol w:w="648"/>
        <w:gridCol w:w="868"/>
        <w:gridCol w:w="644"/>
        <w:gridCol w:w="716"/>
      </w:tblGrid>
      <w:tr>
        <w:trPr>
          <w:trHeight w:val="285" w:hRule="atLeast"/>
        </w:trPr>
        <w:tc>
          <w:tcPr>
            <w:tcW w:w="2581" w:type="dxa"/>
            <w:tcBorders>
              <w:top w:val="single" w:sz="4" w:space="0" w:color="585858"/>
              <w:bottom w:val="single" w:sz="4" w:space="0" w:color="585858"/>
            </w:tcBorders>
          </w:tcPr>
          <w:p>
            <w:pPr>
              <w:pStyle w:val="TableParagraph"/>
              <w:ind w:left="441"/>
              <w:rPr>
                <w:sz w:val="18"/>
              </w:rPr>
            </w:pPr>
            <w:r>
              <w:rPr>
                <w:sz w:val="18"/>
              </w:rPr>
              <w:t>1st-year undergrad</w:t>
            </w:r>
          </w:p>
        </w:tc>
        <w:tc>
          <w:tcPr>
            <w:tcW w:w="1101" w:type="dxa"/>
            <w:tcBorders>
              <w:top w:val="single" w:sz="4" w:space="0" w:color="585858"/>
              <w:bottom w:val="single" w:sz="4" w:space="0" w:color="585858"/>
            </w:tcBorders>
          </w:tcPr>
          <w:p>
            <w:pPr>
              <w:pStyle w:val="TableParagraph"/>
              <w:ind w:right="181"/>
              <w:jc w:val="right"/>
              <w:rPr>
                <w:sz w:val="18"/>
              </w:rPr>
            </w:pPr>
            <w:r>
              <w:rPr>
                <w:sz w:val="18"/>
              </w:rPr>
              <w:t>1,121</w:t>
            </w:r>
          </w:p>
        </w:tc>
        <w:tc>
          <w:tcPr>
            <w:tcW w:w="644" w:type="dxa"/>
            <w:tcBorders>
              <w:top w:val="single" w:sz="4" w:space="0" w:color="585858"/>
              <w:bottom w:val="single" w:sz="4" w:space="0" w:color="585858"/>
            </w:tcBorders>
          </w:tcPr>
          <w:p>
            <w:pPr>
              <w:pStyle w:val="TableParagraph"/>
              <w:ind w:right="106"/>
              <w:jc w:val="right"/>
              <w:rPr>
                <w:sz w:val="18"/>
              </w:rPr>
            </w:pPr>
            <w:r>
              <w:rPr>
                <w:sz w:val="18"/>
              </w:rPr>
              <w:t>27.5</w:t>
            </w:r>
          </w:p>
        </w:tc>
        <w:tc>
          <w:tcPr>
            <w:tcW w:w="576" w:type="dxa"/>
            <w:tcBorders>
              <w:top w:val="single" w:sz="4" w:space="0" w:color="585858"/>
              <w:bottom w:val="single" w:sz="4" w:space="0" w:color="585858"/>
            </w:tcBorders>
          </w:tcPr>
          <w:p>
            <w:pPr>
              <w:pStyle w:val="TableParagraph"/>
              <w:ind w:left="107"/>
              <w:rPr>
                <w:sz w:val="18"/>
              </w:rPr>
            </w:pPr>
            <w:r>
              <w:rPr>
                <w:sz w:val="18"/>
              </w:rPr>
              <w:t>%</w:t>
            </w:r>
          </w:p>
        </w:tc>
        <w:tc>
          <w:tcPr>
            <w:tcW w:w="944" w:type="dxa"/>
            <w:tcBorders>
              <w:top w:val="single" w:sz="4" w:space="0" w:color="585858"/>
              <w:bottom w:val="single" w:sz="4" w:space="0" w:color="585858"/>
            </w:tcBorders>
          </w:tcPr>
          <w:p>
            <w:pPr>
              <w:pStyle w:val="TableParagraph"/>
              <w:ind w:right="182"/>
              <w:jc w:val="right"/>
              <w:rPr>
                <w:sz w:val="18"/>
              </w:rPr>
            </w:pPr>
            <w:r>
              <w:rPr>
                <w:sz w:val="18"/>
              </w:rPr>
              <w:t>540</w:t>
            </w:r>
          </w:p>
        </w:tc>
        <w:tc>
          <w:tcPr>
            <w:tcW w:w="644" w:type="dxa"/>
            <w:tcBorders>
              <w:top w:val="single" w:sz="4" w:space="0" w:color="585858"/>
              <w:bottom w:val="single" w:sz="4" w:space="0" w:color="585858"/>
            </w:tcBorders>
          </w:tcPr>
          <w:p>
            <w:pPr>
              <w:pStyle w:val="TableParagraph"/>
              <w:ind w:right="105"/>
              <w:jc w:val="right"/>
              <w:rPr>
                <w:sz w:val="18"/>
              </w:rPr>
            </w:pPr>
            <w:r>
              <w:rPr>
                <w:sz w:val="18"/>
              </w:rPr>
              <w:t>26.8</w:t>
            </w:r>
          </w:p>
        </w:tc>
        <w:tc>
          <w:tcPr>
            <w:tcW w:w="648" w:type="dxa"/>
            <w:tcBorders>
              <w:top w:val="single" w:sz="4" w:space="0" w:color="585858"/>
              <w:bottom w:val="single" w:sz="4" w:space="0" w:color="585858"/>
            </w:tcBorders>
          </w:tcPr>
          <w:p>
            <w:pPr>
              <w:pStyle w:val="TableParagraph"/>
              <w:ind w:left="108"/>
              <w:rPr>
                <w:sz w:val="18"/>
              </w:rPr>
            </w:pPr>
            <w:r>
              <w:rPr>
                <w:sz w:val="18"/>
              </w:rPr>
              <w:t>%</w:t>
            </w:r>
          </w:p>
        </w:tc>
        <w:tc>
          <w:tcPr>
            <w:tcW w:w="868" w:type="dxa"/>
            <w:tcBorders>
              <w:top w:val="single" w:sz="4" w:space="0" w:color="585858"/>
              <w:bottom w:val="single" w:sz="4" w:space="0" w:color="585858"/>
            </w:tcBorders>
          </w:tcPr>
          <w:p>
            <w:pPr>
              <w:pStyle w:val="TableParagraph"/>
              <w:ind w:right="181"/>
              <w:jc w:val="right"/>
              <w:rPr>
                <w:sz w:val="18"/>
              </w:rPr>
            </w:pPr>
            <w:r>
              <w:rPr>
                <w:sz w:val="18"/>
              </w:rPr>
              <w:t>98</w:t>
            </w:r>
          </w:p>
        </w:tc>
        <w:tc>
          <w:tcPr>
            <w:tcW w:w="644" w:type="dxa"/>
            <w:tcBorders>
              <w:top w:val="single" w:sz="4" w:space="0" w:color="585858"/>
              <w:bottom w:val="single" w:sz="4" w:space="0" w:color="585858"/>
            </w:tcBorders>
          </w:tcPr>
          <w:p>
            <w:pPr>
              <w:pStyle w:val="TableParagraph"/>
              <w:ind w:right="105"/>
              <w:jc w:val="right"/>
              <w:rPr>
                <w:sz w:val="18"/>
              </w:rPr>
            </w:pPr>
            <w:r>
              <w:rPr>
                <w:sz w:val="18"/>
              </w:rPr>
              <w:t>30.3</w:t>
            </w:r>
          </w:p>
        </w:tc>
        <w:tc>
          <w:tcPr>
            <w:tcW w:w="716" w:type="dxa"/>
            <w:tcBorders>
              <w:top w:val="single" w:sz="4" w:space="0" w:color="585858"/>
              <w:bottom w:val="single" w:sz="4" w:space="0" w:color="585858"/>
            </w:tcBorders>
          </w:tcPr>
          <w:p>
            <w:pPr>
              <w:pStyle w:val="TableParagraph"/>
              <w:ind w:left="108"/>
              <w:rPr>
                <w:sz w:val="18"/>
              </w:rPr>
            </w:pPr>
            <w:r>
              <w:rPr>
                <w:sz w:val="18"/>
              </w:rPr>
              <w:t>%</w:t>
            </w:r>
          </w:p>
        </w:tc>
      </w:tr>
      <w:tr>
        <w:trPr>
          <w:trHeight w:val="286" w:hRule="atLeast"/>
        </w:trPr>
        <w:tc>
          <w:tcPr>
            <w:tcW w:w="2581" w:type="dxa"/>
            <w:tcBorders>
              <w:top w:val="single" w:sz="4" w:space="0" w:color="585858"/>
              <w:bottom w:val="single" w:sz="4" w:space="0" w:color="585858"/>
            </w:tcBorders>
          </w:tcPr>
          <w:p>
            <w:pPr>
              <w:pStyle w:val="TableParagraph"/>
              <w:spacing w:before="42"/>
              <w:ind w:left="441"/>
              <w:rPr>
                <w:sz w:val="18"/>
              </w:rPr>
            </w:pPr>
            <w:r>
              <w:rPr>
                <w:sz w:val="18"/>
              </w:rPr>
              <w:t>2nd-year undergrad</w:t>
            </w:r>
          </w:p>
        </w:tc>
        <w:tc>
          <w:tcPr>
            <w:tcW w:w="1101" w:type="dxa"/>
            <w:tcBorders>
              <w:top w:val="single" w:sz="4" w:space="0" w:color="585858"/>
              <w:bottom w:val="single" w:sz="4" w:space="0" w:color="585858"/>
            </w:tcBorders>
          </w:tcPr>
          <w:p>
            <w:pPr>
              <w:pStyle w:val="TableParagraph"/>
              <w:spacing w:before="42"/>
              <w:ind w:right="181"/>
              <w:jc w:val="right"/>
              <w:rPr>
                <w:sz w:val="18"/>
              </w:rPr>
            </w:pPr>
            <w:r>
              <w:rPr>
                <w:sz w:val="18"/>
              </w:rPr>
              <w:t>1,066</w:t>
            </w:r>
          </w:p>
        </w:tc>
        <w:tc>
          <w:tcPr>
            <w:tcW w:w="644" w:type="dxa"/>
            <w:tcBorders>
              <w:top w:val="single" w:sz="4" w:space="0" w:color="585858"/>
              <w:bottom w:val="single" w:sz="4" w:space="0" w:color="585858"/>
            </w:tcBorders>
          </w:tcPr>
          <w:p>
            <w:pPr>
              <w:pStyle w:val="TableParagraph"/>
              <w:spacing w:before="42"/>
              <w:ind w:right="106"/>
              <w:jc w:val="right"/>
              <w:rPr>
                <w:sz w:val="18"/>
              </w:rPr>
            </w:pPr>
            <w:r>
              <w:rPr>
                <w:sz w:val="18"/>
              </w:rPr>
              <w:t>26.2</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spacing w:before="42"/>
              <w:ind w:right="182"/>
              <w:jc w:val="right"/>
              <w:rPr>
                <w:sz w:val="18"/>
              </w:rPr>
            </w:pPr>
            <w:r>
              <w:rPr>
                <w:sz w:val="18"/>
              </w:rPr>
              <w:t>527</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26.1</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spacing w:before="42"/>
              <w:ind w:right="181"/>
              <w:jc w:val="right"/>
              <w:rPr>
                <w:sz w:val="18"/>
              </w:rPr>
            </w:pPr>
            <w:r>
              <w:rPr>
                <w:sz w:val="18"/>
              </w:rPr>
              <w:t>79</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24.5</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90" w:hRule="atLeast"/>
        </w:trPr>
        <w:tc>
          <w:tcPr>
            <w:tcW w:w="2581" w:type="dxa"/>
            <w:tcBorders>
              <w:top w:val="single" w:sz="4" w:space="0" w:color="585858"/>
              <w:bottom w:val="single" w:sz="4" w:space="0" w:color="585858"/>
            </w:tcBorders>
          </w:tcPr>
          <w:p>
            <w:pPr>
              <w:pStyle w:val="TableParagraph"/>
              <w:spacing w:before="42"/>
              <w:ind w:left="441"/>
              <w:rPr>
                <w:sz w:val="18"/>
              </w:rPr>
            </w:pPr>
            <w:r>
              <w:rPr>
                <w:sz w:val="18"/>
              </w:rPr>
              <w:t>3rd-year undergrad</w:t>
            </w:r>
          </w:p>
        </w:tc>
        <w:tc>
          <w:tcPr>
            <w:tcW w:w="1101" w:type="dxa"/>
            <w:tcBorders>
              <w:top w:val="single" w:sz="4" w:space="0" w:color="585858"/>
              <w:bottom w:val="single" w:sz="4" w:space="0" w:color="585858"/>
            </w:tcBorders>
          </w:tcPr>
          <w:p>
            <w:pPr>
              <w:pStyle w:val="TableParagraph"/>
              <w:spacing w:before="42"/>
              <w:ind w:right="182"/>
              <w:jc w:val="right"/>
              <w:rPr>
                <w:sz w:val="18"/>
              </w:rPr>
            </w:pPr>
            <w:r>
              <w:rPr>
                <w:sz w:val="18"/>
              </w:rPr>
              <w:t>969</w:t>
            </w:r>
          </w:p>
        </w:tc>
        <w:tc>
          <w:tcPr>
            <w:tcW w:w="644" w:type="dxa"/>
            <w:tcBorders>
              <w:top w:val="single" w:sz="4" w:space="0" w:color="585858"/>
              <w:bottom w:val="single" w:sz="4" w:space="0" w:color="585858"/>
            </w:tcBorders>
          </w:tcPr>
          <w:p>
            <w:pPr>
              <w:pStyle w:val="TableParagraph"/>
              <w:spacing w:before="42"/>
              <w:ind w:right="106"/>
              <w:jc w:val="right"/>
              <w:rPr>
                <w:sz w:val="18"/>
              </w:rPr>
            </w:pPr>
            <w:r>
              <w:rPr>
                <w:sz w:val="18"/>
              </w:rPr>
              <w:t>23.8</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spacing w:before="42"/>
              <w:ind w:right="182"/>
              <w:jc w:val="right"/>
              <w:rPr>
                <w:sz w:val="18"/>
              </w:rPr>
            </w:pPr>
            <w:r>
              <w:rPr>
                <w:sz w:val="18"/>
              </w:rPr>
              <w:t>510</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25.3</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spacing w:before="42"/>
              <w:ind w:right="181"/>
              <w:jc w:val="right"/>
              <w:rPr>
                <w:sz w:val="18"/>
              </w:rPr>
            </w:pPr>
            <w:r>
              <w:rPr>
                <w:sz w:val="18"/>
              </w:rPr>
              <w:t>72</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22.3</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5" w:hRule="atLeast"/>
        </w:trPr>
        <w:tc>
          <w:tcPr>
            <w:tcW w:w="2581" w:type="dxa"/>
            <w:tcBorders>
              <w:top w:val="single" w:sz="4" w:space="0" w:color="585858"/>
              <w:bottom w:val="single" w:sz="4" w:space="0" w:color="585858"/>
            </w:tcBorders>
          </w:tcPr>
          <w:p>
            <w:pPr>
              <w:pStyle w:val="TableParagraph"/>
              <w:ind w:left="441"/>
              <w:rPr>
                <w:sz w:val="18"/>
              </w:rPr>
            </w:pPr>
            <w:r>
              <w:rPr>
                <w:sz w:val="18"/>
              </w:rPr>
              <w:t>4th-year undergrad</w:t>
            </w:r>
          </w:p>
        </w:tc>
        <w:tc>
          <w:tcPr>
            <w:tcW w:w="1101" w:type="dxa"/>
            <w:tcBorders>
              <w:top w:val="single" w:sz="4" w:space="0" w:color="585858"/>
              <w:bottom w:val="single" w:sz="4" w:space="0" w:color="585858"/>
            </w:tcBorders>
          </w:tcPr>
          <w:p>
            <w:pPr>
              <w:pStyle w:val="TableParagraph"/>
              <w:ind w:right="182"/>
              <w:jc w:val="right"/>
              <w:rPr>
                <w:sz w:val="18"/>
              </w:rPr>
            </w:pPr>
            <w:r>
              <w:rPr>
                <w:sz w:val="18"/>
              </w:rPr>
              <w:t>901</w:t>
            </w:r>
          </w:p>
        </w:tc>
        <w:tc>
          <w:tcPr>
            <w:tcW w:w="644" w:type="dxa"/>
            <w:tcBorders>
              <w:top w:val="single" w:sz="4" w:space="0" w:color="585858"/>
              <w:bottom w:val="single" w:sz="4" w:space="0" w:color="585858"/>
            </w:tcBorders>
          </w:tcPr>
          <w:p>
            <w:pPr>
              <w:pStyle w:val="TableParagraph"/>
              <w:ind w:right="106"/>
              <w:jc w:val="right"/>
              <w:rPr>
                <w:sz w:val="18"/>
              </w:rPr>
            </w:pPr>
            <w:r>
              <w:rPr>
                <w:sz w:val="18"/>
              </w:rPr>
              <w:t>22.1</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ind w:right="182"/>
              <w:jc w:val="right"/>
              <w:rPr>
                <w:sz w:val="18"/>
              </w:rPr>
            </w:pPr>
            <w:r>
              <w:rPr>
                <w:sz w:val="18"/>
              </w:rPr>
              <w:t>439</w:t>
            </w:r>
          </w:p>
        </w:tc>
        <w:tc>
          <w:tcPr>
            <w:tcW w:w="644" w:type="dxa"/>
            <w:tcBorders>
              <w:top w:val="single" w:sz="4" w:space="0" w:color="585858"/>
              <w:bottom w:val="single" w:sz="4" w:space="0" w:color="585858"/>
            </w:tcBorders>
          </w:tcPr>
          <w:p>
            <w:pPr>
              <w:pStyle w:val="TableParagraph"/>
              <w:ind w:right="105"/>
              <w:jc w:val="right"/>
              <w:rPr>
                <w:sz w:val="18"/>
              </w:rPr>
            </w:pPr>
            <w:r>
              <w:rPr>
                <w:sz w:val="18"/>
              </w:rPr>
              <w:t>21.8</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ind w:right="181"/>
              <w:jc w:val="right"/>
              <w:rPr>
                <w:sz w:val="18"/>
              </w:rPr>
            </w:pPr>
            <w:r>
              <w:rPr>
                <w:sz w:val="18"/>
              </w:rPr>
              <w:t>74</w:t>
            </w:r>
          </w:p>
        </w:tc>
        <w:tc>
          <w:tcPr>
            <w:tcW w:w="644" w:type="dxa"/>
            <w:tcBorders>
              <w:top w:val="single" w:sz="4" w:space="0" w:color="585858"/>
              <w:bottom w:val="single" w:sz="4" w:space="0" w:color="585858"/>
            </w:tcBorders>
          </w:tcPr>
          <w:p>
            <w:pPr>
              <w:pStyle w:val="TableParagraph"/>
              <w:ind w:right="105"/>
              <w:jc w:val="right"/>
              <w:rPr>
                <w:sz w:val="18"/>
              </w:rPr>
            </w:pPr>
            <w:r>
              <w:rPr>
                <w:sz w:val="18"/>
              </w:rPr>
              <w:t>22.9</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581" w:type="dxa"/>
            <w:tcBorders>
              <w:top w:val="single" w:sz="4" w:space="0" w:color="585858"/>
              <w:bottom w:val="single" w:sz="4" w:space="0" w:color="585858"/>
            </w:tcBorders>
          </w:tcPr>
          <w:p>
            <w:pPr>
              <w:pStyle w:val="TableParagraph"/>
              <w:ind w:left="441"/>
              <w:rPr>
                <w:sz w:val="18"/>
              </w:rPr>
            </w:pPr>
            <w:r>
              <w:rPr>
                <w:sz w:val="18"/>
              </w:rPr>
              <w:t>Other</w:t>
            </w:r>
          </w:p>
        </w:tc>
        <w:tc>
          <w:tcPr>
            <w:tcW w:w="1101" w:type="dxa"/>
            <w:tcBorders>
              <w:top w:val="single" w:sz="4" w:space="0" w:color="585858"/>
              <w:bottom w:val="single" w:sz="4" w:space="0" w:color="585858"/>
            </w:tcBorders>
          </w:tcPr>
          <w:p>
            <w:pPr>
              <w:pStyle w:val="TableParagraph"/>
              <w:ind w:right="181"/>
              <w:jc w:val="right"/>
              <w:rPr>
                <w:sz w:val="18"/>
              </w:rPr>
            </w:pPr>
            <w:r>
              <w:rPr>
                <w:sz w:val="18"/>
              </w:rPr>
              <w:t>&lt;10</w:t>
            </w:r>
          </w:p>
        </w:tc>
        <w:tc>
          <w:tcPr>
            <w:tcW w:w="644" w:type="dxa"/>
            <w:tcBorders>
              <w:top w:val="single" w:sz="4" w:space="0" w:color="585858"/>
              <w:bottom w:val="single" w:sz="4" w:space="0" w:color="585858"/>
            </w:tcBorders>
          </w:tcPr>
          <w:p>
            <w:pPr>
              <w:pStyle w:val="TableParagraph"/>
              <w:ind w:right="105"/>
              <w:jc w:val="right"/>
              <w:rPr>
                <w:sz w:val="18"/>
              </w:rPr>
            </w:pPr>
            <w:r>
              <w:rPr>
                <w:sz w:val="18"/>
              </w:rPr>
              <w:t>0.0</w:t>
            </w:r>
          </w:p>
        </w:tc>
        <w:tc>
          <w:tcPr>
            <w:tcW w:w="576" w:type="dxa"/>
            <w:tcBorders>
              <w:top w:val="single" w:sz="4" w:space="0" w:color="585858"/>
              <w:bottom w:val="single" w:sz="4" w:space="0" w:color="585858"/>
            </w:tcBorders>
          </w:tcPr>
          <w:p>
            <w:pPr>
              <w:pStyle w:val="TableParagraph"/>
              <w:ind w:left="108"/>
              <w:rPr>
                <w:sz w:val="18"/>
              </w:rPr>
            </w:pPr>
            <w:r>
              <w:rPr>
                <w:sz w:val="18"/>
              </w:rPr>
              <w:t>!</w:t>
            </w:r>
          </w:p>
        </w:tc>
        <w:tc>
          <w:tcPr>
            <w:tcW w:w="944" w:type="dxa"/>
            <w:tcBorders>
              <w:top w:val="single" w:sz="4" w:space="0" w:color="585858"/>
              <w:bottom w:val="single" w:sz="4" w:space="0" w:color="585858"/>
            </w:tcBorders>
          </w:tcPr>
          <w:p>
            <w:pPr>
              <w:pStyle w:val="TableParagraph"/>
              <w:ind w:right="181"/>
              <w:jc w:val="right"/>
              <w:rPr>
                <w:sz w:val="18"/>
              </w:rPr>
            </w:pPr>
            <w:r>
              <w:rPr>
                <w:sz w:val="18"/>
              </w:rPr>
              <w:t>&lt;10</w:t>
            </w:r>
          </w:p>
        </w:tc>
        <w:tc>
          <w:tcPr>
            <w:tcW w:w="644" w:type="dxa"/>
            <w:tcBorders>
              <w:top w:val="single" w:sz="4" w:space="0" w:color="585858"/>
              <w:bottom w:val="single" w:sz="4" w:space="0" w:color="585858"/>
            </w:tcBorders>
          </w:tcPr>
          <w:p>
            <w:pPr>
              <w:pStyle w:val="TableParagraph"/>
              <w:ind w:right="105"/>
              <w:jc w:val="right"/>
              <w:rPr>
                <w:sz w:val="18"/>
              </w:rPr>
            </w:pPr>
            <w:r>
              <w:rPr>
                <w:sz w:val="18"/>
              </w:rPr>
              <w:t>0.0</w:t>
            </w:r>
          </w:p>
        </w:tc>
        <w:tc>
          <w:tcPr>
            <w:tcW w:w="648" w:type="dxa"/>
            <w:tcBorders>
              <w:top w:val="single" w:sz="4" w:space="0" w:color="585858"/>
              <w:bottom w:val="single" w:sz="4" w:space="0" w:color="585858"/>
            </w:tcBorders>
          </w:tcPr>
          <w:p>
            <w:pPr>
              <w:pStyle w:val="TableParagraph"/>
              <w:ind w:left="107"/>
              <w:rPr>
                <w:sz w:val="18"/>
              </w:rPr>
            </w:pPr>
            <w:r>
              <w:rPr>
                <w:sz w:val="18"/>
              </w:rPr>
              <w:t>!</w:t>
            </w:r>
          </w:p>
        </w:tc>
        <w:tc>
          <w:tcPr>
            <w:tcW w:w="868" w:type="dxa"/>
            <w:tcBorders>
              <w:top w:val="single" w:sz="4" w:space="0" w:color="585858"/>
              <w:bottom w:val="single" w:sz="4" w:space="0" w:color="585858"/>
            </w:tcBorders>
          </w:tcPr>
          <w:p>
            <w:pPr>
              <w:pStyle w:val="TableParagraph"/>
              <w:ind w:right="181"/>
              <w:jc w:val="right"/>
              <w:rPr>
                <w:sz w:val="18"/>
              </w:rPr>
            </w:pPr>
            <w:r>
              <w:rPr>
                <w:sz w:val="18"/>
              </w:rPr>
              <w:t>&lt;10</w:t>
            </w:r>
          </w:p>
        </w:tc>
        <w:tc>
          <w:tcPr>
            <w:tcW w:w="644" w:type="dxa"/>
            <w:tcBorders>
              <w:top w:val="single" w:sz="4" w:space="0" w:color="585858"/>
              <w:bottom w:val="single" w:sz="4" w:space="0" w:color="585858"/>
            </w:tcBorders>
          </w:tcPr>
          <w:p>
            <w:pPr>
              <w:pStyle w:val="TableParagraph"/>
              <w:ind w:right="105"/>
              <w:jc w:val="right"/>
              <w:rPr>
                <w:sz w:val="18"/>
              </w:rPr>
            </w:pPr>
            <w:r>
              <w:rPr>
                <w:sz w:val="18"/>
              </w:rPr>
              <w:t>0.0</w:t>
            </w:r>
          </w:p>
        </w:tc>
        <w:tc>
          <w:tcPr>
            <w:tcW w:w="716" w:type="dxa"/>
            <w:tcBorders>
              <w:top w:val="single" w:sz="4" w:space="0" w:color="585858"/>
              <w:bottom w:val="single" w:sz="4" w:space="0" w:color="585858"/>
            </w:tcBorders>
          </w:tcPr>
          <w:p>
            <w:pPr>
              <w:pStyle w:val="TableParagraph"/>
              <w:ind w:left="107"/>
              <w:rPr>
                <w:sz w:val="18"/>
              </w:rPr>
            </w:pPr>
            <w:r>
              <w:rPr>
                <w:sz w:val="18"/>
              </w:rPr>
              <w:t>!</w:t>
            </w:r>
          </w:p>
        </w:tc>
      </w:tr>
      <w:tr>
        <w:trPr>
          <w:trHeight w:val="286" w:hRule="atLeast"/>
        </w:trPr>
        <w:tc>
          <w:tcPr>
            <w:tcW w:w="9366" w:type="dxa"/>
            <w:gridSpan w:val="10"/>
            <w:tcBorders>
              <w:top w:val="single" w:sz="4" w:space="0" w:color="585858"/>
              <w:bottom w:val="single" w:sz="4" w:space="0" w:color="585858"/>
            </w:tcBorders>
            <w:shd w:val="clear" w:color="auto" w:fill="DEEAF6"/>
          </w:tcPr>
          <w:p>
            <w:pPr>
              <w:pStyle w:val="TableParagraph"/>
              <w:spacing w:before="42"/>
              <w:ind w:left="114"/>
              <w:rPr>
                <w:sz w:val="18"/>
              </w:rPr>
            </w:pPr>
            <w:r>
              <w:rPr>
                <w:sz w:val="18"/>
              </w:rPr>
              <w:t>Length of enrollment</w:t>
            </w:r>
          </w:p>
        </w:tc>
      </w:tr>
      <w:tr>
        <w:trPr>
          <w:trHeight w:val="290" w:hRule="atLeast"/>
        </w:trPr>
        <w:tc>
          <w:tcPr>
            <w:tcW w:w="2581" w:type="dxa"/>
            <w:tcBorders>
              <w:bottom w:val="single" w:sz="4" w:space="0" w:color="585858"/>
            </w:tcBorders>
          </w:tcPr>
          <w:p>
            <w:pPr>
              <w:pStyle w:val="TableParagraph"/>
              <w:ind w:left="441"/>
              <w:rPr>
                <w:sz w:val="18"/>
              </w:rPr>
            </w:pPr>
            <w:r>
              <w:rPr>
                <w:sz w:val="18"/>
              </w:rPr>
              <w:t>Less than 24 months</w:t>
            </w:r>
          </w:p>
        </w:tc>
        <w:tc>
          <w:tcPr>
            <w:tcW w:w="1101" w:type="dxa"/>
            <w:tcBorders>
              <w:bottom w:val="single" w:sz="4" w:space="0" w:color="585858"/>
            </w:tcBorders>
          </w:tcPr>
          <w:p>
            <w:pPr>
              <w:pStyle w:val="TableParagraph"/>
              <w:ind w:right="181"/>
              <w:jc w:val="right"/>
              <w:rPr>
                <w:sz w:val="18"/>
              </w:rPr>
            </w:pPr>
            <w:r>
              <w:rPr>
                <w:sz w:val="18"/>
              </w:rPr>
              <w:t>2,413</w:t>
            </w:r>
          </w:p>
        </w:tc>
        <w:tc>
          <w:tcPr>
            <w:tcW w:w="644" w:type="dxa"/>
            <w:tcBorders>
              <w:bottom w:val="single" w:sz="4" w:space="0" w:color="585858"/>
            </w:tcBorders>
          </w:tcPr>
          <w:p>
            <w:pPr>
              <w:pStyle w:val="TableParagraph"/>
              <w:ind w:right="106"/>
              <w:jc w:val="right"/>
              <w:rPr>
                <w:sz w:val="18"/>
              </w:rPr>
            </w:pPr>
            <w:r>
              <w:rPr>
                <w:sz w:val="18"/>
              </w:rPr>
              <w:t>59.3</w:t>
            </w:r>
          </w:p>
        </w:tc>
        <w:tc>
          <w:tcPr>
            <w:tcW w:w="576" w:type="dxa"/>
            <w:tcBorders>
              <w:bottom w:val="single" w:sz="4" w:space="0" w:color="585858"/>
            </w:tcBorders>
          </w:tcPr>
          <w:p>
            <w:pPr>
              <w:pStyle w:val="TableParagraph"/>
              <w:ind w:left="107"/>
              <w:rPr>
                <w:sz w:val="18"/>
              </w:rPr>
            </w:pPr>
            <w:r>
              <w:rPr>
                <w:sz w:val="18"/>
              </w:rPr>
              <w:t>%</w:t>
            </w:r>
          </w:p>
        </w:tc>
        <w:tc>
          <w:tcPr>
            <w:tcW w:w="944" w:type="dxa"/>
            <w:tcBorders>
              <w:bottom w:val="single" w:sz="4" w:space="0" w:color="585858"/>
            </w:tcBorders>
          </w:tcPr>
          <w:p>
            <w:pPr>
              <w:pStyle w:val="TableParagraph"/>
              <w:ind w:right="183"/>
              <w:jc w:val="right"/>
              <w:rPr>
                <w:sz w:val="18"/>
              </w:rPr>
            </w:pPr>
            <w:r>
              <w:rPr>
                <w:sz w:val="18"/>
              </w:rPr>
              <w:t>1,176</w:t>
            </w:r>
          </w:p>
        </w:tc>
        <w:tc>
          <w:tcPr>
            <w:tcW w:w="644" w:type="dxa"/>
            <w:tcBorders>
              <w:bottom w:val="single" w:sz="4" w:space="0" w:color="585858"/>
            </w:tcBorders>
          </w:tcPr>
          <w:p>
            <w:pPr>
              <w:pStyle w:val="TableParagraph"/>
              <w:ind w:right="106"/>
              <w:jc w:val="right"/>
              <w:rPr>
                <w:sz w:val="18"/>
              </w:rPr>
            </w:pPr>
            <w:r>
              <w:rPr>
                <w:sz w:val="18"/>
              </w:rPr>
              <w:t>58.3</w:t>
            </w:r>
          </w:p>
        </w:tc>
        <w:tc>
          <w:tcPr>
            <w:tcW w:w="648" w:type="dxa"/>
            <w:tcBorders>
              <w:bottom w:val="single" w:sz="4" w:space="0" w:color="585858"/>
            </w:tcBorders>
          </w:tcPr>
          <w:p>
            <w:pPr>
              <w:pStyle w:val="TableParagraph"/>
              <w:ind w:left="107"/>
              <w:rPr>
                <w:sz w:val="18"/>
              </w:rPr>
            </w:pPr>
            <w:r>
              <w:rPr>
                <w:sz w:val="18"/>
              </w:rPr>
              <w:t>%</w:t>
            </w:r>
          </w:p>
        </w:tc>
        <w:tc>
          <w:tcPr>
            <w:tcW w:w="868" w:type="dxa"/>
            <w:tcBorders>
              <w:bottom w:val="single" w:sz="4" w:space="0" w:color="585858"/>
            </w:tcBorders>
          </w:tcPr>
          <w:p>
            <w:pPr>
              <w:pStyle w:val="TableParagraph"/>
              <w:ind w:right="182"/>
              <w:jc w:val="right"/>
              <w:rPr>
                <w:sz w:val="18"/>
              </w:rPr>
            </w:pPr>
            <w:r>
              <w:rPr>
                <w:sz w:val="18"/>
              </w:rPr>
              <w:t>197</w:t>
            </w:r>
          </w:p>
        </w:tc>
        <w:tc>
          <w:tcPr>
            <w:tcW w:w="644" w:type="dxa"/>
            <w:tcBorders>
              <w:bottom w:val="single" w:sz="4" w:space="0" w:color="585858"/>
            </w:tcBorders>
          </w:tcPr>
          <w:p>
            <w:pPr>
              <w:pStyle w:val="TableParagraph"/>
              <w:ind w:right="106"/>
              <w:jc w:val="right"/>
              <w:rPr>
                <w:sz w:val="18"/>
              </w:rPr>
            </w:pPr>
            <w:r>
              <w:rPr>
                <w:sz w:val="18"/>
              </w:rPr>
              <w:t>61.0</w:t>
            </w:r>
          </w:p>
        </w:tc>
        <w:tc>
          <w:tcPr>
            <w:tcW w:w="716" w:type="dxa"/>
            <w:tcBorders>
              <w:bottom w:val="single" w:sz="4" w:space="0" w:color="585858"/>
            </w:tcBorders>
          </w:tcPr>
          <w:p>
            <w:pPr>
              <w:pStyle w:val="TableParagraph"/>
              <w:ind w:left="107"/>
              <w:rPr>
                <w:sz w:val="18"/>
              </w:rPr>
            </w:pPr>
            <w:r>
              <w:rPr>
                <w:sz w:val="18"/>
              </w:rPr>
              <w:t>%</w:t>
            </w:r>
          </w:p>
        </w:tc>
      </w:tr>
      <w:tr>
        <w:trPr>
          <w:trHeight w:val="286" w:hRule="atLeast"/>
        </w:trPr>
        <w:tc>
          <w:tcPr>
            <w:tcW w:w="2581" w:type="dxa"/>
            <w:tcBorders>
              <w:top w:val="single" w:sz="4" w:space="0" w:color="585858"/>
              <w:bottom w:val="single" w:sz="4" w:space="0" w:color="585858"/>
            </w:tcBorders>
          </w:tcPr>
          <w:p>
            <w:pPr>
              <w:pStyle w:val="TableParagraph"/>
              <w:ind w:left="441"/>
              <w:rPr>
                <w:sz w:val="18"/>
              </w:rPr>
            </w:pPr>
            <w:r>
              <w:rPr>
                <w:sz w:val="18"/>
              </w:rPr>
              <w:t>24 months or more</w:t>
            </w:r>
          </w:p>
        </w:tc>
        <w:tc>
          <w:tcPr>
            <w:tcW w:w="1101" w:type="dxa"/>
            <w:tcBorders>
              <w:top w:val="single" w:sz="4" w:space="0" w:color="585858"/>
              <w:bottom w:val="single" w:sz="4" w:space="0" w:color="585858"/>
            </w:tcBorders>
          </w:tcPr>
          <w:p>
            <w:pPr>
              <w:pStyle w:val="TableParagraph"/>
              <w:ind w:right="181"/>
              <w:jc w:val="right"/>
              <w:rPr>
                <w:sz w:val="18"/>
              </w:rPr>
            </w:pPr>
            <w:r>
              <w:rPr>
                <w:sz w:val="18"/>
              </w:rPr>
              <w:t>1,648</w:t>
            </w:r>
          </w:p>
        </w:tc>
        <w:tc>
          <w:tcPr>
            <w:tcW w:w="644" w:type="dxa"/>
            <w:tcBorders>
              <w:top w:val="single" w:sz="4" w:space="0" w:color="585858"/>
              <w:bottom w:val="single" w:sz="4" w:space="0" w:color="585858"/>
            </w:tcBorders>
          </w:tcPr>
          <w:p>
            <w:pPr>
              <w:pStyle w:val="TableParagraph"/>
              <w:ind w:right="106"/>
              <w:jc w:val="right"/>
              <w:rPr>
                <w:sz w:val="18"/>
              </w:rPr>
            </w:pPr>
            <w:r>
              <w:rPr>
                <w:sz w:val="18"/>
              </w:rPr>
              <w:t>40.5</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ind w:right="182"/>
              <w:jc w:val="right"/>
              <w:rPr>
                <w:sz w:val="18"/>
              </w:rPr>
            </w:pPr>
            <w:r>
              <w:rPr>
                <w:sz w:val="18"/>
              </w:rPr>
              <w:t>829</w:t>
            </w:r>
          </w:p>
        </w:tc>
        <w:tc>
          <w:tcPr>
            <w:tcW w:w="644" w:type="dxa"/>
            <w:tcBorders>
              <w:top w:val="single" w:sz="4" w:space="0" w:color="585858"/>
              <w:bottom w:val="single" w:sz="4" w:space="0" w:color="585858"/>
            </w:tcBorders>
          </w:tcPr>
          <w:p>
            <w:pPr>
              <w:pStyle w:val="TableParagraph"/>
              <w:ind w:right="105"/>
              <w:jc w:val="right"/>
              <w:rPr>
                <w:sz w:val="18"/>
              </w:rPr>
            </w:pPr>
            <w:r>
              <w:rPr>
                <w:sz w:val="18"/>
              </w:rPr>
              <w:t>41.1</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ind w:right="182"/>
              <w:jc w:val="right"/>
              <w:rPr>
                <w:sz w:val="18"/>
              </w:rPr>
            </w:pPr>
            <w:r>
              <w:rPr>
                <w:sz w:val="18"/>
              </w:rPr>
              <w:t>121</w:t>
            </w:r>
          </w:p>
        </w:tc>
        <w:tc>
          <w:tcPr>
            <w:tcW w:w="644" w:type="dxa"/>
            <w:tcBorders>
              <w:top w:val="single" w:sz="4" w:space="0" w:color="585858"/>
              <w:bottom w:val="single" w:sz="4" w:space="0" w:color="585858"/>
            </w:tcBorders>
          </w:tcPr>
          <w:p>
            <w:pPr>
              <w:pStyle w:val="TableParagraph"/>
              <w:ind w:right="105"/>
              <w:jc w:val="right"/>
              <w:rPr>
                <w:sz w:val="18"/>
              </w:rPr>
            </w:pPr>
            <w:r>
              <w:rPr>
                <w:sz w:val="18"/>
              </w:rPr>
              <w:t>37.5</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5" w:hRule="atLeast"/>
        </w:trPr>
        <w:tc>
          <w:tcPr>
            <w:tcW w:w="9366" w:type="dxa"/>
            <w:gridSpan w:val="10"/>
            <w:tcBorders>
              <w:top w:val="single" w:sz="4" w:space="0" w:color="585858"/>
              <w:bottom w:val="single" w:sz="4" w:space="0" w:color="585858"/>
            </w:tcBorders>
            <w:shd w:val="clear" w:color="auto" w:fill="DEEAF6"/>
          </w:tcPr>
          <w:p>
            <w:pPr>
              <w:pStyle w:val="TableParagraph"/>
              <w:ind w:left="114"/>
              <w:rPr>
                <w:sz w:val="18"/>
              </w:rPr>
            </w:pPr>
            <w:r>
              <w:rPr>
                <w:sz w:val="18"/>
              </w:rPr>
              <w:t>Age</w:t>
            </w:r>
          </w:p>
        </w:tc>
      </w:tr>
      <w:tr>
        <w:trPr>
          <w:trHeight w:val="286" w:hRule="atLeast"/>
        </w:trPr>
        <w:tc>
          <w:tcPr>
            <w:tcW w:w="2581" w:type="dxa"/>
            <w:tcBorders>
              <w:bottom w:val="single" w:sz="4" w:space="0" w:color="585858"/>
            </w:tcBorders>
          </w:tcPr>
          <w:p>
            <w:pPr>
              <w:pStyle w:val="TableParagraph"/>
              <w:ind w:left="441"/>
              <w:rPr>
                <w:sz w:val="18"/>
              </w:rPr>
            </w:pPr>
            <w:r>
              <w:rPr>
                <w:sz w:val="18"/>
              </w:rPr>
              <w:t>18</w:t>
            </w:r>
          </w:p>
        </w:tc>
        <w:tc>
          <w:tcPr>
            <w:tcW w:w="1101" w:type="dxa"/>
            <w:tcBorders>
              <w:bottom w:val="single" w:sz="4" w:space="0" w:color="585858"/>
            </w:tcBorders>
          </w:tcPr>
          <w:p>
            <w:pPr>
              <w:pStyle w:val="TableParagraph"/>
              <w:ind w:right="182"/>
              <w:jc w:val="right"/>
              <w:rPr>
                <w:sz w:val="18"/>
              </w:rPr>
            </w:pPr>
            <w:r>
              <w:rPr>
                <w:sz w:val="18"/>
              </w:rPr>
              <w:t>667</w:t>
            </w:r>
          </w:p>
        </w:tc>
        <w:tc>
          <w:tcPr>
            <w:tcW w:w="644" w:type="dxa"/>
            <w:tcBorders>
              <w:bottom w:val="single" w:sz="4" w:space="0" w:color="585858"/>
            </w:tcBorders>
          </w:tcPr>
          <w:p>
            <w:pPr>
              <w:pStyle w:val="TableParagraph"/>
              <w:ind w:right="106"/>
              <w:jc w:val="right"/>
              <w:rPr>
                <w:sz w:val="18"/>
              </w:rPr>
            </w:pPr>
            <w:r>
              <w:rPr>
                <w:sz w:val="18"/>
              </w:rPr>
              <w:t>16.4</w:t>
            </w:r>
          </w:p>
        </w:tc>
        <w:tc>
          <w:tcPr>
            <w:tcW w:w="576" w:type="dxa"/>
            <w:tcBorders>
              <w:bottom w:val="single" w:sz="4" w:space="0" w:color="585858"/>
            </w:tcBorders>
          </w:tcPr>
          <w:p>
            <w:pPr>
              <w:pStyle w:val="TableParagraph"/>
              <w:ind w:left="108"/>
              <w:rPr>
                <w:sz w:val="18"/>
              </w:rPr>
            </w:pPr>
            <w:r>
              <w:rPr>
                <w:sz w:val="18"/>
              </w:rPr>
              <w:t>%</w:t>
            </w:r>
          </w:p>
        </w:tc>
        <w:tc>
          <w:tcPr>
            <w:tcW w:w="944" w:type="dxa"/>
            <w:tcBorders>
              <w:bottom w:val="single" w:sz="4" w:space="0" w:color="585858"/>
            </w:tcBorders>
          </w:tcPr>
          <w:p>
            <w:pPr>
              <w:pStyle w:val="TableParagraph"/>
              <w:ind w:right="182"/>
              <w:jc w:val="right"/>
              <w:rPr>
                <w:sz w:val="18"/>
              </w:rPr>
            </w:pPr>
            <w:r>
              <w:rPr>
                <w:sz w:val="18"/>
              </w:rPr>
              <w:t>261</w:t>
            </w:r>
          </w:p>
        </w:tc>
        <w:tc>
          <w:tcPr>
            <w:tcW w:w="644" w:type="dxa"/>
            <w:tcBorders>
              <w:bottom w:val="single" w:sz="4" w:space="0" w:color="585858"/>
            </w:tcBorders>
          </w:tcPr>
          <w:p>
            <w:pPr>
              <w:pStyle w:val="TableParagraph"/>
              <w:ind w:right="105"/>
              <w:jc w:val="right"/>
              <w:rPr>
                <w:sz w:val="18"/>
              </w:rPr>
            </w:pPr>
            <w:r>
              <w:rPr>
                <w:sz w:val="18"/>
              </w:rPr>
              <w:t>12.9</w:t>
            </w:r>
          </w:p>
        </w:tc>
        <w:tc>
          <w:tcPr>
            <w:tcW w:w="648" w:type="dxa"/>
            <w:tcBorders>
              <w:bottom w:val="single" w:sz="4" w:space="0" w:color="585858"/>
            </w:tcBorders>
          </w:tcPr>
          <w:p>
            <w:pPr>
              <w:pStyle w:val="TableParagraph"/>
              <w:ind w:left="108"/>
              <w:rPr>
                <w:sz w:val="18"/>
              </w:rPr>
            </w:pPr>
            <w:r>
              <w:rPr>
                <w:sz w:val="18"/>
              </w:rPr>
              <w:t>%</w:t>
            </w:r>
          </w:p>
        </w:tc>
        <w:tc>
          <w:tcPr>
            <w:tcW w:w="868" w:type="dxa"/>
            <w:tcBorders>
              <w:bottom w:val="single" w:sz="4" w:space="0" w:color="585858"/>
            </w:tcBorders>
          </w:tcPr>
          <w:p>
            <w:pPr>
              <w:pStyle w:val="TableParagraph"/>
              <w:ind w:right="181"/>
              <w:jc w:val="right"/>
              <w:rPr>
                <w:sz w:val="18"/>
              </w:rPr>
            </w:pPr>
            <w:r>
              <w:rPr>
                <w:sz w:val="18"/>
              </w:rPr>
              <w:t>55</w:t>
            </w:r>
          </w:p>
        </w:tc>
        <w:tc>
          <w:tcPr>
            <w:tcW w:w="644" w:type="dxa"/>
            <w:tcBorders>
              <w:bottom w:val="single" w:sz="4" w:space="0" w:color="585858"/>
            </w:tcBorders>
          </w:tcPr>
          <w:p>
            <w:pPr>
              <w:pStyle w:val="TableParagraph"/>
              <w:ind w:right="105"/>
              <w:jc w:val="right"/>
              <w:rPr>
                <w:sz w:val="18"/>
              </w:rPr>
            </w:pPr>
            <w:r>
              <w:rPr>
                <w:sz w:val="18"/>
              </w:rPr>
              <w:t>17.0</w:t>
            </w:r>
          </w:p>
        </w:tc>
        <w:tc>
          <w:tcPr>
            <w:tcW w:w="716" w:type="dxa"/>
            <w:tcBorders>
              <w:bottom w:val="single" w:sz="4" w:space="0" w:color="585858"/>
            </w:tcBorders>
          </w:tcPr>
          <w:p>
            <w:pPr>
              <w:pStyle w:val="TableParagraph"/>
              <w:ind w:left="108"/>
              <w:rPr>
                <w:sz w:val="18"/>
              </w:rPr>
            </w:pPr>
            <w:r>
              <w:rPr>
                <w:sz w:val="18"/>
              </w:rPr>
              <w:t>%</w:t>
            </w:r>
          </w:p>
        </w:tc>
      </w:tr>
      <w:tr>
        <w:trPr>
          <w:trHeight w:val="290" w:hRule="atLeast"/>
        </w:trPr>
        <w:tc>
          <w:tcPr>
            <w:tcW w:w="2581" w:type="dxa"/>
            <w:tcBorders>
              <w:top w:val="single" w:sz="4" w:space="0" w:color="585858"/>
              <w:bottom w:val="single" w:sz="4" w:space="0" w:color="585858"/>
            </w:tcBorders>
          </w:tcPr>
          <w:p>
            <w:pPr>
              <w:pStyle w:val="TableParagraph"/>
              <w:spacing w:before="42"/>
              <w:ind w:left="441"/>
              <w:rPr>
                <w:sz w:val="18"/>
              </w:rPr>
            </w:pPr>
            <w:r>
              <w:rPr>
                <w:sz w:val="18"/>
              </w:rPr>
              <w:t>19</w:t>
            </w:r>
          </w:p>
        </w:tc>
        <w:tc>
          <w:tcPr>
            <w:tcW w:w="1101" w:type="dxa"/>
            <w:tcBorders>
              <w:top w:val="single" w:sz="4" w:space="0" w:color="585858"/>
              <w:bottom w:val="single" w:sz="4" w:space="0" w:color="585858"/>
            </w:tcBorders>
          </w:tcPr>
          <w:p>
            <w:pPr>
              <w:pStyle w:val="TableParagraph"/>
              <w:spacing w:before="42"/>
              <w:ind w:right="181"/>
              <w:jc w:val="right"/>
              <w:rPr>
                <w:sz w:val="18"/>
              </w:rPr>
            </w:pPr>
            <w:r>
              <w:rPr>
                <w:sz w:val="18"/>
              </w:rPr>
              <w:t>1,083</w:t>
            </w:r>
          </w:p>
        </w:tc>
        <w:tc>
          <w:tcPr>
            <w:tcW w:w="644" w:type="dxa"/>
            <w:tcBorders>
              <w:top w:val="single" w:sz="4" w:space="0" w:color="585858"/>
              <w:bottom w:val="single" w:sz="4" w:space="0" w:color="585858"/>
            </w:tcBorders>
          </w:tcPr>
          <w:p>
            <w:pPr>
              <w:pStyle w:val="TableParagraph"/>
              <w:spacing w:before="42"/>
              <w:ind w:right="106"/>
              <w:jc w:val="right"/>
              <w:rPr>
                <w:sz w:val="18"/>
              </w:rPr>
            </w:pPr>
            <w:r>
              <w:rPr>
                <w:sz w:val="18"/>
              </w:rPr>
              <w:t>26.6</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spacing w:before="42"/>
              <w:ind w:right="182"/>
              <w:jc w:val="right"/>
              <w:rPr>
                <w:sz w:val="18"/>
              </w:rPr>
            </w:pPr>
            <w:r>
              <w:rPr>
                <w:sz w:val="18"/>
              </w:rPr>
              <w:t>501</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24.8</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spacing w:before="42"/>
              <w:ind w:right="181"/>
              <w:jc w:val="right"/>
              <w:rPr>
                <w:sz w:val="18"/>
              </w:rPr>
            </w:pPr>
            <w:r>
              <w:rPr>
                <w:sz w:val="18"/>
              </w:rPr>
              <w:t>90</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27.9</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581" w:type="dxa"/>
            <w:tcBorders>
              <w:top w:val="single" w:sz="4" w:space="0" w:color="585858"/>
              <w:bottom w:val="single" w:sz="4" w:space="0" w:color="585858"/>
            </w:tcBorders>
          </w:tcPr>
          <w:p>
            <w:pPr>
              <w:pStyle w:val="TableParagraph"/>
              <w:ind w:left="441"/>
              <w:rPr>
                <w:sz w:val="18"/>
              </w:rPr>
            </w:pPr>
            <w:r>
              <w:rPr>
                <w:sz w:val="18"/>
              </w:rPr>
              <w:t>20</w:t>
            </w:r>
          </w:p>
        </w:tc>
        <w:tc>
          <w:tcPr>
            <w:tcW w:w="1101" w:type="dxa"/>
            <w:tcBorders>
              <w:top w:val="single" w:sz="4" w:space="0" w:color="585858"/>
              <w:bottom w:val="single" w:sz="4" w:space="0" w:color="585858"/>
            </w:tcBorders>
          </w:tcPr>
          <w:p>
            <w:pPr>
              <w:pStyle w:val="TableParagraph"/>
              <w:ind w:right="182"/>
              <w:jc w:val="right"/>
              <w:rPr>
                <w:sz w:val="18"/>
              </w:rPr>
            </w:pPr>
            <w:r>
              <w:rPr>
                <w:sz w:val="18"/>
              </w:rPr>
              <w:t>976</w:t>
            </w:r>
          </w:p>
        </w:tc>
        <w:tc>
          <w:tcPr>
            <w:tcW w:w="644" w:type="dxa"/>
            <w:tcBorders>
              <w:top w:val="single" w:sz="4" w:space="0" w:color="585858"/>
              <w:bottom w:val="single" w:sz="4" w:space="0" w:color="585858"/>
            </w:tcBorders>
          </w:tcPr>
          <w:p>
            <w:pPr>
              <w:pStyle w:val="TableParagraph"/>
              <w:ind w:right="106"/>
              <w:jc w:val="right"/>
              <w:rPr>
                <w:sz w:val="18"/>
              </w:rPr>
            </w:pPr>
            <w:r>
              <w:rPr>
                <w:sz w:val="18"/>
              </w:rPr>
              <w:t>24.0</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ind w:right="182"/>
              <w:jc w:val="right"/>
              <w:rPr>
                <w:sz w:val="18"/>
              </w:rPr>
            </w:pPr>
            <w:r>
              <w:rPr>
                <w:sz w:val="18"/>
              </w:rPr>
              <w:t>493</w:t>
            </w:r>
          </w:p>
        </w:tc>
        <w:tc>
          <w:tcPr>
            <w:tcW w:w="644" w:type="dxa"/>
            <w:tcBorders>
              <w:top w:val="single" w:sz="4" w:space="0" w:color="585858"/>
              <w:bottom w:val="single" w:sz="4" w:space="0" w:color="585858"/>
            </w:tcBorders>
          </w:tcPr>
          <w:p>
            <w:pPr>
              <w:pStyle w:val="TableParagraph"/>
              <w:ind w:right="105"/>
              <w:jc w:val="right"/>
              <w:rPr>
                <w:sz w:val="18"/>
              </w:rPr>
            </w:pPr>
            <w:r>
              <w:rPr>
                <w:sz w:val="18"/>
              </w:rPr>
              <w:t>24.4</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ind w:right="181"/>
              <w:jc w:val="right"/>
              <w:rPr>
                <w:sz w:val="18"/>
              </w:rPr>
            </w:pPr>
            <w:r>
              <w:rPr>
                <w:sz w:val="18"/>
              </w:rPr>
              <w:t>65</w:t>
            </w:r>
          </w:p>
        </w:tc>
        <w:tc>
          <w:tcPr>
            <w:tcW w:w="644" w:type="dxa"/>
            <w:tcBorders>
              <w:top w:val="single" w:sz="4" w:space="0" w:color="585858"/>
              <w:bottom w:val="single" w:sz="4" w:space="0" w:color="585858"/>
            </w:tcBorders>
          </w:tcPr>
          <w:p>
            <w:pPr>
              <w:pStyle w:val="TableParagraph"/>
              <w:ind w:right="105"/>
              <w:jc w:val="right"/>
              <w:rPr>
                <w:sz w:val="18"/>
              </w:rPr>
            </w:pPr>
            <w:r>
              <w:rPr>
                <w:sz w:val="18"/>
              </w:rPr>
              <w:t>20.1</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581" w:type="dxa"/>
            <w:tcBorders>
              <w:top w:val="single" w:sz="4" w:space="0" w:color="585858"/>
              <w:bottom w:val="single" w:sz="4" w:space="0" w:color="585858"/>
            </w:tcBorders>
          </w:tcPr>
          <w:p>
            <w:pPr>
              <w:pStyle w:val="TableParagraph"/>
              <w:ind w:left="441"/>
              <w:rPr>
                <w:sz w:val="18"/>
              </w:rPr>
            </w:pPr>
            <w:r>
              <w:rPr>
                <w:sz w:val="18"/>
              </w:rPr>
              <w:t>21</w:t>
            </w:r>
          </w:p>
        </w:tc>
        <w:tc>
          <w:tcPr>
            <w:tcW w:w="1101" w:type="dxa"/>
            <w:tcBorders>
              <w:top w:val="single" w:sz="4" w:space="0" w:color="585858"/>
              <w:bottom w:val="single" w:sz="4" w:space="0" w:color="585858"/>
            </w:tcBorders>
          </w:tcPr>
          <w:p>
            <w:pPr>
              <w:pStyle w:val="TableParagraph"/>
              <w:ind w:right="182"/>
              <w:jc w:val="right"/>
              <w:rPr>
                <w:sz w:val="18"/>
              </w:rPr>
            </w:pPr>
            <w:r>
              <w:rPr>
                <w:sz w:val="18"/>
              </w:rPr>
              <w:t>813</w:t>
            </w:r>
          </w:p>
        </w:tc>
        <w:tc>
          <w:tcPr>
            <w:tcW w:w="644" w:type="dxa"/>
            <w:tcBorders>
              <w:top w:val="single" w:sz="4" w:space="0" w:color="585858"/>
              <w:bottom w:val="single" w:sz="4" w:space="0" w:color="585858"/>
            </w:tcBorders>
          </w:tcPr>
          <w:p>
            <w:pPr>
              <w:pStyle w:val="TableParagraph"/>
              <w:ind w:right="106"/>
              <w:jc w:val="right"/>
              <w:rPr>
                <w:sz w:val="18"/>
              </w:rPr>
            </w:pPr>
            <w:r>
              <w:rPr>
                <w:sz w:val="18"/>
              </w:rPr>
              <w:t>20.0</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ind w:right="182"/>
              <w:jc w:val="right"/>
              <w:rPr>
                <w:sz w:val="18"/>
              </w:rPr>
            </w:pPr>
            <w:r>
              <w:rPr>
                <w:sz w:val="18"/>
              </w:rPr>
              <w:t>403</w:t>
            </w:r>
          </w:p>
        </w:tc>
        <w:tc>
          <w:tcPr>
            <w:tcW w:w="644" w:type="dxa"/>
            <w:tcBorders>
              <w:top w:val="single" w:sz="4" w:space="0" w:color="585858"/>
              <w:bottom w:val="single" w:sz="4" w:space="0" w:color="585858"/>
            </w:tcBorders>
          </w:tcPr>
          <w:p>
            <w:pPr>
              <w:pStyle w:val="TableParagraph"/>
              <w:ind w:right="105"/>
              <w:jc w:val="right"/>
              <w:rPr>
                <w:sz w:val="18"/>
              </w:rPr>
            </w:pPr>
            <w:r>
              <w:rPr>
                <w:sz w:val="18"/>
              </w:rPr>
              <w:t>20.0</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ind w:right="181"/>
              <w:jc w:val="right"/>
              <w:rPr>
                <w:sz w:val="18"/>
              </w:rPr>
            </w:pPr>
            <w:r>
              <w:rPr>
                <w:sz w:val="18"/>
              </w:rPr>
              <w:t>59</w:t>
            </w:r>
          </w:p>
        </w:tc>
        <w:tc>
          <w:tcPr>
            <w:tcW w:w="644" w:type="dxa"/>
            <w:tcBorders>
              <w:top w:val="single" w:sz="4" w:space="0" w:color="585858"/>
              <w:bottom w:val="single" w:sz="4" w:space="0" w:color="585858"/>
            </w:tcBorders>
          </w:tcPr>
          <w:p>
            <w:pPr>
              <w:pStyle w:val="TableParagraph"/>
              <w:ind w:right="105"/>
              <w:jc w:val="right"/>
              <w:rPr>
                <w:sz w:val="18"/>
              </w:rPr>
            </w:pPr>
            <w:r>
              <w:rPr>
                <w:sz w:val="18"/>
              </w:rPr>
              <w:t>18.3</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581" w:type="dxa"/>
            <w:tcBorders>
              <w:top w:val="single" w:sz="4" w:space="0" w:color="585858"/>
              <w:bottom w:val="single" w:sz="4" w:space="0" w:color="585858"/>
            </w:tcBorders>
          </w:tcPr>
          <w:p>
            <w:pPr>
              <w:pStyle w:val="TableParagraph"/>
              <w:spacing w:before="42"/>
              <w:ind w:left="441"/>
              <w:rPr>
                <w:sz w:val="18"/>
              </w:rPr>
            </w:pPr>
            <w:r>
              <w:rPr>
                <w:sz w:val="18"/>
              </w:rPr>
              <w:t>22</w:t>
            </w:r>
          </w:p>
        </w:tc>
        <w:tc>
          <w:tcPr>
            <w:tcW w:w="1101" w:type="dxa"/>
            <w:tcBorders>
              <w:top w:val="single" w:sz="4" w:space="0" w:color="585858"/>
              <w:bottom w:val="single" w:sz="4" w:space="0" w:color="585858"/>
            </w:tcBorders>
          </w:tcPr>
          <w:p>
            <w:pPr>
              <w:pStyle w:val="TableParagraph"/>
              <w:spacing w:before="42"/>
              <w:ind w:right="182"/>
              <w:jc w:val="right"/>
              <w:rPr>
                <w:sz w:val="18"/>
              </w:rPr>
            </w:pPr>
            <w:r>
              <w:rPr>
                <w:sz w:val="18"/>
              </w:rPr>
              <w:t>383</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9.4</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spacing w:before="42"/>
              <w:ind w:right="182"/>
              <w:jc w:val="right"/>
              <w:rPr>
                <w:sz w:val="18"/>
              </w:rPr>
            </w:pPr>
            <w:r>
              <w:rPr>
                <w:sz w:val="18"/>
              </w:rPr>
              <w:t>236</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11.7</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spacing w:before="42"/>
              <w:ind w:right="181"/>
              <w:jc w:val="right"/>
              <w:rPr>
                <w:sz w:val="18"/>
              </w:rPr>
            </w:pPr>
            <w:r>
              <w:rPr>
                <w:sz w:val="18"/>
              </w:rPr>
              <w:t>37</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11.5</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90" w:hRule="atLeast"/>
        </w:trPr>
        <w:tc>
          <w:tcPr>
            <w:tcW w:w="2581" w:type="dxa"/>
            <w:tcBorders>
              <w:top w:val="single" w:sz="4" w:space="0" w:color="585858"/>
              <w:bottom w:val="single" w:sz="4" w:space="0" w:color="585858"/>
            </w:tcBorders>
          </w:tcPr>
          <w:p>
            <w:pPr>
              <w:pStyle w:val="TableParagraph"/>
              <w:spacing w:before="42"/>
              <w:ind w:left="441"/>
              <w:rPr>
                <w:sz w:val="18"/>
              </w:rPr>
            </w:pPr>
            <w:r>
              <w:rPr>
                <w:sz w:val="18"/>
              </w:rPr>
              <w:t>23+</w:t>
            </w:r>
          </w:p>
        </w:tc>
        <w:tc>
          <w:tcPr>
            <w:tcW w:w="1101" w:type="dxa"/>
            <w:tcBorders>
              <w:top w:val="single" w:sz="4" w:space="0" w:color="585858"/>
              <w:bottom w:val="single" w:sz="4" w:space="0" w:color="585858"/>
            </w:tcBorders>
          </w:tcPr>
          <w:p>
            <w:pPr>
              <w:pStyle w:val="TableParagraph"/>
              <w:spacing w:before="42"/>
              <w:ind w:right="182"/>
              <w:jc w:val="right"/>
              <w:rPr>
                <w:sz w:val="18"/>
              </w:rPr>
            </w:pPr>
            <w:r>
              <w:rPr>
                <w:sz w:val="18"/>
              </w:rPr>
              <w:t>135</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3.3</w:t>
            </w:r>
          </w:p>
        </w:tc>
        <w:tc>
          <w:tcPr>
            <w:tcW w:w="576" w:type="dxa"/>
            <w:tcBorders>
              <w:top w:val="single" w:sz="4" w:space="0" w:color="585858"/>
              <w:bottom w:val="single" w:sz="4" w:space="0" w:color="585858"/>
            </w:tcBorders>
          </w:tcPr>
          <w:p>
            <w:pPr>
              <w:pStyle w:val="TableParagraph"/>
              <w:spacing w:before="0"/>
              <w:rPr>
                <w:rFonts w:ascii="Times New Roman"/>
                <w:sz w:val="18"/>
              </w:rPr>
            </w:pPr>
          </w:p>
        </w:tc>
        <w:tc>
          <w:tcPr>
            <w:tcW w:w="944" w:type="dxa"/>
            <w:tcBorders>
              <w:top w:val="single" w:sz="4" w:space="0" w:color="585858"/>
              <w:bottom w:val="single" w:sz="4" w:space="0" w:color="585858"/>
            </w:tcBorders>
          </w:tcPr>
          <w:p>
            <w:pPr>
              <w:pStyle w:val="TableParagraph"/>
              <w:spacing w:before="42"/>
              <w:ind w:right="182"/>
              <w:jc w:val="right"/>
              <w:rPr>
                <w:sz w:val="18"/>
              </w:rPr>
            </w:pPr>
            <w:r>
              <w:rPr>
                <w:sz w:val="18"/>
              </w:rPr>
              <w:t>122</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6.0</w:t>
            </w:r>
          </w:p>
        </w:tc>
        <w:tc>
          <w:tcPr>
            <w:tcW w:w="648" w:type="dxa"/>
            <w:tcBorders>
              <w:top w:val="single" w:sz="4" w:space="0" w:color="585858"/>
              <w:bottom w:val="single" w:sz="4" w:space="0" w:color="585858"/>
            </w:tcBorders>
          </w:tcPr>
          <w:p>
            <w:pPr>
              <w:pStyle w:val="TableParagraph"/>
              <w:spacing w:before="0"/>
              <w:rPr>
                <w:rFonts w:ascii="Times New Roman"/>
                <w:sz w:val="18"/>
              </w:rPr>
            </w:pPr>
          </w:p>
        </w:tc>
        <w:tc>
          <w:tcPr>
            <w:tcW w:w="868" w:type="dxa"/>
            <w:tcBorders>
              <w:top w:val="single" w:sz="4" w:space="0" w:color="585858"/>
              <w:bottom w:val="single" w:sz="4" w:space="0" w:color="585858"/>
            </w:tcBorders>
          </w:tcPr>
          <w:p>
            <w:pPr>
              <w:pStyle w:val="TableParagraph"/>
              <w:spacing w:before="42"/>
              <w:ind w:right="181"/>
              <w:jc w:val="right"/>
              <w:rPr>
                <w:sz w:val="18"/>
              </w:rPr>
            </w:pPr>
            <w:r>
              <w:rPr>
                <w:sz w:val="18"/>
              </w:rPr>
              <w:t>17</w:t>
            </w:r>
          </w:p>
        </w:tc>
        <w:tc>
          <w:tcPr>
            <w:tcW w:w="644" w:type="dxa"/>
            <w:tcBorders>
              <w:top w:val="single" w:sz="4" w:space="0" w:color="585858"/>
              <w:bottom w:val="single" w:sz="4" w:space="0" w:color="585858"/>
            </w:tcBorders>
          </w:tcPr>
          <w:p>
            <w:pPr>
              <w:pStyle w:val="TableParagraph"/>
              <w:spacing w:before="42"/>
              <w:ind w:right="105"/>
              <w:jc w:val="right"/>
              <w:rPr>
                <w:sz w:val="18"/>
              </w:rPr>
            </w:pPr>
            <w:r>
              <w:rPr>
                <w:sz w:val="18"/>
              </w:rPr>
              <w:t>5.3</w:t>
            </w:r>
          </w:p>
        </w:tc>
        <w:tc>
          <w:tcPr>
            <w:tcW w:w="716" w:type="dxa"/>
            <w:tcBorders>
              <w:top w:val="single" w:sz="4" w:space="0" w:color="585858"/>
              <w:bottom w:val="single" w:sz="4" w:space="0" w:color="585858"/>
            </w:tcBorders>
          </w:tcPr>
          <w:p>
            <w:pPr>
              <w:pStyle w:val="TableParagraph"/>
              <w:spacing w:before="0"/>
              <w:rPr>
                <w:rFonts w:ascii="Times New Roman"/>
                <w:sz w:val="18"/>
              </w:rPr>
            </w:pPr>
          </w:p>
        </w:tc>
      </w:tr>
      <w:tr>
        <w:trPr>
          <w:trHeight w:val="285" w:hRule="atLeast"/>
        </w:trPr>
        <w:tc>
          <w:tcPr>
            <w:tcW w:w="9366" w:type="dxa"/>
            <w:gridSpan w:val="10"/>
            <w:tcBorders>
              <w:top w:val="single" w:sz="4" w:space="0" w:color="585858"/>
              <w:bottom w:val="single" w:sz="4" w:space="0" w:color="585858"/>
            </w:tcBorders>
            <w:shd w:val="clear" w:color="auto" w:fill="DEEAF6"/>
          </w:tcPr>
          <w:p>
            <w:pPr>
              <w:pStyle w:val="TableParagraph"/>
              <w:ind w:left="114"/>
              <w:rPr>
                <w:sz w:val="18"/>
              </w:rPr>
            </w:pPr>
            <w:r>
              <w:rPr>
                <w:sz w:val="18"/>
              </w:rPr>
              <w:t>Involved in Greek Life</w:t>
            </w:r>
          </w:p>
        </w:tc>
      </w:tr>
      <w:tr>
        <w:trPr>
          <w:trHeight w:val="286" w:hRule="atLeast"/>
        </w:trPr>
        <w:tc>
          <w:tcPr>
            <w:tcW w:w="2581" w:type="dxa"/>
            <w:tcBorders>
              <w:bottom w:val="single" w:sz="4" w:space="0" w:color="585858"/>
            </w:tcBorders>
          </w:tcPr>
          <w:p>
            <w:pPr>
              <w:pStyle w:val="TableParagraph"/>
              <w:spacing w:before="34"/>
              <w:ind w:left="441"/>
              <w:rPr>
                <w:sz w:val="18"/>
              </w:rPr>
            </w:pPr>
            <w:r>
              <w:rPr>
                <w:sz w:val="18"/>
              </w:rPr>
              <w:t>Yes</w:t>
            </w:r>
          </w:p>
        </w:tc>
        <w:tc>
          <w:tcPr>
            <w:tcW w:w="1101" w:type="dxa"/>
            <w:tcBorders>
              <w:bottom w:val="single" w:sz="4" w:space="0" w:color="585858"/>
            </w:tcBorders>
          </w:tcPr>
          <w:p>
            <w:pPr>
              <w:pStyle w:val="TableParagraph"/>
              <w:spacing w:before="34"/>
              <w:ind w:right="182"/>
              <w:jc w:val="right"/>
              <w:rPr>
                <w:sz w:val="18"/>
              </w:rPr>
            </w:pPr>
            <w:r>
              <w:rPr>
                <w:sz w:val="18"/>
              </w:rPr>
              <w:t>784</w:t>
            </w:r>
          </w:p>
        </w:tc>
        <w:tc>
          <w:tcPr>
            <w:tcW w:w="644" w:type="dxa"/>
            <w:tcBorders>
              <w:bottom w:val="single" w:sz="4" w:space="0" w:color="585858"/>
            </w:tcBorders>
          </w:tcPr>
          <w:p>
            <w:pPr>
              <w:pStyle w:val="TableParagraph"/>
              <w:spacing w:before="34"/>
              <w:ind w:right="106"/>
              <w:jc w:val="right"/>
              <w:rPr>
                <w:sz w:val="18"/>
              </w:rPr>
            </w:pPr>
            <w:r>
              <w:rPr>
                <w:sz w:val="18"/>
              </w:rPr>
              <w:t>19.3</w:t>
            </w:r>
          </w:p>
        </w:tc>
        <w:tc>
          <w:tcPr>
            <w:tcW w:w="576" w:type="dxa"/>
            <w:tcBorders>
              <w:bottom w:val="single" w:sz="4" w:space="0" w:color="585858"/>
            </w:tcBorders>
          </w:tcPr>
          <w:p>
            <w:pPr>
              <w:pStyle w:val="TableParagraph"/>
              <w:spacing w:before="34"/>
              <w:ind w:left="108"/>
              <w:rPr>
                <w:sz w:val="18"/>
              </w:rPr>
            </w:pPr>
            <w:r>
              <w:rPr>
                <w:sz w:val="18"/>
              </w:rPr>
              <w:t>%</w:t>
            </w:r>
          </w:p>
        </w:tc>
        <w:tc>
          <w:tcPr>
            <w:tcW w:w="944" w:type="dxa"/>
            <w:tcBorders>
              <w:bottom w:val="single" w:sz="4" w:space="0" w:color="585858"/>
            </w:tcBorders>
          </w:tcPr>
          <w:p>
            <w:pPr>
              <w:pStyle w:val="TableParagraph"/>
              <w:spacing w:before="34"/>
              <w:ind w:right="182"/>
              <w:jc w:val="right"/>
              <w:rPr>
                <w:sz w:val="18"/>
              </w:rPr>
            </w:pPr>
            <w:r>
              <w:rPr>
                <w:sz w:val="18"/>
              </w:rPr>
              <w:t>279</w:t>
            </w:r>
          </w:p>
        </w:tc>
        <w:tc>
          <w:tcPr>
            <w:tcW w:w="644" w:type="dxa"/>
            <w:tcBorders>
              <w:bottom w:val="single" w:sz="4" w:space="0" w:color="585858"/>
            </w:tcBorders>
          </w:tcPr>
          <w:p>
            <w:pPr>
              <w:pStyle w:val="TableParagraph"/>
              <w:spacing w:before="34"/>
              <w:ind w:right="105"/>
              <w:jc w:val="right"/>
              <w:rPr>
                <w:sz w:val="18"/>
              </w:rPr>
            </w:pPr>
            <w:r>
              <w:rPr>
                <w:sz w:val="18"/>
              </w:rPr>
              <w:t>13.8</w:t>
            </w:r>
          </w:p>
        </w:tc>
        <w:tc>
          <w:tcPr>
            <w:tcW w:w="648" w:type="dxa"/>
            <w:tcBorders>
              <w:bottom w:val="single" w:sz="4" w:space="0" w:color="585858"/>
            </w:tcBorders>
          </w:tcPr>
          <w:p>
            <w:pPr>
              <w:pStyle w:val="TableParagraph"/>
              <w:spacing w:before="34"/>
              <w:ind w:left="108"/>
              <w:rPr>
                <w:sz w:val="18"/>
              </w:rPr>
            </w:pPr>
            <w:r>
              <w:rPr>
                <w:sz w:val="18"/>
              </w:rPr>
              <w:t>%</w:t>
            </w:r>
          </w:p>
        </w:tc>
        <w:tc>
          <w:tcPr>
            <w:tcW w:w="868" w:type="dxa"/>
            <w:tcBorders>
              <w:bottom w:val="single" w:sz="4" w:space="0" w:color="585858"/>
            </w:tcBorders>
          </w:tcPr>
          <w:p>
            <w:pPr>
              <w:pStyle w:val="TableParagraph"/>
              <w:spacing w:before="34"/>
              <w:ind w:right="181"/>
              <w:jc w:val="right"/>
              <w:rPr>
                <w:sz w:val="18"/>
              </w:rPr>
            </w:pPr>
            <w:r>
              <w:rPr>
                <w:sz w:val="18"/>
              </w:rPr>
              <w:t>24</w:t>
            </w:r>
          </w:p>
        </w:tc>
        <w:tc>
          <w:tcPr>
            <w:tcW w:w="644" w:type="dxa"/>
            <w:tcBorders>
              <w:bottom w:val="single" w:sz="4" w:space="0" w:color="585858"/>
            </w:tcBorders>
          </w:tcPr>
          <w:p>
            <w:pPr>
              <w:pStyle w:val="TableParagraph"/>
              <w:spacing w:before="34"/>
              <w:ind w:right="105"/>
              <w:jc w:val="right"/>
              <w:rPr>
                <w:sz w:val="18"/>
              </w:rPr>
            </w:pPr>
            <w:r>
              <w:rPr>
                <w:sz w:val="18"/>
              </w:rPr>
              <w:t>7.4</w:t>
            </w:r>
          </w:p>
        </w:tc>
        <w:tc>
          <w:tcPr>
            <w:tcW w:w="716" w:type="dxa"/>
            <w:tcBorders>
              <w:bottom w:val="single" w:sz="4" w:space="0" w:color="585858"/>
            </w:tcBorders>
          </w:tcPr>
          <w:p>
            <w:pPr>
              <w:pStyle w:val="TableParagraph"/>
              <w:spacing w:before="34"/>
              <w:ind w:left="108"/>
              <w:rPr>
                <w:sz w:val="18"/>
              </w:rPr>
            </w:pPr>
            <w:r>
              <w:rPr>
                <w:sz w:val="18"/>
              </w:rPr>
              <w:t>%</w:t>
            </w:r>
          </w:p>
        </w:tc>
      </w:tr>
      <w:tr>
        <w:trPr>
          <w:trHeight w:val="290" w:hRule="atLeast"/>
        </w:trPr>
        <w:tc>
          <w:tcPr>
            <w:tcW w:w="2581" w:type="dxa"/>
            <w:tcBorders>
              <w:top w:val="single" w:sz="4" w:space="0" w:color="585858"/>
              <w:bottom w:val="single" w:sz="4" w:space="0" w:color="000000"/>
            </w:tcBorders>
          </w:tcPr>
          <w:p>
            <w:pPr>
              <w:pStyle w:val="TableParagraph"/>
              <w:spacing w:before="42"/>
              <w:ind w:left="441"/>
              <w:rPr>
                <w:sz w:val="18"/>
              </w:rPr>
            </w:pPr>
            <w:r>
              <w:rPr>
                <w:sz w:val="18"/>
              </w:rPr>
              <w:t>No</w:t>
            </w:r>
          </w:p>
        </w:tc>
        <w:tc>
          <w:tcPr>
            <w:tcW w:w="1101" w:type="dxa"/>
            <w:tcBorders>
              <w:top w:val="single" w:sz="4" w:space="0" w:color="585858"/>
              <w:bottom w:val="single" w:sz="4" w:space="0" w:color="000000"/>
            </w:tcBorders>
          </w:tcPr>
          <w:p>
            <w:pPr>
              <w:pStyle w:val="TableParagraph"/>
              <w:spacing w:before="42"/>
              <w:ind w:right="181"/>
              <w:jc w:val="right"/>
              <w:rPr>
                <w:sz w:val="18"/>
              </w:rPr>
            </w:pPr>
            <w:r>
              <w:rPr>
                <w:sz w:val="18"/>
              </w:rPr>
              <w:t>3,286</w:t>
            </w:r>
          </w:p>
        </w:tc>
        <w:tc>
          <w:tcPr>
            <w:tcW w:w="644" w:type="dxa"/>
            <w:tcBorders>
              <w:top w:val="single" w:sz="4" w:space="0" w:color="585858"/>
              <w:bottom w:val="single" w:sz="4" w:space="0" w:color="000000"/>
            </w:tcBorders>
          </w:tcPr>
          <w:p>
            <w:pPr>
              <w:pStyle w:val="TableParagraph"/>
              <w:spacing w:before="42"/>
              <w:ind w:right="106"/>
              <w:jc w:val="right"/>
              <w:rPr>
                <w:sz w:val="18"/>
              </w:rPr>
            </w:pPr>
            <w:r>
              <w:rPr>
                <w:sz w:val="18"/>
              </w:rPr>
              <w:t>80.7</w:t>
            </w:r>
          </w:p>
        </w:tc>
        <w:tc>
          <w:tcPr>
            <w:tcW w:w="576" w:type="dxa"/>
            <w:tcBorders>
              <w:top w:val="single" w:sz="4" w:space="0" w:color="585858"/>
              <w:bottom w:val="single" w:sz="4" w:space="0" w:color="000000"/>
            </w:tcBorders>
          </w:tcPr>
          <w:p>
            <w:pPr>
              <w:pStyle w:val="TableParagraph"/>
              <w:spacing w:before="0"/>
              <w:rPr>
                <w:rFonts w:ascii="Times New Roman"/>
                <w:sz w:val="18"/>
              </w:rPr>
            </w:pPr>
          </w:p>
        </w:tc>
        <w:tc>
          <w:tcPr>
            <w:tcW w:w="944" w:type="dxa"/>
            <w:tcBorders>
              <w:top w:val="single" w:sz="4" w:space="0" w:color="585858"/>
              <w:bottom w:val="single" w:sz="4" w:space="0" w:color="000000"/>
            </w:tcBorders>
          </w:tcPr>
          <w:p>
            <w:pPr>
              <w:pStyle w:val="TableParagraph"/>
              <w:spacing w:before="42"/>
              <w:ind w:right="183"/>
              <w:jc w:val="right"/>
              <w:rPr>
                <w:sz w:val="18"/>
              </w:rPr>
            </w:pPr>
            <w:r>
              <w:rPr>
                <w:sz w:val="18"/>
              </w:rPr>
              <w:t>1,738</w:t>
            </w:r>
          </w:p>
        </w:tc>
        <w:tc>
          <w:tcPr>
            <w:tcW w:w="644" w:type="dxa"/>
            <w:tcBorders>
              <w:top w:val="single" w:sz="4" w:space="0" w:color="585858"/>
              <w:bottom w:val="single" w:sz="4" w:space="0" w:color="000000"/>
            </w:tcBorders>
          </w:tcPr>
          <w:p>
            <w:pPr>
              <w:pStyle w:val="TableParagraph"/>
              <w:spacing w:before="42"/>
              <w:ind w:right="106"/>
              <w:jc w:val="right"/>
              <w:rPr>
                <w:sz w:val="18"/>
              </w:rPr>
            </w:pPr>
            <w:r>
              <w:rPr>
                <w:sz w:val="18"/>
              </w:rPr>
              <w:t>86.2</w:t>
            </w:r>
          </w:p>
        </w:tc>
        <w:tc>
          <w:tcPr>
            <w:tcW w:w="648" w:type="dxa"/>
            <w:tcBorders>
              <w:top w:val="single" w:sz="4" w:space="0" w:color="585858"/>
              <w:bottom w:val="single" w:sz="4" w:space="0" w:color="000000"/>
            </w:tcBorders>
          </w:tcPr>
          <w:p>
            <w:pPr>
              <w:pStyle w:val="TableParagraph"/>
              <w:spacing w:before="0"/>
              <w:rPr>
                <w:rFonts w:ascii="Times New Roman"/>
                <w:sz w:val="18"/>
              </w:rPr>
            </w:pPr>
          </w:p>
        </w:tc>
        <w:tc>
          <w:tcPr>
            <w:tcW w:w="868" w:type="dxa"/>
            <w:tcBorders>
              <w:top w:val="single" w:sz="4" w:space="0" w:color="585858"/>
              <w:bottom w:val="single" w:sz="4" w:space="0" w:color="000000"/>
            </w:tcBorders>
          </w:tcPr>
          <w:p>
            <w:pPr>
              <w:pStyle w:val="TableParagraph"/>
              <w:spacing w:before="42"/>
              <w:ind w:right="182"/>
              <w:jc w:val="right"/>
              <w:rPr>
                <w:sz w:val="18"/>
              </w:rPr>
            </w:pPr>
            <w:r>
              <w:rPr>
                <w:sz w:val="18"/>
              </w:rPr>
              <w:t>299</w:t>
            </w:r>
          </w:p>
        </w:tc>
        <w:tc>
          <w:tcPr>
            <w:tcW w:w="644" w:type="dxa"/>
            <w:tcBorders>
              <w:top w:val="single" w:sz="4" w:space="0" w:color="585858"/>
              <w:bottom w:val="single" w:sz="4" w:space="0" w:color="000000"/>
            </w:tcBorders>
          </w:tcPr>
          <w:p>
            <w:pPr>
              <w:pStyle w:val="TableParagraph"/>
              <w:spacing w:before="42"/>
              <w:ind w:right="106"/>
              <w:jc w:val="right"/>
              <w:rPr>
                <w:sz w:val="18"/>
              </w:rPr>
            </w:pPr>
            <w:r>
              <w:rPr>
                <w:sz w:val="18"/>
              </w:rPr>
              <w:t>92.6</w:t>
            </w:r>
          </w:p>
        </w:tc>
        <w:tc>
          <w:tcPr>
            <w:tcW w:w="716" w:type="dxa"/>
            <w:tcBorders>
              <w:top w:val="single" w:sz="4" w:space="0" w:color="585858"/>
              <w:bottom w:val="single" w:sz="4" w:space="0" w:color="000000"/>
            </w:tcBorders>
          </w:tcPr>
          <w:p>
            <w:pPr>
              <w:pStyle w:val="TableParagraph"/>
              <w:spacing w:before="0"/>
              <w:rPr>
                <w:rFonts w:ascii="Times New Roman"/>
                <w:sz w:val="18"/>
              </w:rPr>
            </w:pPr>
          </w:p>
        </w:tc>
      </w:tr>
    </w:tbl>
    <w:p>
      <w:pPr>
        <w:pStyle w:val="BodyText"/>
        <w:ind w:right="114"/>
        <w:jc w:val="right"/>
      </w:pPr>
      <w:r>
        <w:rPr/>
        <w:t>(continued)</w:t>
      </w:r>
    </w:p>
    <w:p>
      <w:pPr>
        <w:spacing w:after="0"/>
        <w:jc w:val="right"/>
        <w:sectPr>
          <w:pgSz w:w="12240" w:h="15840"/>
          <w:pgMar w:header="0" w:footer="592" w:top="1020" w:bottom="780" w:left="1320" w:right="1320"/>
        </w:sectPr>
      </w:pPr>
    </w:p>
    <w:p>
      <w:pPr>
        <w:pStyle w:val="BodyText"/>
      </w:pPr>
      <w:r>
        <w:rPr/>
        <w:pict>
          <v:group style="position:absolute;margin-left:72pt;margin-top:73.400002pt;width:468pt;height:75.6pt;mso-position-horizontal-relative:page;mso-position-vertical-relative:page;z-index:-261087232" coordorigin="1440,1468" coordsize="9360,1512">
            <v:shape style="position:absolute;left:1440;top:1468;width:9360;height:1000" coordorigin="1440,1468" coordsize="9360,1000" path="m10800,1468l8636,1468,6472,1468,4312,1468,1440,1468,1440,2468,10800,2468,10800,2180,4312,2180,4312,2172,10800,2172,10800,1468e" filled="true" fillcolor="#09357d" stroked="false">
              <v:path arrowok="t"/>
              <v:fill type="solid"/>
            </v:shape>
            <v:line style="position:absolute" from="4312,2182" to="5032,2182" stroked="true" strokeweight=".2pt" strokecolor="#09357d">
              <v:stroke dashstyle="solid"/>
            </v:line>
            <v:rect style="position:absolute;left:5032;top:2180;width:8;height:4" filled="true" fillcolor="#09357d" stroked="false">
              <v:fill type="solid"/>
            </v:rect>
            <v:line style="position:absolute" from="5040,2182" to="5752,2182" stroked="true" strokeweight=".2pt" strokecolor="#09357d">
              <v:stroke dashstyle="solid"/>
            </v:line>
            <v:rect style="position:absolute;left:5752;top:2180;width:8;height:4" filled="true" fillcolor="#09357d" stroked="false">
              <v:fill type="solid"/>
            </v:rect>
            <v:line style="position:absolute" from="5760,2182" to="6476,2182" stroked="true" strokeweight=".2pt" strokecolor="#09357d">
              <v:stroke dashstyle="solid"/>
            </v:line>
            <v:rect style="position:absolute;left:6476;top:2180;width:8;height:4" filled="true" fillcolor="#09357d" stroked="false">
              <v:fill type="solid"/>
            </v:rect>
            <v:line style="position:absolute" from="6484,2182" to="7196,2182" stroked="true" strokeweight=".2pt" strokecolor="#09357d">
              <v:stroke dashstyle="solid"/>
            </v:line>
            <v:rect style="position:absolute;left:7196;top:2180;width:8;height:4" filled="true" fillcolor="#09357d" stroked="false">
              <v:fill type="solid"/>
            </v:rect>
            <v:line style="position:absolute" from="7204,2182" to="7916,2182" stroked="true" strokeweight=".2pt" strokecolor="#09357d">
              <v:stroke dashstyle="solid"/>
            </v:line>
            <v:rect style="position:absolute;left:7916;top:2180;width:8;height:4" filled="true" fillcolor="#09357d" stroked="false">
              <v:fill type="solid"/>
            </v:rect>
            <v:line style="position:absolute" from="7924,2182" to="8636,2182" stroked="true" strokeweight=".2pt" strokecolor="#09357d">
              <v:stroke dashstyle="solid"/>
            </v:line>
            <v:rect style="position:absolute;left:8636;top:2180;width:8;height:4" filled="true" fillcolor="#09357d" stroked="false">
              <v:fill type="solid"/>
            </v:rect>
            <v:line style="position:absolute" from="8644,2182" to="9360,2182" stroked="true" strokeweight=".2pt" strokecolor="#09357d">
              <v:stroke dashstyle="solid"/>
            </v:line>
            <v:rect style="position:absolute;left:9360;top:2180;width:8;height:4" filled="true" fillcolor="#09357d" stroked="false">
              <v:fill type="solid"/>
            </v:rect>
            <v:line style="position:absolute" from="9368,2182" to="10080,2182" stroked="true" strokeweight=".2pt" strokecolor="#09357d">
              <v:stroke dashstyle="solid"/>
            </v:line>
            <v:rect style="position:absolute;left:10080;top:2180;width:8;height:4" filled="true" fillcolor="#09357d" stroked="false">
              <v:fill type="solid"/>
            </v:rect>
            <v:line style="position:absolute" from="10088,2182" to="10800,2182" stroked="true" strokeweight=".2pt" strokecolor="#09357d">
              <v:stroke dashstyle="solid"/>
            </v:line>
            <v:rect style="position:absolute;left:1440;top:2476;width:9360;height:496" filled="true" fillcolor="#deeaf6" stroked="false">
              <v:fill type="solid"/>
            </v:rect>
            <v:line style="position:absolute" from="1440,2472" to="4312,2472" stroked="true" strokeweight=".401pt" strokecolor="#585858">
              <v:stroke dashstyle="solid"/>
            </v:line>
            <v:line style="position:absolute" from="1440,2478" to="4312,2478" stroked="true" strokeweight=".2pt" strokecolor="#deeaf6">
              <v:stroke dashstyle="solid"/>
            </v:line>
            <v:rect style="position:absolute;left:4312;top:2476;width:8;height:4" filled="true" fillcolor="#deeaf6" stroked="false">
              <v:fill type="solid"/>
            </v:rect>
            <v:rect style="position:absolute;left:4312;top:2467;width:8;height:9" filled="true" fillcolor="#585858" stroked="false">
              <v:fill type="solid"/>
            </v:rect>
            <v:line style="position:absolute" from="4320,2472" to="5032,2472" stroked="true" strokeweight=".401pt" strokecolor="#585858">
              <v:stroke dashstyle="solid"/>
            </v:line>
            <v:line style="position:absolute" from="4320,2478" to="5032,2478" stroked="true" strokeweight=".2pt" strokecolor="#deeaf6">
              <v:stroke dashstyle="solid"/>
            </v:line>
            <v:rect style="position:absolute;left:5032;top:2476;width:8;height:4" filled="true" fillcolor="#deeaf6" stroked="false">
              <v:fill type="solid"/>
            </v:rect>
            <v:rect style="position:absolute;left:5032;top:2467;width:8;height:9" filled="true" fillcolor="#585858" stroked="false">
              <v:fill type="solid"/>
            </v:rect>
            <v:line style="position:absolute" from="5040,2472" to="5752,2472" stroked="true" strokeweight=".401pt" strokecolor="#585858">
              <v:stroke dashstyle="solid"/>
            </v:line>
            <v:line style="position:absolute" from="5040,2478" to="5752,2478" stroked="true" strokeweight=".2pt" strokecolor="#deeaf6">
              <v:stroke dashstyle="solid"/>
            </v:line>
            <v:rect style="position:absolute;left:5752;top:2476;width:8;height:4" filled="true" fillcolor="#deeaf6" stroked="false">
              <v:fill type="solid"/>
            </v:rect>
            <v:rect style="position:absolute;left:5752;top:2467;width:8;height:9" filled="true" fillcolor="#585858" stroked="false">
              <v:fill type="solid"/>
            </v:rect>
            <v:line style="position:absolute" from="5760,2472" to="6476,2472" stroked="true" strokeweight=".401pt" strokecolor="#585858">
              <v:stroke dashstyle="solid"/>
            </v:line>
            <v:line style="position:absolute" from="5760,2478" to="6476,2478" stroked="true" strokeweight=".2pt" strokecolor="#deeaf6">
              <v:stroke dashstyle="solid"/>
            </v:line>
            <v:rect style="position:absolute;left:6476;top:2476;width:8;height:4" filled="true" fillcolor="#deeaf6" stroked="false">
              <v:fill type="solid"/>
            </v:rect>
            <v:rect style="position:absolute;left:6476;top:2467;width:8;height:9" filled="true" fillcolor="#585858" stroked="false">
              <v:fill type="solid"/>
            </v:rect>
            <v:line style="position:absolute" from="6484,2472" to="7196,2472" stroked="true" strokeweight=".401pt" strokecolor="#585858">
              <v:stroke dashstyle="solid"/>
            </v:line>
            <v:line style="position:absolute" from="6484,2478" to="7196,2478" stroked="true" strokeweight=".2pt" strokecolor="#deeaf6">
              <v:stroke dashstyle="solid"/>
            </v:line>
            <v:rect style="position:absolute;left:7196;top:2476;width:8;height:4" filled="true" fillcolor="#deeaf6" stroked="false">
              <v:fill type="solid"/>
            </v:rect>
            <v:rect style="position:absolute;left:7196;top:2467;width:8;height:9" filled="true" fillcolor="#585858" stroked="false">
              <v:fill type="solid"/>
            </v:rect>
            <v:line style="position:absolute" from="7204,2472" to="7916,2472" stroked="true" strokeweight=".401pt" strokecolor="#585858">
              <v:stroke dashstyle="solid"/>
            </v:line>
            <v:line style="position:absolute" from="7204,2478" to="7916,2478" stroked="true" strokeweight=".2pt" strokecolor="#deeaf6">
              <v:stroke dashstyle="solid"/>
            </v:line>
            <v:rect style="position:absolute;left:7916;top:2476;width:8;height:4" filled="true" fillcolor="#deeaf6" stroked="false">
              <v:fill type="solid"/>
            </v:rect>
            <v:rect style="position:absolute;left:7916;top:2467;width:8;height:9" filled="true" fillcolor="#585858" stroked="false">
              <v:fill type="solid"/>
            </v:rect>
            <v:line style="position:absolute" from="7924,2472" to="8636,2472" stroked="true" strokeweight=".401pt" strokecolor="#585858">
              <v:stroke dashstyle="solid"/>
            </v:line>
            <v:line style="position:absolute" from="7924,2478" to="8636,2478" stroked="true" strokeweight=".2pt" strokecolor="#deeaf6">
              <v:stroke dashstyle="solid"/>
            </v:line>
            <v:rect style="position:absolute;left:8636;top:2476;width:8;height:4" filled="true" fillcolor="#deeaf6" stroked="false">
              <v:fill type="solid"/>
            </v:rect>
            <v:rect style="position:absolute;left:8636;top:2467;width:8;height:9" filled="true" fillcolor="#585858" stroked="false">
              <v:fill type="solid"/>
            </v:rect>
            <v:line style="position:absolute" from="8644,2472" to="9360,2472" stroked="true" strokeweight=".401pt" strokecolor="#585858">
              <v:stroke dashstyle="solid"/>
            </v:line>
            <v:line style="position:absolute" from="8644,2478" to="9360,2478" stroked="true" strokeweight=".2pt" strokecolor="#deeaf6">
              <v:stroke dashstyle="solid"/>
            </v:line>
            <v:rect style="position:absolute;left:9360;top:2476;width:8;height:4" filled="true" fillcolor="#deeaf6" stroked="false">
              <v:fill type="solid"/>
            </v:rect>
            <v:rect style="position:absolute;left:9360;top:2467;width:8;height:9" filled="true" fillcolor="#585858" stroked="false">
              <v:fill type="solid"/>
            </v:rect>
            <v:line style="position:absolute" from="9368,2472" to="10080,2472" stroked="true" strokeweight=".401pt" strokecolor="#585858">
              <v:stroke dashstyle="solid"/>
            </v:line>
            <v:line style="position:absolute" from="9368,2478" to="10080,2478" stroked="true" strokeweight=".2pt" strokecolor="#deeaf6">
              <v:stroke dashstyle="solid"/>
            </v:line>
            <v:rect style="position:absolute;left:10080;top:2476;width:8;height:4" filled="true" fillcolor="#deeaf6" stroked="false">
              <v:fill type="solid"/>
            </v:rect>
            <v:rect style="position:absolute;left:10080;top:2467;width:8;height:9" filled="true" fillcolor="#585858" stroked="false">
              <v:fill type="solid"/>
            </v:rect>
            <v:line style="position:absolute" from="10088,2472" to="10800,2472" stroked="true" strokeweight=".401pt" strokecolor="#585858">
              <v:stroke dashstyle="solid"/>
            </v:line>
            <v:line style="position:absolute" from="10088,2478" to="10800,2478" stroked="true" strokeweight=".2pt" strokecolor="#deeaf6">
              <v:stroke dashstyle="solid"/>
            </v:line>
            <v:line style="position:absolute" from="1440,2976" to="1760,2976" stroked="true" strokeweight=".401pt" strokecolor="#585858">
              <v:stroke dashstyle="solid"/>
            </v:line>
            <v:rect style="position:absolute;left:1760;top:2971;width:8;height:9" filled="true" fillcolor="#585858" stroked="false">
              <v:fill type="solid"/>
            </v:rect>
            <v:line style="position:absolute" from="1768,2976" to="4312,2976" stroked="true" strokeweight=".401pt" strokecolor="#585858">
              <v:stroke dashstyle="solid"/>
            </v:line>
            <v:rect style="position:absolute;left:4312;top:2971;width:8;height:9" filled="true" fillcolor="#585858" stroked="false">
              <v:fill type="solid"/>
            </v:rect>
            <v:line style="position:absolute" from="4320,2976" to="5032,2976" stroked="true" strokeweight=".401pt" strokecolor="#585858">
              <v:stroke dashstyle="solid"/>
            </v:line>
            <v:rect style="position:absolute;left:5032;top:2971;width:8;height:9" filled="true" fillcolor="#585858" stroked="false">
              <v:fill type="solid"/>
            </v:rect>
            <v:line style="position:absolute" from="5040,2976" to="5752,2976" stroked="true" strokeweight=".401pt" strokecolor="#585858">
              <v:stroke dashstyle="solid"/>
            </v:line>
            <v:rect style="position:absolute;left:5752;top:2971;width:8;height:9" filled="true" fillcolor="#585858" stroked="false">
              <v:fill type="solid"/>
            </v:rect>
            <v:line style="position:absolute" from="5760,2976" to="6476,2976" stroked="true" strokeweight=".401pt" strokecolor="#585858">
              <v:stroke dashstyle="solid"/>
            </v:line>
            <v:rect style="position:absolute;left:6476;top:2971;width:8;height:9" filled="true" fillcolor="#585858" stroked="false">
              <v:fill type="solid"/>
            </v:rect>
            <v:line style="position:absolute" from="6484,2976" to="7196,2976" stroked="true" strokeweight=".401pt" strokecolor="#585858">
              <v:stroke dashstyle="solid"/>
            </v:line>
            <v:rect style="position:absolute;left:7196;top:2971;width:8;height:9" filled="true" fillcolor="#585858" stroked="false">
              <v:fill type="solid"/>
            </v:rect>
            <v:line style="position:absolute" from="7204,2976" to="7916,2976" stroked="true" strokeweight=".401pt" strokecolor="#585858">
              <v:stroke dashstyle="solid"/>
            </v:line>
            <v:rect style="position:absolute;left:7916;top:2971;width:8;height:9" filled="true" fillcolor="#585858" stroked="false">
              <v:fill type="solid"/>
            </v:rect>
            <v:line style="position:absolute" from="7924,2976" to="8636,2976" stroked="true" strokeweight=".401pt" strokecolor="#585858">
              <v:stroke dashstyle="solid"/>
            </v:line>
            <v:rect style="position:absolute;left:8636;top:2971;width:8;height:9" filled="true" fillcolor="#585858" stroked="false">
              <v:fill type="solid"/>
            </v:rect>
            <v:line style="position:absolute" from="8644,2976" to="9360,2976" stroked="true" strokeweight=".401pt" strokecolor="#585858">
              <v:stroke dashstyle="solid"/>
            </v:line>
            <v:rect style="position:absolute;left:9360;top:2971;width:8;height:9" filled="true" fillcolor="#585858" stroked="false">
              <v:fill type="solid"/>
            </v:rect>
            <v:line style="position:absolute" from="9368,2976" to="10080,2976" stroked="true" strokeweight=".401pt" strokecolor="#585858">
              <v:stroke dashstyle="solid"/>
            </v:line>
            <v:rect style="position:absolute;left:10080;top:2971;width:8;height:9" filled="true" fillcolor="#585858" stroked="false">
              <v:fill type="solid"/>
            </v:rect>
            <v:line style="position:absolute" from="10088,2976" to="10800,2976" stroked="true" strokeweight=".401pt" strokecolor="#585858">
              <v:stroke dashstyle="solid"/>
            </v:line>
            <w10:wrap type="none"/>
          </v:group>
        </w:pict>
      </w:r>
    </w:p>
    <w:p>
      <w:pPr>
        <w:pStyle w:val="BodyText"/>
        <w:spacing w:before="5"/>
        <w:rPr>
          <w:sz w:val="1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78"/>
        <w:gridCol w:w="747"/>
        <w:gridCol w:w="1269"/>
        <w:gridCol w:w="895"/>
        <w:gridCol w:w="1345"/>
        <w:gridCol w:w="869"/>
        <w:gridCol w:w="1369"/>
      </w:tblGrid>
      <w:tr>
        <w:trPr>
          <w:trHeight w:val="1507" w:hRule="atLeast"/>
        </w:trPr>
        <w:tc>
          <w:tcPr>
            <w:tcW w:w="2878" w:type="dxa"/>
          </w:tcPr>
          <w:p>
            <w:pPr>
              <w:pStyle w:val="TableParagraph"/>
              <w:spacing w:before="0"/>
              <w:rPr>
                <w:sz w:val="20"/>
              </w:rPr>
            </w:pPr>
          </w:p>
          <w:p>
            <w:pPr>
              <w:pStyle w:val="TableParagraph"/>
              <w:spacing w:before="0"/>
              <w:rPr>
                <w:sz w:val="20"/>
              </w:rPr>
            </w:pPr>
          </w:p>
          <w:p>
            <w:pPr>
              <w:pStyle w:val="TableParagraph"/>
              <w:spacing w:before="3"/>
              <w:rPr>
                <w:sz w:val="25"/>
              </w:rPr>
            </w:pPr>
          </w:p>
          <w:p>
            <w:pPr>
              <w:pStyle w:val="TableParagraph"/>
              <w:spacing w:before="0"/>
              <w:ind w:left="842"/>
              <w:rPr>
                <w:b/>
                <w:sz w:val="18"/>
              </w:rPr>
            </w:pPr>
            <w:r>
              <w:rPr>
                <w:b/>
                <w:color w:val="FFFFFF"/>
                <w:sz w:val="18"/>
              </w:rPr>
              <w:t>Characteristic</w:t>
            </w:r>
          </w:p>
          <w:p>
            <w:pPr>
              <w:pStyle w:val="TableParagraph"/>
              <w:spacing w:before="89"/>
              <w:ind w:left="114" w:right="502"/>
              <w:rPr>
                <w:sz w:val="18"/>
              </w:rPr>
            </w:pPr>
            <w:r>
              <w:rPr>
                <w:sz w:val="18"/>
              </w:rPr>
              <w:t>Involved in religious or faith- based group</w:t>
            </w:r>
          </w:p>
        </w:tc>
        <w:tc>
          <w:tcPr>
            <w:tcW w:w="747" w:type="dxa"/>
          </w:tcPr>
          <w:p>
            <w:pPr>
              <w:pStyle w:val="TableParagraph"/>
              <w:spacing w:before="5"/>
              <w:rPr>
                <w:sz w:val="21"/>
              </w:rPr>
            </w:pPr>
          </w:p>
          <w:p>
            <w:pPr>
              <w:pStyle w:val="TableParagraph"/>
              <w:spacing w:before="0"/>
              <w:ind w:left="292" w:right="-163" w:firstLine="148"/>
              <w:rPr>
                <w:b/>
                <w:sz w:val="18"/>
              </w:rPr>
            </w:pPr>
            <w:r>
              <w:rPr>
                <w:b/>
                <w:color w:val="FFFFFF"/>
                <w:sz w:val="18"/>
              </w:rPr>
              <w:t>Unde Cisge</w:t>
            </w:r>
          </w:p>
          <w:p>
            <w:pPr>
              <w:pStyle w:val="TableParagraph"/>
              <w:spacing w:before="90"/>
              <w:ind w:left="308"/>
              <w:rPr>
                <w:b/>
                <w:sz w:val="18"/>
              </w:rPr>
            </w:pPr>
            <w:r>
              <w:rPr>
                <w:b/>
                <w:color w:val="FFFFFF"/>
                <w:sz w:val="18"/>
              </w:rPr>
              <w:t>#</w:t>
            </w:r>
          </w:p>
        </w:tc>
        <w:tc>
          <w:tcPr>
            <w:tcW w:w="1269" w:type="dxa"/>
          </w:tcPr>
          <w:p>
            <w:pPr>
              <w:pStyle w:val="TableParagraph"/>
              <w:spacing w:before="5"/>
              <w:rPr>
                <w:sz w:val="21"/>
              </w:rPr>
            </w:pPr>
          </w:p>
          <w:p>
            <w:pPr>
              <w:pStyle w:val="TableParagraph"/>
              <w:spacing w:before="0"/>
              <w:ind w:left="36" w:right="122" w:firstLine="107"/>
              <w:rPr>
                <w:b/>
                <w:sz w:val="18"/>
              </w:rPr>
            </w:pPr>
            <w:r>
              <w:rPr>
                <w:b/>
                <w:color w:val="FFFFFF"/>
                <w:sz w:val="18"/>
              </w:rPr>
              <w:t>rgraduate nder Women</w:t>
            </w:r>
          </w:p>
          <w:p>
            <w:pPr>
              <w:pStyle w:val="TableParagraph"/>
              <w:spacing w:before="90"/>
              <w:ind w:left="253"/>
              <w:rPr>
                <w:b/>
                <w:sz w:val="18"/>
              </w:rPr>
            </w:pPr>
            <w:r>
              <w:rPr>
                <w:b/>
                <w:color w:val="FFFFFF"/>
                <w:sz w:val="18"/>
              </w:rPr>
              <w:t>%</w:t>
            </w:r>
          </w:p>
        </w:tc>
        <w:tc>
          <w:tcPr>
            <w:tcW w:w="895" w:type="dxa"/>
          </w:tcPr>
          <w:p>
            <w:pPr>
              <w:pStyle w:val="TableParagraph"/>
              <w:spacing w:before="5"/>
              <w:rPr>
                <w:sz w:val="21"/>
              </w:rPr>
            </w:pPr>
          </w:p>
          <w:p>
            <w:pPr>
              <w:pStyle w:val="TableParagraph"/>
              <w:spacing w:before="0"/>
              <w:ind w:left="580" w:right="-159" w:firstLine="4"/>
              <w:rPr>
                <w:b/>
                <w:sz w:val="18"/>
              </w:rPr>
            </w:pPr>
            <w:r>
              <w:rPr>
                <w:b/>
                <w:color w:val="FFFFFF"/>
                <w:sz w:val="18"/>
              </w:rPr>
              <w:t>Unde Cis</w:t>
            </w:r>
          </w:p>
          <w:p>
            <w:pPr>
              <w:pStyle w:val="TableParagraph"/>
              <w:spacing w:before="90"/>
              <w:ind w:left="109"/>
              <w:jc w:val="center"/>
              <w:rPr>
                <w:b/>
                <w:sz w:val="18"/>
              </w:rPr>
            </w:pPr>
            <w:r>
              <w:rPr>
                <w:b/>
                <w:color w:val="FFFFFF"/>
                <w:sz w:val="18"/>
              </w:rPr>
              <w:t>#</w:t>
            </w:r>
          </w:p>
        </w:tc>
        <w:tc>
          <w:tcPr>
            <w:tcW w:w="1345" w:type="dxa"/>
          </w:tcPr>
          <w:p>
            <w:pPr>
              <w:pStyle w:val="TableParagraph"/>
              <w:spacing w:before="5"/>
              <w:rPr>
                <w:sz w:val="21"/>
              </w:rPr>
            </w:pPr>
          </w:p>
          <w:p>
            <w:pPr>
              <w:pStyle w:val="TableParagraph"/>
              <w:spacing w:before="0"/>
              <w:ind w:left="-32" w:right="346" w:firstLine="171"/>
              <w:rPr>
                <w:b/>
                <w:sz w:val="18"/>
              </w:rPr>
            </w:pPr>
            <w:r>
              <w:rPr>
                <w:b/>
                <w:color w:val="FFFFFF"/>
                <w:sz w:val="18"/>
              </w:rPr>
              <w:t>rgraduate gender Men</w:t>
            </w:r>
          </w:p>
          <w:p>
            <w:pPr>
              <w:pStyle w:val="TableParagraph"/>
              <w:spacing w:before="90"/>
              <w:ind w:left="253"/>
              <w:rPr>
                <w:b/>
                <w:sz w:val="18"/>
              </w:rPr>
            </w:pPr>
            <w:r>
              <w:rPr>
                <w:b/>
                <w:color w:val="FFFFFF"/>
                <w:sz w:val="18"/>
              </w:rPr>
              <w:t>%</w:t>
            </w:r>
          </w:p>
        </w:tc>
        <w:tc>
          <w:tcPr>
            <w:tcW w:w="869" w:type="dxa"/>
          </w:tcPr>
          <w:p>
            <w:pPr>
              <w:pStyle w:val="TableParagraph"/>
              <w:spacing w:before="39"/>
              <w:ind w:left="304" w:right="-144"/>
              <w:rPr>
                <w:b/>
                <w:sz w:val="18"/>
              </w:rPr>
            </w:pPr>
            <w:r>
              <w:rPr>
                <w:b/>
                <w:color w:val="FFFFFF"/>
                <w:sz w:val="18"/>
              </w:rPr>
              <w:t>Transge</w:t>
            </w:r>
          </w:p>
          <w:p>
            <w:pPr>
              <w:pStyle w:val="TableParagraph"/>
              <w:spacing w:before="1"/>
              <w:ind w:left="460" w:right="-95" w:firstLine="244"/>
              <w:rPr>
                <w:b/>
                <w:sz w:val="18"/>
              </w:rPr>
            </w:pPr>
            <w:r>
              <w:rPr>
                <w:b/>
                <w:color w:val="FFFFFF"/>
                <w:sz w:val="18"/>
              </w:rPr>
              <w:t>No Unde</w:t>
            </w:r>
          </w:p>
          <w:p>
            <w:pPr>
              <w:pStyle w:val="TableParagraph"/>
              <w:spacing w:before="90"/>
              <w:ind w:left="376"/>
              <w:rPr>
                <w:b/>
                <w:sz w:val="18"/>
              </w:rPr>
            </w:pPr>
            <w:r>
              <w:rPr>
                <w:b/>
                <w:color w:val="FFFFFF"/>
                <w:sz w:val="18"/>
              </w:rPr>
              <w:t>#</w:t>
            </w:r>
          </w:p>
        </w:tc>
        <w:tc>
          <w:tcPr>
            <w:tcW w:w="1369" w:type="dxa"/>
          </w:tcPr>
          <w:p>
            <w:pPr>
              <w:pStyle w:val="TableParagraph"/>
              <w:spacing w:before="39"/>
              <w:ind w:left="42" w:right="220" w:firstLine="96"/>
              <w:rPr>
                <w:b/>
                <w:sz w:val="18"/>
              </w:rPr>
            </w:pPr>
            <w:r>
              <w:rPr>
                <w:b/>
                <w:color w:val="FFFFFF"/>
                <w:sz w:val="18"/>
              </w:rPr>
              <w:t>nder and/or nbinary rgraduates</w:t>
            </w:r>
          </w:p>
          <w:p>
            <w:pPr>
              <w:pStyle w:val="TableParagraph"/>
              <w:spacing w:before="91"/>
              <w:ind w:left="199"/>
              <w:rPr>
                <w:b/>
                <w:sz w:val="18"/>
              </w:rPr>
            </w:pPr>
            <w:r>
              <w:rPr>
                <w:b/>
                <w:color w:val="FFFFFF"/>
                <w:sz w:val="18"/>
              </w:rPr>
              <w:t>%</w:t>
            </w:r>
          </w:p>
        </w:tc>
      </w:tr>
      <w:tr>
        <w:trPr>
          <w:trHeight w:val="291" w:hRule="atLeast"/>
        </w:trPr>
        <w:tc>
          <w:tcPr>
            <w:tcW w:w="2878" w:type="dxa"/>
            <w:tcBorders>
              <w:bottom w:val="single" w:sz="4" w:space="0" w:color="585858"/>
            </w:tcBorders>
          </w:tcPr>
          <w:p>
            <w:pPr>
              <w:pStyle w:val="TableParagraph"/>
              <w:spacing w:before="43"/>
              <w:ind w:left="430"/>
              <w:rPr>
                <w:sz w:val="18"/>
              </w:rPr>
            </w:pPr>
            <w:r>
              <w:rPr>
                <w:sz w:val="18"/>
              </w:rPr>
              <w:t>Yes</w:t>
            </w:r>
          </w:p>
        </w:tc>
        <w:tc>
          <w:tcPr>
            <w:tcW w:w="747" w:type="dxa"/>
            <w:tcBorders>
              <w:bottom w:val="single" w:sz="4" w:space="0" w:color="585858"/>
            </w:tcBorders>
          </w:tcPr>
          <w:p>
            <w:pPr>
              <w:pStyle w:val="TableParagraph"/>
              <w:spacing w:before="43"/>
              <w:ind w:right="133"/>
              <w:jc w:val="right"/>
              <w:rPr>
                <w:sz w:val="18"/>
              </w:rPr>
            </w:pPr>
            <w:r>
              <w:rPr>
                <w:sz w:val="18"/>
              </w:rPr>
              <w:t>384</w:t>
            </w:r>
          </w:p>
        </w:tc>
        <w:tc>
          <w:tcPr>
            <w:tcW w:w="1269" w:type="dxa"/>
            <w:tcBorders>
              <w:bottom w:val="single" w:sz="4" w:space="0" w:color="585858"/>
            </w:tcBorders>
          </w:tcPr>
          <w:p>
            <w:pPr>
              <w:pStyle w:val="TableParagraph"/>
              <w:tabs>
                <w:tab w:pos="467" w:val="left" w:leader="none"/>
              </w:tabs>
              <w:spacing w:before="43"/>
              <w:ind w:right="305"/>
              <w:jc w:val="right"/>
              <w:rPr>
                <w:sz w:val="18"/>
              </w:rPr>
            </w:pPr>
            <w:r>
              <w:rPr>
                <w:sz w:val="18"/>
              </w:rPr>
              <w:t>9.4</w:t>
              <w:tab/>
              <w:t>%</w:t>
            </w:r>
          </w:p>
        </w:tc>
        <w:tc>
          <w:tcPr>
            <w:tcW w:w="895" w:type="dxa"/>
            <w:tcBorders>
              <w:bottom w:val="single" w:sz="4" w:space="0" w:color="585858"/>
            </w:tcBorders>
          </w:tcPr>
          <w:p>
            <w:pPr>
              <w:pStyle w:val="TableParagraph"/>
              <w:spacing w:before="43"/>
              <w:ind w:right="137"/>
              <w:jc w:val="right"/>
              <w:rPr>
                <w:sz w:val="18"/>
              </w:rPr>
            </w:pPr>
            <w:r>
              <w:rPr>
                <w:sz w:val="18"/>
              </w:rPr>
              <w:t>161</w:t>
            </w:r>
          </w:p>
        </w:tc>
        <w:tc>
          <w:tcPr>
            <w:tcW w:w="1345" w:type="dxa"/>
            <w:tcBorders>
              <w:bottom w:val="single" w:sz="4" w:space="0" w:color="585858"/>
            </w:tcBorders>
          </w:tcPr>
          <w:p>
            <w:pPr>
              <w:pStyle w:val="TableParagraph"/>
              <w:tabs>
                <w:tab w:pos="467" w:val="left" w:leader="none"/>
              </w:tabs>
              <w:spacing w:before="43"/>
              <w:ind w:right="381"/>
              <w:jc w:val="right"/>
              <w:rPr>
                <w:sz w:val="18"/>
              </w:rPr>
            </w:pPr>
            <w:r>
              <w:rPr>
                <w:sz w:val="18"/>
              </w:rPr>
              <w:t>8.0</w:t>
              <w:tab/>
              <w:t>%</w:t>
            </w:r>
          </w:p>
        </w:tc>
        <w:tc>
          <w:tcPr>
            <w:tcW w:w="869" w:type="dxa"/>
            <w:tcBorders>
              <w:bottom w:val="single" w:sz="4" w:space="0" w:color="585858"/>
            </w:tcBorders>
          </w:tcPr>
          <w:p>
            <w:pPr>
              <w:pStyle w:val="TableParagraph"/>
              <w:spacing w:before="43"/>
              <w:ind w:right="186"/>
              <w:jc w:val="right"/>
              <w:rPr>
                <w:sz w:val="18"/>
              </w:rPr>
            </w:pPr>
            <w:r>
              <w:rPr>
                <w:sz w:val="18"/>
              </w:rPr>
              <w:t>15</w:t>
            </w:r>
          </w:p>
        </w:tc>
        <w:tc>
          <w:tcPr>
            <w:tcW w:w="1369" w:type="dxa"/>
            <w:tcBorders>
              <w:bottom w:val="single" w:sz="4" w:space="0" w:color="585858"/>
            </w:tcBorders>
          </w:tcPr>
          <w:p>
            <w:pPr>
              <w:pStyle w:val="TableParagraph"/>
              <w:tabs>
                <w:tab w:pos="471" w:val="left" w:leader="none"/>
              </w:tabs>
              <w:spacing w:before="43"/>
              <w:ind w:right="455"/>
              <w:jc w:val="right"/>
              <w:rPr>
                <w:sz w:val="18"/>
              </w:rPr>
            </w:pPr>
            <w:r>
              <w:rPr>
                <w:sz w:val="18"/>
              </w:rPr>
              <w:t>4.6</w:t>
              <w:tab/>
              <w:t>%</w:t>
            </w:r>
          </w:p>
        </w:tc>
      </w:tr>
      <w:tr>
        <w:trPr>
          <w:trHeight w:val="283" w:hRule="atLeast"/>
        </w:trPr>
        <w:tc>
          <w:tcPr>
            <w:tcW w:w="2878" w:type="dxa"/>
            <w:tcBorders>
              <w:top w:val="single" w:sz="4" w:space="0" w:color="585858"/>
              <w:bottom w:val="single" w:sz="6" w:space="0" w:color="000000"/>
            </w:tcBorders>
          </w:tcPr>
          <w:p>
            <w:pPr>
              <w:pStyle w:val="TableParagraph"/>
              <w:spacing w:before="42"/>
              <w:ind w:left="430"/>
              <w:rPr>
                <w:sz w:val="18"/>
              </w:rPr>
            </w:pPr>
            <w:r>
              <w:rPr>
                <w:sz w:val="18"/>
              </w:rPr>
              <w:t>No</w:t>
            </w:r>
          </w:p>
        </w:tc>
        <w:tc>
          <w:tcPr>
            <w:tcW w:w="747" w:type="dxa"/>
            <w:tcBorders>
              <w:top w:val="single" w:sz="4" w:space="0" w:color="585858"/>
              <w:bottom w:val="single" w:sz="6" w:space="0" w:color="000000"/>
            </w:tcBorders>
          </w:tcPr>
          <w:p>
            <w:pPr>
              <w:pStyle w:val="TableParagraph"/>
              <w:spacing w:before="42"/>
              <w:ind w:right="132"/>
              <w:jc w:val="right"/>
              <w:rPr>
                <w:sz w:val="18"/>
              </w:rPr>
            </w:pPr>
            <w:r>
              <w:rPr>
                <w:sz w:val="18"/>
              </w:rPr>
              <w:t>3,686</w:t>
            </w:r>
          </w:p>
        </w:tc>
        <w:tc>
          <w:tcPr>
            <w:tcW w:w="1269" w:type="dxa"/>
            <w:tcBorders>
              <w:top w:val="single" w:sz="4" w:space="0" w:color="585858"/>
              <w:bottom w:val="single" w:sz="6" w:space="0" w:color="000000"/>
            </w:tcBorders>
          </w:tcPr>
          <w:p>
            <w:pPr>
              <w:pStyle w:val="TableParagraph"/>
              <w:spacing w:before="42"/>
              <w:ind w:left="233"/>
              <w:rPr>
                <w:sz w:val="18"/>
              </w:rPr>
            </w:pPr>
            <w:r>
              <w:rPr>
                <w:sz w:val="18"/>
              </w:rPr>
              <w:t>90.6</w:t>
            </w:r>
          </w:p>
        </w:tc>
        <w:tc>
          <w:tcPr>
            <w:tcW w:w="895" w:type="dxa"/>
            <w:tcBorders>
              <w:top w:val="single" w:sz="4" w:space="0" w:color="585858"/>
              <w:bottom w:val="single" w:sz="6" w:space="0" w:color="000000"/>
            </w:tcBorders>
          </w:tcPr>
          <w:p>
            <w:pPr>
              <w:pStyle w:val="TableParagraph"/>
              <w:spacing w:before="42"/>
              <w:ind w:right="136"/>
              <w:jc w:val="right"/>
              <w:rPr>
                <w:sz w:val="18"/>
              </w:rPr>
            </w:pPr>
            <w:r>
              <w:rPr>
                <w:sz w:val="18"/>
              </w:rPr>
              <w:t>1,856</w:t>
            </w:r>
          </w:p>
        </w:tc>
        <w:tc>
          <w:tcPr>
            <w:tcW w:w="1345" w:type="dxa"/>
            <w:tcBorders>
              <w:top w:val="single" w:sz="4" w:space="0" w:color="585858"/>
              <w:bottom w:val="single" w:sz="6" w:space="0" w:color="000000"/>
            </w:tcBorders>
          </w:tcPr>
          <w:p>
            <w:pPr>
              <w:pStyle w:val="TableParagraph"/>
              <w:spacing w:before="42"/>
              <w:ind w:left="233"/>
              <w:rPr>
                <w:sz w:val="18"/>
              </w:rPr>
            </w:pPr>
            <w:r>
              <w:rPr>
                <w:sz w:val="18"/>
              </w:rPr>
              <w:t>92.0</w:t>
            </w:r>
          </w:p>
        </w:tc>
        <w:tc>
          <w:tcPr>
            <w:tcW w:w="869" w:type="dxa"/>
            <w:tcBorders>
              <w:top w:val="single" w:sz="4" w:space="0" w:color="585858"/>
              <w:bottom w:val="single" w:sz="6" w:space="0" w:color="000000"/>
            </w:tcBorders>
          </w:tcPr>
          <w:p>
            <w:pPr>
              <w:pStyle w:val="TableParagraph"/>
              <w:spacing w:before="42"/>
              <w:ind w:right="187"/>
              <w:jc w:val="right"/>
              <w:rPr>
                <w:sz w:val="18"/>
              </w:rPr>
            </w:pPr>
            <w:r>
              <w:rPr>
                <w:sz w:val="18"/>
              </w:rPr>
              <w:t>308</w:t>
            </w:r>
          </w:p>
        </w:tc>
        <w:tc>
          <w:tcPr>
            <w:tcW w:w="1369" w:type="dxa"/>
            <w:tcBorders>
              <w:top w:val="single" w:sz="4" w:space="0" w:color="585858"/>
              <w:bottom w:val="single" w:sz="6" w:space="0" w:color="000000"/>
            </w:tcBorders>
          </w:tcPr>
          <w:p>
            <w:pPr>
              <w:pStyle w:val="TableParagraph"/>
              <w:spacing w:before="42"/>
              <w:ind w:left="179"/>
              <w:rPr>
                <w:sz w:val="18"/>
              </w:rPr>
            </w:pPr>
            <w:r>
              <w:rPr>
                <w:sz w:val="18"/>
              </w:rPr>
              <w:t>95.4</w:t>
            </w:r>
          </w:p>
        </w:tc>
      </w:tr>
      <w:tr>
        <w:trPr>
          <w:trHeight w:val="491" w:hRule="atLeast"/>
        </w:trPr>
        <w:tc>
          <w:tcPr>
            <w:tcW w:w="2878" w:type="dxa"/>
            <w:tcBorders>
              <w:top w:val="single" w:sz="4" w:space="0" w:color="000000"/>
              <w:bottom w:val="single" w:sz="4" w:space="0" w:color="585858"/>
            </w:tcBorders>
            <w:shd w:val="clear" w:color="auto" w:fill="DEEAF6"/>
          </w:tcPr>
          <w:p>
            <w:pPr>
              <w:pStyle w:val="TableParagraph"/>
              <w:spacing w:before="39"/>
              <w:ind w:left="114" w:right="102"/>
              <w:rPr>
                <w:sz w:val="18"/>
              </w:rPr>
            </w:pPr>
            <w:r>
              <w:rPr>
                <w:sz w:val="18"/>
              </w:rPr>
              <w:t>Member of intercollegiate athletic team</w:t>
            </w:r>
          </w:p>
        </w:tc>
        <w:tc>
          <w:tcPr>
            <w:tcW w:w="747" w:type="dxa"/>
            <w:tcBorders>
              <w:top w:val="single" w:sz="4" w:space="0" w:color="000000"/>
              <w:bottom w:val="single" w:sz="4" w:space="0" w:color="585858"/>
            </w:tcBorders>
            <w:shd w:val="clear" w:color="auto" w:fill="DEEAF6"/>
          </w:tcPr>
          <w:p>
            <w:pPr>
              <w:pStyle w:val="TableParagraph"/>
              <w:spacing w:before="0"/>
              <w:rPr>
                <w:rFonts w:ascii="Times New Roman"/>
                <w:sz w:val="18"/>
              </w:rPr>
            </w:pPr>
          </w:p>
        </w:tc>
        <w:tc>
          <w:tcPr>
            <w:tcW w:w="1269" w:type="dxa"/>
            <w:tcBorders>
              <w:top w:val="single" w:sz="4" w:space="0" w:color="000000"/>
              <w:bottom w:val="single" w:sz="4" w:space="0" w:color="585858"/>
            </w:tcBorders>
            <w:shd w:val="clear" w:color="auto" w:fill="DEEAF6"/>
          </w:tcPr>
          <w:p>
            <w:pPr>
              <w:pStyle w:val="TableParagraph"/>
              <w:spacing w:before="0"/>
              <w:rPr>
                <w:rFonts w:ascii="Times New Roman"/>
                <w:sz w:val="18"/>
              </w:rPr>
            </w:pPr>
          </w:p>
        </w:tc>
        <w:tc>
          <w:tcPr>
            <w:tcW w:w="895" w:type="dxa"/>
            <w:tcBorders>
              <w:top w:val="single" w:sz="4" w:space="0" w:color="000000"/>
              <w:bottom w:val="single" w:sz="4" w:space="0" w:color="585858"/>
            </w:tcBorders>
            <w:shd w:val="clear" w:color="auto" w:fill="DEEAF6"/>
          </w:tcPr>
          <w:p>
            <w:pPr>
              <w:pStyle w:val="TableParagraph"/>
              <w:spacing w:before="0"/>
              <w:rPr>
                <w:rFonts w:ascii="Times New Roman"/>
                <w:sz w:val="18"/>
              </w:rPr>
            </w:pPr>
          </w:p>
        </w:tc>
        <w:tc>
          <w:tcPr>
            <w:tcW w:w="1345" w:type="dxa"/>
            <w:tcBorders>
              <w:top w:val="single" w:sz="4" w:space="0" w:color="000000"/>
              <w:bottom w:val="single" w:sz="4" w:space="0" w:color="585858"/>
            </w:tcBorders>
            <w:shd w:val="clear" w:color="auto" w:fill="DEEAF6"/>
          </w:tcPr>
          <w:p>
            <w:pPr>
              <w:pStyle w:val="TableParagraph"/>
              <w:spacing w:before="0"/>
              <w:rPr>
                <w:rFonts w:ascii="Times New Roman"/>
                <w:sz w:val="18"/>
              </w:rPr>
            </w:pPr>
          </w:p>
        </w:tc>
        <w:tc>
          <w:tcPr>
            <w:tcW w:w="869" w:type="dxa"/>
            <w:tcBorders>
              <w:top w:val="single" w:sz="4" w:space="0" w:color="000000"/>
              <w:bottom w:val="single" w:sz="4" w:space="0" w:color="585858"/>
            </w:tcBorders>
            <w:shd w:val="clear" w:color="auto" w:fill="DEEAF6"/>
          </w:tcPr>
          <w:p>
            <w:pPr>
              <w:pStyle w:val="TableParagraph"/>
              <w:spacing w:before="0"/>
              <w:rPr>
                <w:rFonts w:ascii="Times New Roman"/>
                <w:sz w:val="18"/>
              </w:rPr>
            </w:pPr>
          </w:p>
        </w:tc>
        <w:tc>
          <w:tcPr>
            <w:tcW w:w="1369" w:type="dxa"/>
            <w:tcBorders>
              <w:top w:val="single" w:sz="4" w:space="0" w:color="000000"/>
              <w:bottom w:val="single" w:sz="4" w:space="0" w:color="585858"/>
            </w:tcBorders>
            <w:shd w:val="clear" w:color="auto" w:fill="DEEAF6"/>
          </w:tcPr>
          <w:p>
            <w:pPr>
              <w:pStyle w:val="TableParagraph"/>
              <w:spacing w:before="0"/>
              <w:rPr>
                <w:rFonts w:ascii="Times New Roman"/>
                <w:sz w:val="18"/>
              </w:rPr>
            </w:pPr>
          </w:p>
        </w:tc>
      </w:tr>
      <w:tr>
        <w:trPr>
          <w:trHeight w:val="290"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Yes</w:t>
            </w:r>
          </w:p>
        </w:tc>
        <w:tc>
          <w:tcPr>
            <w:tcW w:w="747" w:type="dxa"/>
            <w:tcBorders>
              <w:top w:val="single" w:sz="4" w:space="0" w:color="585858"/>
              <w:bottom w:val="single" w:sz="4" w:space="0" w:color="585858"/>
            </w:tcBorders>
          </w:tcPr>
          <w:p>
            <w:pPr>
              <w:pStyle w:val="TableParagraph"/>
              <w:spacing w:before="42"/>
              <w:ind w:right="133"/>
              <w:jc w:val="right"/>
              <w:rPr>
                <w:sz w:val="18"/>
              </w:rPr>
            </w:pPr>
            <w:r>
              <w:rPr>
                <w:sz w:val="18"/>
              </w:rPr>
              <w:t>116</w:t>
            </w:r>
          </w:p>
        </w:tc>
        <w:tc>
          <w:tcPr>
            <w:tcW w:w="1269" w:type="dxa"/>
            <w:tcBorders>
              <w:top w:val="single" w:sz="4" w:space="0" w:color="585858"/>
              <w:bottom w:val="single" w:sz="4" w:space="0" w:color="585858"/>
            </w:tcBorders>
          </w:tcPr>
          <w:p>
            <w:pPr>
              <w:pStyle w:val="TableParagraph"/>
              <w:tabs>
                <w:tab w:pos="467" w:val="left" w:leader="none"/>
              </w:tabs>
              <w:spacing w:before="42"/>
              <w:ind w:right="306"/>
              <w:jc w:val="right"/>
              <w:rPr>
                <w:sz w:val="18"/>
              </w:rPr>
            </w:pPr>
            <w:r>
              <w:rPr>
                <w:sz w:val="18"/>
              </w:rPr>
              <w:t>2.9</w:t>
              <w:tab/>
              <w:t>%</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48</w:t>
            </w:r>
          </w:p>
        </w:tc>
        <w:tc>
          <w:tcPr>
            <w:tcW w:w="1345" w:type="dxa"/>
            <w:tcBorders>
              <w:top w:val="single" w:sz="4" w:space="0" w:color="585858"/>
              <w:bottom w:val="single" w:sz="4" w:space="0" w:color="585858"/>
            </w:tcBorders>
          </w:tcPr>
          <w:p>
            <w:pPr>
              <w:pStyle w:val="TableParagraph"/>
              <w:tabs>
                <w:tab w:pos="467" w:val="left" w:leader="none"/>
              </w:tabs>
              <w:spacing w:before="42"/>
              <w:ind w:right="382"/>
              <w:jc w:val="right"/>
              <w:rPr>
                <w:sz w:val="18"/>
              </w:rPr>
            </w:pPr>
            <w:r>
              <w:rPr>
                <w:sz w:val="18"/>
              </w:rPr>
              <w:t>2.4</w:t>
              <w:tab/>
              <w:t>%</w:t>
            </w:r>
          </w:p>
        </w:tc>
        <w:tc>
          <w:tcPr>
            <w:tcW w:w="869" w:type="dxa"/>
            <w:tcBorders>
              <w:top w:val="single" w:sz="4" w:space="0" w:color="585858"/>
              <w:bottom w:val="single" w:sz="4" w:space="0" w:color="585858"/>
            </w:tcBorders>
          </w:tcPr>
          <w:p>
            <w:pPr>
              <w:pStyle w:val="TableParagraph"/>
              <w:spacing w:before="42"/>
              <w:ind w:right="188"/>
              <w:jc w:val="right"/>
              <w:rPr>
                <w:sz w:val="18"/>
              </w:rPr>
            </w:pPr>
            <w:r>
              <w:rPr>
                <w:sz w:val="18"/>
              </w:rPr>
              <w:t>&lt;10</w:t>
            </w:r>
          </w:p>
        </w:tc>
        <w:tc>
          <w:tcPr>
            <w:tcW w:w="1369" w:type="dxa"/>
            <w:tcBorders>
              <w:top w:val="single" w:sz="4" w:space="0" w:color="585858"/>
              <w:bottom w:val="single" w:sz="4" w:space="0" w:color="585858"/>
            </w:tcBorders>
          </w:tcPr>
          <w:p>
            <w:pPr>
              <w:pStyle w:val="TableParagraph"/>
              <w:tabs>
                <w:tab w:pos="471" w:val="left" w:leader="none"/>
              </w:tabs>
              <w:spacing w:before="42"/>
              <w:ind w:right="406"/>
              <w:jc w:val="right"/>
              <w:rPr>
                <w:sz w:val="18"/>
              </w:rPr>
            </w:pPr>
            <w:r>
              <w:rPr>
                <w:sz w:val="18"/>
              </w:rPr>
              <w:t>2.2</w:t>
              <w:tab/>
            </w:r>
            <w:r>
              <w:rPr>
                <w:spacing w:val="-1"/>
                <w:sz w:val="18"/>
              </w:rPr>
              <w:t>%!</w:t>
            </w:r>
          </w:p>
        </w:tc>
      </w:tr>
      <w:tr>
        <w:trPr>
          <w:trHeight w:val="283" w:hRule="atLeast"/>
        </w:trPr>
        <w:tc>
          <w:tcPr>
            <w:tcW w:w="2878" w:type="dxa"/>
            <w:tcBorders>
              <w:top w:val="single" w:sz="4" w:space="0" w:color="585858"/>
              <w:bottom w:val="single" w:sz="6" w:space="0" w:color="585858"/>
            </w:tcBorders>
          </w:tcPr>
          <w:p>
            <w:pPr>
              <w:pStyle w:val="TableParagraph"/>
              <w:ind w:left="353"/>
              <w:rPr>
                <w:sz w:val="18"/>
              </w:rPr>
            </w:pPr>
            <w:r>
              <w:rPr>
                <w:sz w:val="18"/>
              </w:rPr>
              <w:t>No</w:t>
            </w:r>
          </w:p>
        </w:tc>
        <w:tc>
          <w:tcPr>
            <w:tcW w:w="747" w:type="dxa"/>
            <w:tcBorders>
              <w:top w:val="single" w:sz="4" w:space="0" w:color="585858"/>
              <w:bottom w:val="single" w:sz="6" w:space="0" w:color="585858"/>
            </w:tcBorders>
          </w:tcPr>
          <w:p>
            <w:pPr>
              <w:pStyle w:val="TableParagraph"/>
              <w:ind w:right="133"/>
              <w:jc w:val="right"/>
              <w:rPr>
                <w:sz w:val="18"/>
              </w:rPr>
            </w:pPr>
            <w:r>
              <w:rPr>
                <w:sz w:val="18"/>
              </w:rPr>
              <w:t>3,954</w:t>
            </w:r>
          </w:p>
        </w:tc>
        <w:tc>
          <w:tcPr>
            <w:tcW w:w="1269" w:type="dxa"/>
            <w:tcBorders>
              <w:top w:val="single" w:sz="4" w:space="0" w:color="585858"/>
              <w:bottom w:val="single" w:sz="6" w:space="0" w:color="585858"/>
            </w:tcBorders>
          </w:tcPr>
          <w:p>
            <w:pPr>
              <w:pStyle w:val="TableParagraph"/>
              <w:ind w:left="232"/>
              <w:rPr>
                <w:sz w:val="18"/>
              </w:rPr>
            </w:pPr>
            <w:r>
              <w:rPr>
                <w:sz w:val="18"/>
              </w:rPr>
              <w:t>97.1</w:t>
            </w:r>
          </w:p>
        </w:tc>
        <w:tc>
          <w:tcPr>
            <w:tcW w:w="895" w:type="dxa"/>
            <w:tcBorders>
              <w:top w:val="single" w:sz="4" w:space="0" w:color="585858"/>
              <w:bottom w:val="single" w:sz="6" w:space="0" w:color="585858"/>
            </w:tcBorders>
          </w:tcPr>
          <w:p>
            <w:pPr>
              <w:pStyle w:val="TableParagraph"/>
              <w:ind w:right="137"/>
              <w:jc w:val="right"/>
              <w:rPr>
                <w:sz w:val="18"/>
              </w:rPr>
            </w:pPr>
            <w:r>
              <w:rPr>
                <w:sz w:val="18"/>
              </w:rPr>
              <w:t>1,969</w:t>
            </w:r>
          </w:p>
        </w:tc>
        <w:tc>
          <w:tcPr>
            <w:tcW w:w="1345" w:type="dxa"/>
            <w:tcBorders>
              <w:top w:val="single" w:sz="4" w:space="0" w:color="585858"/>
              <w:bottom w:val="single" w:sz="6" w:space="0" w:color="585858"/>
            </w:tcBorders>
          </w:tcPr>
          <w:p>
            <w:pPr>
              <w:pStyle w:val="TableParagraph"/>
              <w:ind w:left="232"/>
              <w:rPr>
                <w:sz w:val="18"/>
              </w:rPr>
            </w:pPr>
            <w:r>
              <w:rPr>
                <w:sz w:val="18"/>
              </w:rPr>
              <w:t>97.6</w:t>
            </w:r>
          </w:p>
        </w:tc>
        <w:tc>
          <w:tcPr>
            <w:tcW w:w="869" w:type="dxa"/>
            <w:tcBorders>
              <w:top w:val="single" w:sz="4" w:space="0" w:color="585858"/>
              <w:bottom w:val="single" w:sz="6" w:space="0" w:color="585858"/>
            </w:tcBorders>
          </w:tcPr>
          <w:p>
            <w:pPr>
              <w:pStyle w:val="TableParagraph"/>
              <w:ind w:right="187"/>
              <w:jc w:val="right"/>
              <w:rPr>
                <w:sz w:val="18"/>
              </w:rPr>
            </w:pPr>
            <w:r>
              <w:rPr>
                <w:sz w:val="18"/>
              </w:rPr>
              <w:t>316</w:t>
            </w:r>
          </w:p>
        </w:tc>
        <w:tc>
          <w:tcPr>
            <w:tcW w:w="1369" w:type="dxa"/>
            <w:tcBorders>
              <w:top w:val="single" w:sz="4" w:space="0" w:color="585858"/>
              <w:bottom w:val="single" w:sz="6" w:space="0" w:color="585858"/>
            </w:tcBorders>
          </w:tcPr>
          <w:p>
            <w:pPr>
              <w:pStyle w:val="TableParagraph"/>
              <w:ind w:left="178"/>
              <w:rPr>
                <w:sz w:val="18"/>
              </w:rPr>
            </w:pPr>
            <w:r>
              <w:rPr>
                <w:sz w:val="18"/>
              </w:rPr>
              <w:t>97.8</w:t>
            </w:r>
          </w:p>
        </w:tc>
      </w:tr>
      <w:tr>
        <w:trPr>
          <w:trHeight w:val="283" w:hRule="atLeast"/>
        </w:trPr>
        <w:tc>
          <w:tcPr>
            <w:tcW w:w="2878" w:type="dxa"/>
            <w:tcBorders>
              <w:top w:val="single" w:sz="4" w:space="0" w:color="585858"/>
              <w:bottom w:val="single" w:sz="4" w:space="0" w:color="585858"/>
            </w:tcBorders>
            <w:shd w:val="clear" w:color="auto" w:fill="DEEAF6"/>
          </w:tcPr>
          <w:p>
            <w:pPr>
              <w:pStyle w:val="TableParagraph"/>
              <w:spacing w:before="35"/>
              <w:ind w:left="114"/>
              <w:rPr>
                <w:sz w:val="18"/>
              </w:rPr>
            </w:pPr>
            <w:r>
              <w:rPr>
                <w:sz w:val="18"/>
              </w:rPr>
              <w:t>Race</w:t>
            </w:r>
          </w:p>
        </w:tc>
        <w:tc>
          <w:tcPr>
            <w:tcW w:w="747"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2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9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4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r>
      <w:tr>
        <w:trPr>
          <w:trHeight w:val="285"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White</w:t>
            </w:r>
          </w:p>
        </w:tc>
        <w:tc>
          <w:tcPr>
            <w:tcW w:w="747" w:type="dxa"/>
            <w:tcBorders>
              <w:top w:val="single" w:sz="4" w:space="0" w:color="585858"/>
              <w:bottom w:val="single" w:sz="4" w:space="0" w:color="585858"/>
            </w:tcBorders>
          </w:tcPr>
          <w:p>
            <w:pPr>
              <w:pStyle w:val="TableParagraph"/>
              <w:spacing w:before="42"/>
              <w:ind w:right="132"/>
              <w:jc w:val="right"/>
              <w:rPr>
                <w:sz w:val="18"/>
              </w:rPr>
            </w:pPr>
            <w:r>
              <w:rPr>
                <w:sz w:val="18"/>
              </w:rPr>
              <w:t>2,967</w:t>
            </w:r>
          </w:p>
        </w:tc>
        <w:tc>
          <w:tcPr>
            <w:tcW w:w="1269" w:type="dxa"/>
            <w:tcBorders>
              <w:top w:val="single" w:sz="4" w:space="0" w:color="585858"/>
              <w:bottom w:val="single" w:sz="4" w:space="0" w:color="585858"/>
            </w:tcBorders>
          </w:tcPr>
          <w:p>
            <w:pPr>
              <w:pStyle w:val="TableParagraph"/>
              <w:tabs>
                <w:tab w:pos="567" w:val="left" w:leader="none"/>
              </w:tabs>
              <w:spacing w:before="42"/>
              <w:ind w:right="305"/>
              <w:jc w:val="right"/>
              <w:rPr>
                <w:sz w:val="18"/>
              </w:rPr>
            </w:pPr>
            <w:r>
              <w:rPr>
                <w:sz w:val="18"/>
              </w:rPr>
              <w:t>72.9</w:t>
              <w:tab/>
              <w:t>%</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1,400</w:t>
            </w:r>
          </w:p>
        </w:tc>
        <w:tc>
          <w:tcPr>
            <w:tcW w:w="1345" w:type="dxa"/>
            <w:tcBorders>
              <w:top w:val="single" w:sz="4" w:space="0" w:color="585858"/>
              <w:bottom w:val="single" w:sz="4" w:space="0" w:color="585858"/>
            </w:tcBorders>
          </w:tcPr>
          <w:p>
            <w:pPr>
              <w:pStyle w:val="TableParagraph"/>
              <w:tabs>
                <w:tab w:pos="567" w:val="left" w:leader="none"/>
              </w:tabs>
              <w:spacing w:before="42"/>
              <w:ind w:right="381"/>
              <w:jc w:val="right"/>
              <w:rPr>
                <w:sz w:val="18"/>
              </w:rPr>
            </w:pPr>
            <w:r>
              <w:rPr>
                <w:sz w:val="18"/>
              </w:rPr>
              <w:t>69.4</w:t>
              <w:tab/>
              <w:t>%</w:t>
            </w:r>
          </w:p>
        </w:tc>
        <w:tc>
          <w:tcPr>
            <w:tcW w:w="869" w:type="dxa"/>
            <w:tcBorders>
              <w:top w:val="single" w:sz="4" w:space="0" w:color="585858"/>
              <w:bottom w:val="single" w:sz="4" w:space="0" w:color="585858"/>
            </w:tcBorders>
          </w:tcPr>
          <w:p>
            <w:pPr>
              <w:pStyle w:val="TableParagraph"/>
              <w:spacing w:before="42"/>
              <w:ind w:right="187"/>
              <w:jc w:val="right"/>
              <w:rPr>
                <w:sz w:val="18"/>
              </w:rPr>
            </w:pPr>
            <w:r>
              <w:rPr>
                <w:sz w:val="18"/>
              </w:rPr>
              <w:t>240</w:t>
            </w:r>
          </w:p>
        </w:tc>
        <w:tc>
          <w:tcPr>
            <w:tcW w:w="1369" w:type="dxa"/>
            <w:tcBorders>
              <w:top w:val="single" w:sz="4" w:space="0" w:color="585858"/>
              <w:bottom w:val="single" w:sz="4" w:space="0" w:color="585858"/>
            </w:tcBorders>
          </w:tcPr>
          <w:p>
            <w:pPr>
              <w:pStyle w:val="TableParagraph"/>
              <w:tabs>
                <w:tab w:pos="751" w:val="left" w:leader="none"/>
              </w:tabs>
              <w:spacing w:before="42"/>
              <w:ind w:left="179"/>
              <w:rPr>
                <w:sz w:val="18"/>
              </w:rPr>
            </w:pPr>
            <w:r>
              <w:rPr>
                <w:sz w:val="18"/>
              </w:rPr>
              <w:t>74.3</w:t>
              <w:tab/>
              <w:t>%</w:t>
            </w:r>
          </w:p>
        </w:tc>
      </w:tr>
      <w:tr>
        <w:trPr>
          <w:trHeight w:val="290"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Black or African American</w:t>
            </w:r>
          </w:p>
        </w:tc>
        <w:tc>
          <w:tcPr>
            <w:tcW w:w="747" w:type="dxa"/>
            <w:tcBorders>
              <w:top w:val="single" w:sz="4" w:space="0" w:color="585858"/>
              <w:bottom w:val="single" w:sz="4" w:space="0" w:color="585858"/>
            </w:tcBorders>
          </w:tcPr>
          <w:p>
            <w:pPr>
              <w:pStyle w:val="TableParagraph"/>
              <w:spacing w:before="42"/>
              <w:ind w:right="133"/>
              <w:jc w:val="right"/>
              <w:rPr>
                <w:sz w:val="18"/>
              </w:rPr>
            </w:pPr>
            <w:r>
              <w:rPr>
                <w:sz w:val="18"/>
              </w:rPr>
              <w:t>236</w:t>
            </w:r>
          </w:p>
        </w:tc>
        <w:tc>
          <w:tcPr>
            <w:tcW w:w="1269" w:type="dxa"/>
            <w:tcBorders>
              <w:top w:val="single" w:sz="4" w:space="0" w:color="585858"/>
              <w:bottom w:val="single" w:sz="4" w:space="0" w:color="585858"/>
            </w:tcBorders>
          </w:tcPr>
          <w:p>
            <w:pPr>
              <w:pStyle w:val="TableParagraph"/>
              <w:spacing w:before="42"/>
              <w:ind w:left="332"/>
              <w:rPr>
                <w:sz w:val="18"/>
              </w:rPr>
            </w:pPr>
            <w:r>
              <w:rPr>
                <w:sz w:val="18"/>
              </w:rPr>
              <w:t>5.8</w:t>
            </w:r>
          </w:p>
        </w:tc>
        <w:tc>
          <w:tcPr>
            <w:tcW w:w="895" w:type="dxa"/>
            <w:tcBorders>
              <w:top w:val="single" w:sz="4" w:space="0" w:color="585858"/>
              <w:bottom w:val="single" w:sz="4" w:space="0" w:color="585858"/>
            </w:tcBorders>
          </w:tcPr>
          <w:p>
            <w:pPr>
              <w:pStyle w:val="TableParagraph"/>
              <w:spacing w:before="42"/>
              <w:ind w:right="137"/>
              <w:jc w:val="right"/>
              <w:rPr>
                <w:sz w:val="18"/>
              </w:rPr>
            </w:pPr>
            <w:r>
              <w:rPr>
                <w:sz w:val="18"/>
              </w:rPr>
              <w:t>108</w:t>
            </w:r>
          </w:p>
        </w:tc>
        <w:tc>
          <w:tcPr>
            <w:tcW w:w="1345" w:type="dxa"/>
            <w:tcBorders>
              <w:top w:val="single" w:sz="4" w:space="0" w:color="585858"/>
              <w:bottom w:val="single" w:sz="4" w:space="0" w:color="585858"/>
            </w:tcBorders>
          </w:tcPr>
          <w:p>
            <w:pPr>
              <w:pStyle w:val="TableParagraph"/>
              <w:spacing w:before="42"/>
              <w:ind w:left="332"/>
              <w:rPr>
                <w:sz w:val="18"/>
              </w:rPr>
            </w:pPr>
            <w:r>
              <w:rPr>
                <w:sz w:val="18"/>
              </w:rPr>
              <w:t>5.4</w:t>
            </w:r>
          </w:p>
        </w:tc>
        <w:tc>
          <w:tcPr>
            <w:tcW w:w="869" w:type="dxa"/>
            <w:tcBorders>
              <w:top w:val="single" w:sz="4" w:space="0" w:color="585858"/>
              <w:bottom w:val="single" w:sz="4" w:space="0" w:color="585858"/>
            </w:tcBorders>
          </w:tcPr>
          <w:p>
            <w:pPr>
              <w:pStyle w:val="TableParagraph"/>
              <w:spacing w:before="42"/>
              <w:ind w:right="188"/>
              <w:jc w:val="right"/>
              <w:rPr>
                <w:sz w:val="18"/>
              </w:rPr>
            </w:pPr>
            <w:r>
              <w:rPr>
                <w:sz w:val="18"/>
              </w:rPr>
              <w:t>&lt;10</w:t>
            </w:r>
          </w:p>
        </w:tc>
        <w:tc>
          <w:tcPr>
            <w:tcW w:w="1369" w:type="dxa"/>
            <w:tcBorders>
              <w:top w:val="single" w:sz="4" w:space="0" w:color="585858"/>
              <w:bottom w:val="single" w:sz="4" w:space="0" w:color="585858"/>
            </w:tcBorders>
          </w:tcPr>
          <w:p>
            <w:pPr>
              <w:pStyle w:val="TableParagraph"/>
              <w:tabs>
                <w:tab w:pos="750" w:val="left" w:leader="none"/>
              </w:tabs>
              <w:spacing w:before="42"/>
              <w:ind w:left="278"/>
              <w:rPr>
                <w:sz w:val="18"/>
              </w:rPr>
            </w:pPr>
            <w:r>
              <w:rPr>
                <w:sz w:val="18"/>
              </w:rPr>
              <w:t>2.2</w:t>
              <w:tab/>
              <w:t>!</w:t>
            </w:r>
          </w:p>
        </w:tc>
      </w:tr>
      <w:tr>
        <w:trPr>
          <w:trHeight w:val="286" w:hRule="atLeast"/>
        </w:trPr>
        <w:tc>
          <w:tcPr>
            <w:tcW w:w="2878" w:type="dxa"/>
            <w:tcBorders>
              <w:top w:val="single" w:sz="4" w:space="0" w:color="585858"/>
              <w:bottom w:val="single" w:sz="4" w:space="0" w:color="585858"/>
            </w:tcBorders>
          </w:tcPr>
          <w:p>
            <w:pPr>
              <w:pStyle w:val="TableParagraph"/>
              <w:ind w:left="353"/>
              <w:rPr>
                <w:sz w:val="18"/>
              </w:rPr>
            </w:pPr>
            <w:r>
              <w:rPr>
                <w:sz w:val="18"/>
              </w:rPr>
              <w:t>Hispanic</w:t>
            </w:r>
          </w:p>
        </w:tc>
        <w:tc>
          <w:tcPr>
            <w:tcW w:w="747" w:type="dxa"/>
            <w:tcBorders>
              <w:top w:val="single" w:sz="4" w:space="0" w:color="585858"/>
              <w:bottom w:val="single" w:sz="4" w:space="0" w:color="585858"/>
            </w:tcBorders>
          </w:tcPr>
          <w:p>
            <w:pPr>
              <w:pStyle w:val="TableParagraph"/>
              <w:ind w:right="133"/>
              <w:jc w:val="right"/>
              <w:rPr>
                <w:sz w:val="18"/>
              </w:rPr>
            </w:pPr>
            <w:r>
              <w:rPr>
                <w:sz w:val="18"/>
              </w:rPr>
              <w:t>269</w:t>
            </w:r>
          </w:p>
        </w:tc>
        <w:tc>
          <w:tcPr>
            <w:tcW w:w="1269" w:type="dxa"/>
            <w:tcBorders>
              <w:top w:val="single" w:sz="4" w:space="0" w:color="585858"/>
              <w:bottom w:val="single" w:sz="4" w:space="0" w:color="585858"/>
            </w:tcBorders>
          </w:tcPr>
          <w:p>
            <w:pPr>
              <w:pStyle w:val="TableParagraph"/>
              <w:ind w:left="332"/>
              <w:rPr>
                <w:sz w:val="18"/>
              </w:rPr>
            </w:pPr>
            <w:r>
              <w:rPr>
                <w:sz w:val="18"/>
              </w:rPr>
              <w:t>6.6</w:t>
            </w:r>
          </w:p>
        </w:tc>
        <w:tc>
          <w:tcPr>
            <w:tcW w:w="895" w:type="dxa"/>
            <w:tcBorders>
              <w:top w:val="single" w:sz="4" w:space="0" w:color="585858"/>
              <w:bottom w:val="single" w:sz="4" w:space="0" w:color="585858"/>
            </w:tcBorders>
          </w:tcPr>
          <w:p>
            <w:pPr>
              <w:pStyle w:val="TableParagraph"/>
              <w:ind w:right="137"/>
              <w:jc w:val="right"/>
              <w:rPr>
                <w:sz w:val="18"/>
              </w:rPr>
            </w:pPr>
            <w:r>
              <w:rPr>
                <w:sz w:val="18"/>
              </w:rPr>
              <w:t>116</w:t>
            </w:r>
          </w:p>
        </w:tc>
        <w:tc>
          <w:tcPr>
            <w:tcW w:w="1345" w:type="dxa"/>
            <w:tcBorders>
              <w:top w:val="single" w:sz="4" w:space="0" w:color="585858"/>
              <w:bottom w:val="single" w:sz="4" w:space="0" w:color="585858"/>
            </w:tcBorders>
          </w:tcPr>
          <w:p>
            <w:pPr>
              <w:pStyle w:val="TableParagraph"/>
              <w:ind w:left="332"/>
              <w:rPr>
                <w:sz w:val="18"/>
              </w:rPr>
            </w:pPr>
            <w:r>
              <w:rPr>
                <w:sz w:val="18"/>
              </w:rPr>
              <w:t>5.8</w:t>
            </w:r>
          </w:p>
        </w:tc>
        <w:tc>
          <w:tcPr>
            <w:tcW w:w="869" w:type="dxa"/>
            <w:tcBorders>
              <w:top w:val="single" w:sz="4" w:space="0" w:color="585858"/>
              <w:bottom w:val="single" w:sz="4" w:space="0" w:color="585858"/>
            </w:tcBorders>
          </w:tcPr>
          <w:p>
            <w:pPr>
              <w:pStyle w:val="TableParagraph"/>
              <w:ind w:right="187"/>
              <w:jc w:val="right"/>
              <w:rPr>
                <w:sz w:val="18"/>
              </w:rPr>
            </w:pPr>
            <w:r>
              <w:rPr>
                <w:sz w:val="18"/>
              </w:rPr>
              <w:t>29</w:t>
            </w:r>
          </w:p>
        </w:tc>
        <w:tc>
          <w:tcPr>
            <w:tcW w:w="1369" w:type="dxa"/>
            <w:tcBorders>
              <w:top w:val="single" w:sz="4" w:space="0" w:color="585858"/>
              <w:bottom w:val="single" w:sz="4" w:space="0" w:color="585858"/>
            </w:tcBorders>
          </w:tcPr>
          <w:p>
            <w:pPr>
              <w:pStyle w:val="TableParagraph"/>
              <w:ind w:left="278"/>
              <w:rPr>
                <w:sz w:val="18"/>
              </w:rPr>
            </w:pPr>
            <w:r>
              <w:rPr>
                <w:sz w:val="18"/>
              </w:rPr>
              <w:t>9.0</w:t>
            </w:r>
          </w:p>
        </w:tc>
      </w:tr>
      <w:tr>
        <w:trPr>
          <w:trHeight w:val="286" w:hRule="atLeast"/>
        </w:trPr>
        <w:tc>
          <w:tcPr>
            <w:tcW w:w="2878" w:type="dxa"/>
            <w:tcBorders>
              <w:top w:val="single" w:sz="4" w:space="0" w:color="585858"/>
              <w:bottom w:val="single" w:sz="4" w:space="0" w:color="585858"/>
            </w:tcBorders>
          </w:tcPr>
          <w:p>
            <w:pPr>
              <w:pStyle w:val="TableParagraph"/>
              <w:ind w:left="353"/>
              <w:rPr>
                <w:sz w:val="18"/>
              </w:rPr>
            </w:pPr>
            <w:r>
              <w:rPr>
                <w:sz w:val="18"/>
              </w:rPr>
              <w:t>Asian</w:t>
            </w:r>
          </w:p>
        </w:tc>
        <w:tc>
          <w:tcPr>
            <w:tcW w:w="747" w:type="dxa"/>
            <w:tcBorders>
              <w:top w:val="single" w:sz="4" w:space="0" w:color="585858"/>
              <w:bottom w:val="single" w:sz="4" w:space="0" w:color="585858"/>
            </w:tcBorders>
          </w:tcPr>
          <w:p>
            <w:pPr>
              <w:pStyle w:val="TableParagraph"/>
              <w:ind w:right="133"/>
              <w:jc w:val="right"/>
              <w:rPr>
                <w:sz w:val="18"/>
              </w:rPr>
            </w:pPr>
            <w:r>
              <w:rPr>
                <w:sz w:val="18"/>
              </w:rPr>
              <w:t>417</w:t>
            </w:r>
          </w:p>
        </w:tc>
        <w:tc>
          <w:tcPr>
            <w:tcW w:w="1269" w:type="dxa"/>
            <w:tcBorders>
              <w:top w:val="single" w:sz="4" w:space="0" w:color="585858"/>
              <w:bottom w:val="single" w:sz="4" w:space="0" w:color="585858"/>
            </w:tcBorders>
          </w:tcPr>
          <w:p>
            <w:pPr>
              <w:pStyle w:val="TableParagraph"/>
              <w:ind w:left="232"/>
              <w:rPr>
                <w:sz w:val="18"/>
              </w:rPr>
            </w:pPr>
            <w:r>
              <w:rPr>
                <w:sz w:val="18"/>
              </w:rPr>
              <w:t>10.2</w:t>
            </w:r>
          </w:p>
        </w:tc>
        <w:tc>
          <w:tcPr>
            <w:tcW w:w="895" w:type="dxa"/>
            <w:tcBorders>
              <w:top w:val="single" w:sz="4" w:space="0" w:color="585858"/>
              <w:bottom w:val="single" w:sz="4" w:space="0" w:color="585858"/>
            </w:tcBorders>
          </w:tcPr>
          <w:p>
            <w:pPr>
              <w:pStyle w:val="TableParagraph"/>
              <w:ind w:right="137"/>
              <w:jc w:val="right"/>
              <w:rPr>
                <w:sz w:val="18"/>
              </w:rPr>
            </w:pPr>
            <w:r>
              <w:rPr>
                <w:sz w:val="18"/>
              </w:rPr>
              <w:t>293</w:t>
            </w:r>
          </w:p>
        </w:tc>
        <w:tc>
          <w:tcPr>
            <w:tcW w:w="1345" w:type="dxa"/>
            <w:tcBorders>
              <w:top w:val="single" w:sz="4" w:space="0" w:color="585858"/>
              <w:bottom w:val="single" w:sz="4" w:space="0" w:color="585858"/>
            </w:tcBorders>
          </w:tcPr>
          <w:p>
            <w:pPr>
              <w:pStyle w:val="TableParagraph"/>
              <w:ind w:left="232"/>
              <w:rPr>
                <w:sz w:val="18"/>
              </w:rPr>
            </w:pPr>
            <w:r>
              <w:rPr>
                <w:sz w:val="18"/>
              </w:rPr>
              <w:t>14.5</w:t>
            </w:r>
          </w:p>
        </w:tc>
        <w:tc>
          <w:tcPr>
            <w:tcW w:w="869" w:type="dxa"/>
            <w:tcBorders>
              <w:top w:val="single" w:sz="4" w:space="0" w:color="585858"/>
              <w:bottom w:val="single" w:sz="4" w:space="0" w:color="585858"/>
            </w:tcBorders>
          </w:tcPr>
          <w:p>
            <w:pPr>
              <w:pStyle w:val="TableParagraph"/>
              <w:ind w:right="186"/>
              <w:jc w:val="right"/>
              <w:rPr>
                <w:sz w:val="18"/>
              </w:rPr>
            </w:pPr>
            <w:r>
              <w:rPr>
                <w:sz w:val="18"/>
              </w:rPr>
              <w:t>24</w:t>
            </w:r>
          </w:p>
        </w:tc>
        <w:tc>
          <w:tcPr>
            <w:tcW w:w="1369" w:type="dxa"/>
            <w:tcBorders>
              <w:top w:val="single" w:sz="4" w:space="0" w:color="585858"/>
              <w:bottom w:val="single" w:sz="4" w:space="0" w:color="585858"/>
            </w:tcBorders>
          </w:tcPr>
          <w:p>
            <w:pPr>
              <w:pStyle w:val="TableParagraph"/>
              <w:ind w:left="279"/>
              <w:rPr>
                <w:sz w:val="18"/>
              </w:rPr>
            </w:pPr>
            <w:r>
              <w:rPr>
                <w:sz w:val="18"/>
              </w:rPr>
              <w:t>7.4</w:t>
            </w:r>
          </w:p>
        </w:tc>
      </w:tr>
      <w:tr>
        <w:trPr>
          <w:trHeight w:val="493" w:hRule="atLeast"/>
        </w:trPr>
        <w:tc>
          <w:tcPr>
            <w:tcW w:w="2878" w:type="dxa"/>
            <w:tcBorders>
              <w:top w:val="single" w:sz="4" w:space="0" w:color="585858"/>
              <w:bottom w:val="single" w:sz="4" w:space="0" w:color="585858"/>
            </w:tcBorders>
          </w:tcPr>
          <w:p>
            <w:pPr>
              <w:pStyle w:val="TableParagraph"/>
              <w:ind w:left="353" w:right="724"/>
              <w:rPr>
                <w:sz w:val="18"/>
              </w:rPr>
            </w:pPr>
            <w:r>
              <w:rPr>
                <w:sz w:val="18"/>
              </w:rPr>
              <w:t>Native Hawaii/Pacifica Islander</w:t>
            </w:r>
          </w:p>
        </w:tc>
        <w:tc>
          <w:tcPr>
            <w:tcW w:w="747" w:type="dxa"/>
            <w:tcBorders>
              <w:top w:val="single" w:sz="4" w:space="0" w:color="585858"/>
              <w:bottom w:val="single" w:sz="4" w:space="0" w:color="585858"/>
            </w:tcBorders>
          </w:tcPr>
          <w:p>
            <w:pPr>
              <w:pStyle w:val="TableParagraph"/>
              <w:spacing w:before="42"/>
              <w:ind w:right="132"/>
              <w:jc w:val="right"/>
              <w:rPr>
                <w:sz w:val="18"/>
              </w:rPr>
            </w:pPr>
            <w:r>
              <w:rPr>
                <w:sz w:val="18"/>
              </w:rPr>
              <w:t>&lt;10</w:t>
            </w:r>
          </w:p>
        </w:tc>
        <w:tc>
          <w:tcPr>
            <w:tcW w:w="1269" w:type="dxa"/>
            <w:tcBorders>
              <w:top w:val="single" w:sz="4" w:space="0" w:color="585858"/>
              <w:bottom w:val="single" w:sz="4" w:space="0" w:color="585858"/>
            </w:tcBorders>
          </w:tcPr>
          <w:p>
            <w:pPr>
              <w:pStyle w:val="TableParagraph"/>
              <w:tabs>
                <w:tab w:pos="800" w:val="left" w:leader="none"/>
              </w:tabs>
              <w:spacing w:before="42"/>
              <w:ind w:left="333"/>
              <w:rPr>
                <w:sz w:val="18"/>
              </w:rPr>
            </w:pPr>
            <w:r>
              <w:rPr>
                <w:sz w:val="18"/>
              </w:rPr>
              <w:t>0.0</w:t>
              <w:tab/>
              <w:t>!</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&lt;10</w:t>
            </w:r>
          </w:p>
        </w:tc>
        <w:tc>
          <w:tcPr>
            <w:tcW w:w="1345" w:type="dxa"/>
            <w:tcBorders>
              <w:top w:val="single" w:sz="4" w:space="0" w:color="585858"/>
              <w:bottom w:val="single" w:sz="4" w:space="0" w:color="585858"/>
            </w:tcBorders>
          </w:tcPr>
          <w:p>
            <w:pPr>
              <w:pStyle w:val="TableParagraph"/>
              <w:tabs>
                <w:tab w:pos="800" w:val="left" w:leader="none"/>
              </w:tabs>
              <w:spacing w:before="42"/>
              <w:ind w:left="333"/>
              <w:rPr>
                <w:sz w:val="18"/>
              </w:rPr>
            </w:pPr>
            <w:r>
              <w:rPr>
                <w:sz w:val="18"/>
              </w:rPr>
              <w:t>0.0</w:t>
              <w:tab/>
              <w:t>!</w:t>
            </w:r>
          </w:p>
        </w:tc>
        <w:tc>
          <w:tcPr>
            <w:tcW w:w="869" w:type="dxa"/>
            <w:tcBorders>
              <w:top w:val="single" w:sz="4" w:space="0" w:color="585858"/>
              <w:bottom w:val="single" w:sz="4" w:space="0" w:color="585858"/>
            </w:tcBorders>
          </w:tcPr>
          <w:p>
            <w:pPr>
              <w:pStyle w:val="TableParagraph"/>
              <w:spacing w:before="42"/>
              <w:ind w:right="186"/>
              <w:jc w:val="right"/>
              <w:rPr>
                <w:sz w:val="18"/>
              </w:rPr>
            </w:pPr>
            <w:r>
              <w:rPr>
                <w:sz w:val="18"/>
              </w:rPr>
              <w:t>&lt;10</w:t>
            </w:r>
          </w:p>
        </w:tc>
        <w:tc>
          <w:tcPr>
            <w:tcW w:w="1369" w:type="dxa"/>
            <w:tcBorders>
              <w:top w:val="single" w:sz="4" w:space="0" w:color="585858"/>
              <w:bottom w:val="single" w:sz="4" w:space="0" w:color="585858"/>
            </w:tcBorders>
          </w:tcPr>
          <w:p>
            <w:pPr>
              <w:pStyle w:val="TableParagraph"/>
              <w:tabs>
                <w:tab w:pos="750" w:val="left" w:leader="none"/>
              </w:tabs>
              <w:spacing w:before="42"/>
              <w:ind w:left="279"/>
              <w:rPr>
                <w:sz w:val="18"/>
              </w:rPr>
            </w:pPr>
            <w:r>
              <w:rPr>
                <w:sz w:val="18"/>
              </w:rPr>
              <w:t>0.0</w:t>
              <w:tab/>
              <w:t>!</w:t>
            </w:r>
          </w:p>
        </w:tc>
      </w:tr>
      <w:tr>
        <w:trPr>
          <w:trHeight w:val="493" w:hRule="atLeast"/>
        </w:trPr>
        <w:tc>
          <w:tcPr>
            <w:tcW w:w="2878" w:type="dxa"/>
            <w:tcBorders>
              <w:top w:val="single" w:sz="4" w:space="0" w:color="585858"/>
              <w:bottom w:val="single" w:sz="4" w:space="0" w:color="585858"/>
            </w:tcBorders>
          </w:tcPr>
          <w:p>
            <w:pPr>
              <w:pStyle w:val="TableParagraph"/>
              <w:ind w:left="353" w:right="614"/>
              <w:rPr>
                <w:sz w:val="18"/>
              </w:rPr>
            </w:pPr>
            <w:r>
              <w:rPr>
                <w:sz w:val="18"/>
              </w:rPr>
              <w:t>American Indian/Alaska Native</w:t>
            </w:r>
          </w:p>
        </w:tc>
        <w:tc>
          <w:tcPr>
            <w:tcW w:w="747" w:type="dxa"/>
            <w:tcBorders>
              <w:top w:val="single" w:sz="4" w:space="0" w:color="585858"/>
              <w:bottom w:val="single" w:sz="4" w:space="0" w:color="585858"/>
            </w:tcBorders>
          </w:tcPr>
          <w:p>
            <w:pPr>
              <w:pStyle w:val="TableParagraph"/>
              <w:spacing w:before="42"/>
              <w:ind w:right="132"/>
              <w:jc w:val="right"/>
              <w:rPr>
                <w:sz w:val="18"/>
              </w:rPr>
            </w:pPr>
            <w:r>
              <w:rPr>
                <w:sz w:val="18"/>
              </w:rPr>
              <w:t>10</w:t>
            </w:r>
          </w:p>
        </w:tc>
        <w:tc>
          <w:tcPr>
            <w:tcW w:w="1269" w:type="dxa"/>
            <w:tcBorders>
              <w:top w:val="single" w:sz="4" w:space="0" w:color="585858"/>
              <w:bottom w:val="single" w:sz="4" w:space="0" w:color="585858"/>
            </w:tcBorders>
          </w:tcPr>
          <w:p>
            <w:pPr>
              <w:pStyle w:val="TableParagraph"/>
              <w:spacing w:before="42"/>
              <w:ind w:left="332"/>
              <w:rPr>
                <w:sz w:val="18"/>
              </w:rPr>
            </w:pPr>
            <w:r>
              <w:rPr>
                <w:sz w:val="18"/>
              </w:rPr>
              <w:t>0.2</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&lt;10</w:t>
            </w:r>
          </w:p>
        </w:tc>
        <w:tc>
          <w:tcPr>
            <w:tcW w:w="1345" w:type="dxa"/>
            <w:tcBorders>
              <w:top w:val="single" w:sz="4" w:space="0" w:color="585858"/>
              <w:bottom w:val="single" w:sz="4" w:space="0" w:color="585858"/>
            </w:tcBorders>
          </w:tcPr>
          <w:p>
            <w:pPr>
              <w:pStyle w:val="TableParagraph"/>
              <w:tabs>
                <w:tab w:pos="800" w:val="left" w:leader="none"/>
              </w:tabs>
              <w:spacing w:before="42"/>
              <w:ind w:left="332"/>
              <w:rPr>
                <w:sz w:val="18"/>
              </w:rPr>
            </w:pPr>
            <w:r>
              <w:rPr>
                <w:sz w:val="18"/>
              </w:rPr>
              <w:t>0.3</w:t>
              <w:tab/>
              <w:t>!</w:t>
            </w:r>
          </w:p>
        </w:tc>
        <w:tc>
          <w:tcPr>
            <w:tcW w:w="869" w:type="dxa"/>
            <w:tcBorders>
              <w:top w:val="single" w:sz="4" w:space="0" w:color="585858"/>
              <w:bottom w:val="single" w:sz="4" w:space="0" w:color="585858"/>
            </w:tcBorders>
          </w:tcPr>
          <w:p>
            <w:pPr>
              <w:pStyle w:val="TableParagraph"/>
              <w:spacing w:before="42"/>
              <w:ind w:right="188"/>
              <w:jc w:val="right"/>
              <w:rPr>
                <w:sz w:val="18"/>
              </w:rPr>
            </w:pPr>
            <w:r>
              <w:rPr>
                <w:sz w:val="18"/>
              </w:rPr>
              <w:t>&lt;10</w:t>
            </w:r>
          </w:p>
        </w:tc>
        <w:tc>
          <w:tcPr>
            <w:tcW w:w="1369" w:type="dxa"/>
            <w:tcBorders>
              <w:top w:val="single" w:sz="4" w:space="0" w:color="585858"/>
              <w:bottom w:val="single" w:sz="4" w:space="0" w:color="585858"/>
            </w:tcBorders>
          </w:tcPr>
          <w:p>
            <w:pPr>
              <w:pStyle w:val="TableParagraph"/>
              <w:tabs>
                <w:tab w:pos="750" w:val="left" w:leader="none"/>
              </w:tabs>
              <w:spacing w:before="42"/>
              <w:ind w:left="278"/>
              <w:rPr>
                <w:sz w:val="18"/>
              </w:rPr>
            </w:pPr>
            <w:r>
              <w:rPr>
                <w:sz w:val="18"/>
              </w:rPr>
              <w:t>0.6</w:t>
              <w:tab/>
              <w:t>!</w:t>
            </w:r>
          </w:p>
        </w:tc>
      </w:tr>
      <w:tr>
        <w:trPr>
          <w:trHeight w:val="283" w:hRule="atLeast"/>
        </w:trPr>
        <w:tc>
          <w:tcPr>
            <w:tcW w:w="2878" w:type="dxa"/>
            <w:tcBorders>
              <w:top w:val="single" w:sz="4" w:space="0" w:color="585858"/>
              <w:bottom w:val="single" w:sz="6" w:space="0" w:color="585858"/>
            </w:tcBorders>
          </w:tcPr>
          <w:p>
            <w:pPr>
              <w:pStyle w:val="TableParagraph"/>
              <w:spacing w:before="42"/>
              <w:ind w:left="353"/>
              <w:rPr>
                <w:sz w:val="12"/>
              </w:rPr>
            </w:pPr>
            <w:r>
              <w:rPr>
                <w:sz w:val="18"/>
              </w:rPr>
              <w:t>More than one race </w:t>
            </w:r>
            <w:r>
              <w:rPr>
                <w:position w:val="5"/>
                <w:sz w:val="12"/>
              </w:rPr>
              <w:t>a</w:t>
            </w:r>
          </w:p>
        </w:tc>
        <w:tc>
          <w:tcPr>
            <w:tcW w:w="747" w:type="dxa"/>
            <w:tcBorders>
              <w:top w:val="single" w:sz="4" w:space="0" w:color="585858"/>
              <w:bottom w:val="single" w:sz="6" w:space="0" w:color="585858"/>
            </w:tcBorders>
          </w:tcPr>
          <w:p>
            <w:pPr>
              <w:pStyle w:val="TableParagraph"/>
              <w:spacing w:before="42"/>
              <w:ind w:right="133"/>
              <w:jc w:val="right"/>
              <w:rPr>
                <w:sz w:val="18"/>
              </w:rPr>
            </w:pPr>
            <w:r>
              <w:rPr>
                <w:sz w:val="18"/>
              </w:rPr>
              <w:t>160</w:t>
            </w:r>
          </w:p>
        </w:tc>
        <w:tc>
          <w:tcPr>
            <w:tcW w:w="1269" w:type="dxa"/>
            <w:tcBorders>
              <w:top w:val="single" w:sz="4" w:space="0" w:color="585858"/>
              <w:bottom w:val="single" w:sz="6" w:space="0" w:color="585858"/>
            </w:tcBorders>
          </w:tcPr>
          <w:p>
            <w:pPr>
              <w:pStyle w:val="TableParagraph"/>
              <w:spacing w:before="42"/>
              <w:ind w:left="332"/>
              <w:rPr>
                <w:sz w:val="18"/>
              </w:rPr>
            </w:pPr>
            <w:r>
              <w:rPr>
                <w:sz w:val="18"/>
              </w:rPr>
              <w:t>3.9</w:t>
            </w:r>
          </w:p>
        </w:tc>
        <w:tc>
          <w:tcPr>
            <w:tcW w:w="895" w:type="dxa"/>
            <w:tcBorders>
              <w:top w:val="single" w:sz="4" w:space="0" w:color="585858"/>
              <w:bottom w:val="single" w:sz="6" w:space="0" w:color="585858"/>
            </w:tcBorders>
          </w:tcPr>
          <w:p>
            <w:pPr>
              <w:pStyle w:val="TableParagraph"/>
              <w:spacing w:before="42"/>
              <w:ind w:right="136"/>
              <w:jc w:val="right"/>
              <w:rPr>
                <w:sz w:val="18"/>
              </w:rPr>
            </w:pPr>
            <w:r>
              <w:rPr>
                <w:sz w:val="18"/>
              </w:rPr>
              <w:t>84</w:t>
            </w:r>
          </w:p>
        </w:tc>
        <w:tc>
          <w:tcPr>
            <w:tcW w:w="1345" w:type="dxa"/>
            <w:tcBorders>
              <w:top w:val="single" w:sz="4" w:space="0" w:color="585858"/>
              <w:bottom w:val="single" w:sz="6" w:space="0" w:color="585858"/>
            </w:tcBorders>
          </w:tcPr>
          <w:p>
            <w:pPr>
              <w:pStyle w:val="TableParagraph"/>
              <w:spacing w:before="42"/>
              <w:ind w:left="332"/>
              <w:rPr>
                <w:sz w:val="18"/>
              </w:rPr>
            </w:pPr>
            <w:r>
              <w:rPr>
                <w:sz w:val="18"/>
              </w:rPr>
              <w:t>4.2</w:t>
            </w:r>
          </w:p>
        </w:tc>
        <w:tc>
          <w:tcPr>
            <w:tcW w:w="869" w:type="dxa"/>
            <w:tcBorders>
              <w:top w:val="single" w:sz="4" w:space="0" w:color="585858"/>
              <w:bottom w:val="single" w:sz="6" w:space="0" w:color="585858"/>
            </w:tcBorders>
          </w:tcPr>
          <w:p>
            <w:pPr>
              <w:pStyle w:val="TableParagraph"/>
              <w:spacing w:before="42"/>
              <w:ind w:right="186"/>
              <w:jc w:val="right"/>
              <w:rPr>
                <w:sz w:val="18"/>
              </w:rPr>
            </w:pPr>
            <w:r>
              <w:rPr>
                <w:sz w:val="18"/>
              </w:rPr>
              <w:t>21</w:t>
            </w:r>
          </w:p>
        </w:tc>
        <w:tc>
          <w:tcPr>
            <w:tcW w:w="1369" w:type="dxa"/>
            <w:tcBorders>
              <w:top w:val="single" w:sz="4" w:space="0" w:color="585858"/>
              <w:bottom w:val="single" w:sz="6" w:space="0" w:color="585858"/>
            </w:tcBorders>
          </w:tcPr>
          <w:p>
            <w:pPr>
              <w:pStyle w:val="TableParagraph"/>
              <w:spacing w:before="42"/>
              <w:ind w:left="278"/>
              <w:rPr>
                <w:sz w:val="18"/>
              </w:rPr>
            </w:pPr>
            <w:r>
              <w:rPr>
                <w:sz w:val="18"/>
              </w:rPr>
              <w:t>6.5</w:t>
            </w:r>
          </w:p>
        </w:tc>
      </w:tr>
      <w:tr>
        <w:trPr>
          <w:trHeight w:val="287" w:hRule="atLeast"/>
        </w:trPr>
        <w:tc>
          <w:tcPr>
            <w:tcW w:w="2878" w:type="dxa"/>
            <w:tcBorders>
              <w:top w:val="single" w:sz="4" w:space="0" w:color="585858"/>
              <w:bottom w:val="single" w:sz="4" w:space="0" w:color="585858"/>
            </w:tcBorders>
            <w:shd w:val="clear" w:color="auto" w:fill="DEEAF6"/>
          </w:tcPr>
          <w:p>
            <w:pPr>
              <w:pStyle w:val="TableParagraph"/>
              <w:spacing w:before="39"/>
              <w:ind w:left="114"/>
              <w:rPr>
                <w:sz w:val="18"/>
              </w:rPr>
            </w:pPr>
            <w:r>
              <w:rPr>
                <w:sz w:val="18"/>
              </w:rPr>
              <w:t>International student</w:t>
            </w:r>
          </w:p>
        </w:tc>
        <w:tc>
          <w:tcPr>
            <w:tcW w:w="747"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2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9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4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r>
      <w:tr>
        <w:trPr>
          <w:trHeight w:val="285" w:hRule="atLeast"/>
        </w:trPr>
        <w:tc>
          <w:tcPr>
            <w:tcW w:w="2878" w:type="dxa"/>
            <w:tcBorders>
              <w:top w:val="single" w:sz="4" w:space="0" w:color="585858"/>
              <w:bottom w:val="single" w:sz="4" w:space="0" w:color="585858"/>
            </w:tcBorders>
          </w:tcPr>
          <w:p>
            <w:pPr>
              <w:pStyle w:val="TableParagraph"/>
              <w:ind w:left="353"/>
              <w:rPr>
                <w:sz w:val="18"/>
              </w:rPr>
            </w:pPr>
            <w:r>
              <w:rPr>
                <w:sz w:val="18"/>
              </w:rPr>
              <w:t>Yes</w:t>
            </w:r>
          </w:p>
        </w:tc>
        <w:tc>
          <w:tcPr>
            <w:tcW w:w="747" w:type="dxa"/>
            <w:tcBorders>
              <w:top w:val="single" w:sz="4" w:space="0" w:color="585858"/>
              <w:bottom w:val="single" w:sz="4" w:space="0" w:color="585858"/>
            </w:tcBorders>
          </w:tcPr>
          <w:p>
            <w:pPr>
              <w:pStyle w:val="TableParagraph"/>
              <w:ind w:right="133"/>
              <w:jc w:val="right"/>
              <w:rPr>
                <w:sz w:val="18"/>
              </w:rPr>
            </w:pPr>
            <w:r>
              <w:rPr>
                <w:sz w:val="18"/>
              </w:rPr>
              <w:t>142</w:t>
            </w:r>
          </w:p>
        </w:tc>
        <w:tc>
          <w:tcPr>
            <w:tcW w:w="1269" w:type="dxa"/>
            <w:tcBorders>
              <w:top w:val="single" w:sz="4" w:space="0" w:color="585858"/>
              <w:bottom w:val="single" w:sz="4" w:space="0" w:color="585858"/>
            </w:tcBorders>
          </w:tcPr>
          <w:p>
            <w:pPr>
              <w:pStyle w:val="TableParagraph"/>
              <w:tabs>
                <w:tab w:pos="467" w:val="left" w:leader="none"/>
              </w:tabs>
              <w:ind w:right="306"/>
              <w:jc w:val="right"/>
              <w:rPr>
                <w:sz w:val="18"/>
              </w:rPr>
            </w:pPr>
            <w:r>
              <w:rPr>
                <w:sz w:val="18"/>
              </w:rPr>
              <w:t>3.5</w:t>
              <w:tab/>
              <w:t>%</w:t>
            </w:r>
          </w:p>
        </w:tc>
        <w:tc>
          <w:tcPr>
            <w:tcW w:w="895" w:type="dxa"/>
            <w:tcBorders>
              <w:top w:val="single" w:sz="4" w:space="0" w:color="585858"/>
              <w:bottom w:val="single" w:sz="4" w:space="0" w:color="585858"/>
            </w:tcBorders>
          </w:tcPr>
          <w:p>
            <w:pPr>
              <w:pStyle w:val="TableParagraph"/>
              <w:ind w:right="137"/>
              <w:jc w:val="right"/>
              <w:rPr>
                <w:sz w:val="18"/>
              </w:rPr>
            </w:pPr>
            <w:r>
              <w:rPr>
                <w:sz w:val="18"/>
              </w:rPr>
              <w:t>143</w:t>
            </w:r>
          </w:p>
        </w:tc>
        <w:tc>
          <w:tcPr>
            <w:tcW w:w="1345" w:type="dxa"/>
            <w:tcBorders>
              <w:top w:val="single" w:sz="4" w:space="0" w:color="585858"/>
              <w:bottom w:val="single" w:sz="4" w:space="0" w:color="585858"/>
            </w:tcBorders>
          </w:tcPr>
          <w:p>
            <w:pPr>
              <w:pStyle w:val="TableParagraph"/>
              <w:tabs>
                <w:tab w:pos="467" w:val="left" w:leader="none"/>
              </w:tabs>
              <w:ind w:right="382"/>
              <w:jc w:val="right"/>
              <w:rPr>
                <w:sz w:val="18"/>
              </w:rPr>
            </w:pPr>
            <w:r>
              <w:rPr>
                <w:sz w:val="18"/>
              </w:rPr>
              <w:t>7.1</w:t>
              <w:tab/>
              <w:t>%</w:t>
            </w:r>
          </w:p>
        </w:tc>
        <w:tc>
          <w:tcPr>
            <w:tcW w:w="869" w:type="dxa"/>
            <w:tcBorders>
              <w:top w:val="single" w:sz="4" w:space="0" w:color="585858"/>
              <w:bottom w:val="single" w:sz="4" w:space="0" w:color="585858"/>
            </w:tcBorders>
          </w:tcPr>
          <w:p>
            <w:pPr>
              <w:pStyle w:val="TableParagraph"/>
              <w:ind w:right="188"/>
              <w:jc w:val="right"/>
              <w:rPr>
                <w:sz w:val="18"/>
              </w:rPr>
            </w:pPr>
            <w:r>
              <w:rPr>
                <w:sz w:val="18"/>
              </w:rPr>
              <w:t>&lt;10</w:t>
            </w:r>
          </w:p>
        </w:tc>
        <w:tc>
          <w:tcPr>
            <w:tcW w:w="1369" w:type="dxa"/>
            <w:tcBorders>
              <w:top w:val="single" w:sz="4" w:space="0" w:color="585858"/>
              <w:bottom w:val="single" w:sz="4" w:space="0" w:color="585858"/>
            </w:tcBorders>
          </w:tcPr>
          <w:p>
            <w:pPr>
              <w:pStyle w:val="TableParagraph"/>
              <w:tabs>
                <w:tab w:pos="471" w:val="left" w:leader="none"/>
              </w:tabs>
              <w:ind w:right="406"/>
              <w:jc w:val="right"/>
              <w:rPr>
                <w:sz w:val="18"/>
              </w:rPr>
            </w:pPr>
            <w:r>
              <w:rPr>
                <w:sz w:val="18"/>
              </w:rPr>
              <w:t>2.2</w:t>
              <w:tab/>
            </w:r>
            <w:r>
              <w:rPr>
                <w:spacing w:val="-1"/>
                <w:sz w:val="18"/>
              </w:rPr>
              <w:t>%!</w:t>
            </w:r>
          </w:p>
        </w:tc>
      </w:tr>
      <w:tr>
        <w:trPr>
          <w:trHeight w:val="283" w:hRule="atLeast"/>
        </w:trPr>
        <w:tc>
          <w:tcPr>
            <w:tcW w:w="2878" w:type="dxa"/>
            <w:tcBorders>
              <w:top w:val="single" w:sz="4" w:space="0" w:color="585858"/>
              <w:bottom w:val="single" w:sz="6" w:space="0" w:color="585858"/>
            </w:tcBorders>
          </w:tcPr>
          <w:p>
            <w:pPr>
              <w:pStyle w:val="TableParagraph"/>
              <w:ind w:left="353"/>
              <w:rPr>
                <w:sz w:val="18"/>
              </w:rPr>
            </w:pPr>
            <w:r>
              <w:rPr>
                <w:sz w:val="18"/>
              </w:rPr>
              <w:t>No</w:t>
            </w:r>
          </w:p>
        </w:tc>
        <w:tc>
          <w:tcPr>
            <w:tcW w:w="747" w:type="dxa"/>
            <w:tcBorders>
              <w:top w:val="single" w:sz="4" w:space="0" w:color="585858"/>
              <w:bottom w:val="single" w:sz="6" w:space="0" w:color="585858"/>
            </w:tcBorders>
          </w:tcPr>
          <w:p>
            <w:pPr>
              <w:pStyle w:val="TableParagraph"/>
              <w:ind w:right="133"/>
              <w:jc w:val="right"/>
              <w:rPr>
                <w:sz w:val="18"/>
              </w:rPr>
            </w:pPr>
            <w:r>
              <w:rPr>
                <w:sz w:val="18"/>
              </w:rPr>
              <w:t>3,928</w:t>
            </w:r>
          </w:p>
        </w:tc>
        <w:tc>
          <w:tcPr>
            <w:tcW w:w="1269" w:type="dxa"/>
            <w:tcBorders>
              <w:top w:val="single" w:sz="4" w:space="0" w:color="585858"/>
              <w:bottom w:val="single" w:sz="6" w:space="0" w:color="585858"/>
            </w:tcBorders>
          </w:tcPr>
          <w:p>
            <w:pPr>
              <w:pStyle w:val="TableParagraph"/>
              <w:ind w:left="232"/>
              <w:rPr>
                <w:sz w:val="18"/>
              </w:rPr>
            </w:pPr>
            <w:r>
              <w:rPr>
                <w:sz w:val="18"/>
              </w:rPr>
              <w:t>96.5</w:t>
            </w:r>
          </w:p>
        </w:tc>
        <w:tc>
          <w:tcPr>
            <w:tcW w:w="895" w:type="dxa"/>
            <w:tcBorders>
              <w:top w:val="single" w:sz="4" w:space="0" w:color="585858"/>
              <w:bottom w:val="single" w:sz="6" w:space="0" w:color="585858"/>
            </w:tcBorders>
          </w:tcPr>
          <w:p>
            <w:pPr>
              <w:pStyle w:val="TableParagraph"/>
              <w:ind w:right="137"/>
              <w:jc w:val="right"/>
              <w:rPr>
                <w:sz w:val="18"/>
              </w:rPr>
            </w:pPr>
            <w:r>
              <w:rPr>
                <w:sz w:val="18"/>
              </w:rPr>
              <w:t>1,872</w:t>
            </w:r>
          </w:p>
        </w:tc>
        <w:tc>
          <w:tcPr>
            <w:tcW w:w="1345" w:type="dxa"/>
            <w:tcBorders>
              <w:top w:val="single" w:sz="4" w:space="0" w:color="585858"/>
              <w:bottom w:val="single" w:sz="6" w:space="0" w:color="585858"/>
            </w:tcBorders>
          </w:tcPr>
          <w:p>
            <w:pPr>
              <w:pStyle w:val="TableParagraph"/>
              <w:ind w:left="232"/>
              <w:rPr>
                <w:sz w:val="18"/>
              </w:rPr>
            </w:pPr>
            <w:r>
              <w:rPr>
                <w:sz w:val="18"/>
              </w:rPr>
              <w:t>92.8</w:t>
            </w:r>
          </w:p>
        </w:tc>
        <w:tc>
          <w:tcPr>
            <w:tcW w:w="869" w:type="dxa"/>
            <w:tcBorders>
              <w:top w:val="single" w:sz="4" w:space="0" w:color="585858"/>
              <w:bottom w:val="single" w:sz="6" w:space="0" w:color="585858"/>
            </w:tcBorders>
          </w:tcPr>
          <w:p>
            <w:pPr>
              <w:pStyle w:val="TableParagraph"/>
              <w:ind w:right="187"/>
              <w:jc w:val="right"/>
              <w:rPr>
                <w:sz w:val="18"/>
              </w:rPr>
            </w:pPr>
            <w:r>
              <w:rPr>
                <w:sz w:val="18"/>
              </w:rPr>
              <w:t>315</w:t>
            </w:r>
          </w:p>
        </w:tc>
        <w:tc>
          <w:tcPr>
            <w:tcW w:w="1369" w:type="dxa"/>
            <w:tcBorders>
              <w:top w:val="single" w:sz="4" w:space="0" w:color="585858"/>
              <w:bottom w:val="single" w:sz="6" w:space="0" w:color="585858"/>
            </w:tcBorders>
          </w:tcPr>
          <w:p>
            <w:pPr>
              <w:pStyle w:val="TableParagraph"/>
              <w:ind w:left="178"/>
              <w:rPr>
                <w:sz w:val="18"/>
              </w:rPr>
            </w:pPr>
            <w:r>
              <w:rPr>
                <w:sz w:val="18"/>
              </w:rPr>
              <w:t>97.5</w:t>
            </w:r>
          </w:p>
        </w:tc>
      </w:tr>
      <w:tr>
        <w:trPr>
          <w:trHeight w:val="283" w:hRule="atLeast"/>
        </w:trPr>
        <w:tc>
          <w:tcPr>
            <w:tcW w:w="2878" w:type="dxa"/>
            <w:tcBorders>
              <w:top w:val="single" w:sz="4" w:space="0" w:color="585858"/>
              <w:bottom w:val="single" w:sz="4" w:space="0" w:color="585858"/>
            </w:tcBorders>
            <w:shd w:val="clear" w:color="auto" w:fill="DEEAF6"/>
          </w:tcPr>
          <w:p>
            <w:pPr>
              <w:pStyle w:val="TableParagraph"/>
              <w:spacing w:before="39"/>
              <w:ind w:left="114"/>
              <w:rPr>
                <w:sz w:val="18"/>
              </w:rPr>
            </w:pPr>
            <w:r>
              <w:rPr>
                <w:sz w:val="18"/>
              </w:rPr>
              <w:t>Sexual orientation</w:t>
            </w:r>
          </w:p>
        </w:tc>
        <w:tc>
          <w:tcPr>
            <w:tcW w:w="747"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2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9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4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r>
      <w:tr>
        <w:trPr>
          <w:trHeight w:val="290"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Straight/Heterosexual</w:t>
            </w:r>
          </w:p>
        </w:tc>
        <w:tc>
          <w:tcPr>
            <w:tcW w:w="747" w:type="dxa"/>
            <w:tcBorders>
              <w:top w:val="single" w:sz="4" w:space="0" w:color="585858"/>
              <w:bottom w:val="single" w:sz="4" w:space="0" w:color="585858"/>
            </w:tcBorders>
          </w:tcPr>
          <w:p>
            <w:pPr>
              <w:pStyle w:val="TableParagraph"/>
              <w:spacing w:before="42"/>
              <w:ind w:right="133"/>
              <w:jc w:val="right"/>
              <w:rPr>
                <w:sz w:val="18"/>
              </w:rPr>
            </w:pPr>
            <w:r>
              <w:rPr>
                <w:sz w:val="18"/>
              </w:rPr>
              <w:t>3,037</w:t>
            </w:r>
          </w:p>
        </w:tc>
        <w:tc>
          <w:tcPr>
            <w:tcW w:w="1269" w:type="dxa"/>
            <w:tcBorders>
              <w:top w:val="single" w:sz="4" w:space="0" w:color="585858"/>
              <w:bottom w:val="single" w:sz="4" w:space="0" w:color="585858"/>
            </w:tcBorders>
          </w:tcPr>
          <w:p>
            <w:pPr>
              <w:pStyle w:val="TableParagraph"/>
              <w:tabs>
                <w:tab w:pos="567" w:val="left" w:leader="none"/>
              </w:tabs>
              <w:spacing w:before="42"/>
              <w:ind w:right="306"/>
              <w:jc w:val="right"/>
              <w:rPr>
                <w:sz w:val="18"/>
              </w:rPr>
            </w:pPr>
            <w:r>
              <w:rPr>
                <w:sz w:val="18"/>
              </w:rPr>
              <w:t>74.6</w:t>
              <w:tab/>
              <w:t>%</w:t>
            </w:r>
          </w:p>
        </w:tc>
        <w:tc>
          <w:tcPr>
            <w:tcW w:w="895" w:type="dxa"/>
            <w:tcBorders>
              <w:top w:val="single" w:sz="4" w:space="0" w:color="585858"/>
              <w:bottom w:val="single" w:sz="4" w:space="0" w:color="585858"/>
            </w:tcBorders>
          </w:tcPr>
          <w:p>
            <w:pPr>
              <w:pStyle w:val="TableParagraph"/>
              <w:spacing w:before="42"/>
              <w:ind w:right="137"/>
              <w:jc w:val="right"/>
              <w:rPr>
                <w:sz w:val="18"/>
              </w:rPr>
            </w:pPr>
            <w:r>
              <w:rPr>
                <w:sz w:val="18"/>
              </w:rPr>
              <w:t>1,704</w:t>
            </w:r>
          </w:p>
        </w:tc>
        <w:tc>
          <w:tcPr>
            <w:tcW w:w="1345" w:type="dxa"/>
            <w:tcBorders>
              <w:top w:val="single" w:sz="4" w:space="0" w:color="585858"/>
              <w:bottom w:val="single" w:sz="4" w:space="0" w:color="585858"/>
            </w:tcBorders>
          </w:tcPr>
          <w:p>
            <w:pPr>
              <w:pStyle w:val="TableParagraph"/>
              <w:tabs>
                <w:tab w:pos="567" w:val="left" w:leader="none"/>
              </w:tabs>
              <w:spacing w:before="42"/>
              <w:ind w:right="381"/>
              <w:jc w:val="right"/>
              <w:rPr>
                <w:sz w:val="18"/>
              </w:rPr>
            </w:pPr>
            <w:r>
              <w:rPr>
                <w:sz w:val="18"/>
              </w:rPr>
              <w:t>84.5</w:t>
              <w:tab/>
              <w:t>%</w:t>
            </w:r>
          </w:p>
        </w:tc>
        <w:tc>
          <w:tcPr>
            <w:tcW w:w="869" w:type="dxa"/>
            <w:tcBorders>
              <w:top w:val="single" w:sz="4" w:space="0" w:color="585858"/>
              <w:bottom w:val="single" w:sz="4" w:space="0" w:color="585858"/>
            </w:tcBorders>
          </w:tcPr>
          <w:p>
            <w:pPr>
              <w:pStyle w:val="TableParagraph"/>
              <w:spacing w:before="42"/>
              <w:ind w:right="186"/>
              <w:jc w:val="right"/>
              <w:rPr>
                <w:sz w:val="18"/>
              </w:rPr>
            </w:pPr>
            <w:r>
              <w:rPr>
                <w:sz w:val="18"/>
              </w:rPr>
              <w:t>16</w:t>
            </w:r>
          </w:p>
        </w:tc>
        <w:tc>
          <w:tcPr>
            <w:tcW w:w="1369" w:type="dxa"/>
            <w:tcBorders>
              <w:top w:val="single" w:sz="4" w:space="0" w:color="585858"/>
              <w:bottom w:val="single" w:sz="4" w:space="0" w:color="585858"/>
            </w:tcBorders>
          </w:tcPr>
          <w:p>
            <w:pPr>
              <w:pStyle w:val="TableParagraph"/>
              <w:tabs>
                <w:tab w:pos="471" w:val="left" w:leader="none"/>
              </w:tabs>
              <w:spacing w:before="42"/>
              <w:ind w:right="455"/>
              <w:jc w:val="right"/>
              <w:rPr>
                <w:sz w:val="18"/>
              </w:rPr>
            </w:pPr>
            <w:r>
              <w:rPr>
                <w:sz w:val="18"/>
              </w:rPr>
              <w:t>5.0</w:t>
              <w:tab/>
              <w:t>%</w:t>
            </w:r>
          </w:p>
        </w:tc>
      </w:tr>
      <w:tr>
        <w:trPr>
          <w:trHeight w:val="494" w:hRule="atLeast"/>
        </w:trPr>
        <w:tc>
          <w:tcPr>
            <w:tcW w:w="2878" w:type="dxa"/>
            <w:tcBorders>
              <w:top w:val="single" w:sz="4" w:space="0" w:color="585858"/>
              <w:bottom w:val="single" w:sz="4" w:space="0" w:color="585858"/>
            </w:tcBorders>
          </w:tcPr>
          <w:p>
            <w:pPr>
              <w:pStyle w:val="TableParagraph"/>
              <w:ind w:left="353" w:right="143"/>
              <w:rPr>
                <w:sz w:val="18"/>
              </w:rPr>
            </w:pPr>
            <w:r>
              <w:rPr>
                <w:sz w:val="18"/>
              </w:rPr>
              <w:t>Gay, lesbian, or same gender loving</w:t>
            </w:r>
          </w:p>
        </w:tc>
        <w:tc>
          <w:tcPr>
            <w:tcW w:w="747" w:type="dxa"/>
            <w:tcBorders>
              <w:top w:val="single" w:sz="4" w:space="0" w:color="585858"/>
              <w:bottom w:val="single" w:sz="4" w:space="0" w:color="585858"/>
            </w:tcBorders>
          </w:tcPr>
          <w:p>
            <w:pPr>
              <w:pStyle w:val="TableParagraph"/>
              <w:ind w:right="132"/>
              <w:jc w:val="right"/>
              <w:rPr>
                <w:sz w:val="18"/>
              </w:rPr>
            </w:pPr>
            <w:r>
              <w:rPr>
                <w:sz w:val="18"/>
              </w:rPr>
              <w:t>54</w:t>
            </w:r>
          </w:p>
        </w:tc>
        <w:tc>
          <w:tcPr>
            <w:tcW w:w="1269" w:type="dxa"/>
            <w:tcBorders>
              <w:top w:val="single" w:sz="4" w:space="0" w:color="585858"/>
              <w:bottom w:val="single" w:sz="4" w:space="0" w:color="585858"/>
            </w:tcBorders>
          </w:tcPr>
          <w:p>
            <w:pPr>
              <w:pStyle w:val="TableParagraph"/>
              <w:ind w:left="332"/>
              <w:rPr>
                <w:sz w:val="18"/>
              </w:rPr>
            </w:pPr>
            <w:r>
              <w:rPr>
                <w:sz w:val="18"/>
              </w:rPr>
              <w:t>1.3</w:t>
            </w:r>
          </w:p>
        </w:tc>
        <w:tc>
          <w:tcPr>
            <w:tcW w:w="895" w:type="dxa"/>
            <w:tcBorders>
              <w:top w:val="single" w:sz="4" w:space="0" w:color="585858"/>
              <w:bottom w:val="single" w:sz="4" w:space="0" w:color="585858"/>
            </w:tcBorders>
          </w:tcPr>
          <w:p>
            <w:pPr>
              <w:pStyle w:val="TableParagraph"/>
              <w:ind w:right="136"/>
              <w:jc w:val="right"/>
              <w:rPr>
                <w:sz w:val="18"/>
              </w:rPr>
            </w:pPr>
            <w:r>
              <w:rPr>
                <w:sz w:val="18"/>
              </w:rPr>
              <w:t>87</w:t>
            </w:r>
          </w:p>
        </w:tc>
        <w:tc>
          <w:tcPr>
            <w:tcW w:w="1345" w:type="dxa"/>
            <w:tcBorders>
              <w:top w:val="single" w:sz="4" w:space="0" w:color="585858"/>
              <w:bottom w:val="single" w:sz="4" w:space="0" w:color="585858"/>
            </w:tcBorders>
          </w:tcPr>
          <w:p>
            <w:pPr>
              <w:pStyle w:val="TableParagraph"/>
              <w:ind w:left="332"/>
              <w:rPr>
                <w:sz w:val="18"/>
              </w:rPr>
            </w:pPr>
            <w:r>
              <w:rPr>
                <w:sz w:val="18"/>
              </w:rPr>
              <w:t>4.3</w:t>
            </w:r>
          </w:p>
        </w:tc>
        <w:tc>
          <w:tcPr>
            <w:tcW w:w="869" w:type="dxa"/>
            <w:tcBorders>
              <w:top w:val="single" w:sz="4" w:space="0" w:color="585858"/>
              <w:bottom w:val="single" w:sz="4" w:space="0" w:color="585858"/>
            </w:tcBorders>
          </w:tcPr>
          <w:p>
            <w:pPr>
              <w:pStyle w:val="TableParagraph"/>
              <w:ind w:right="187"/>
              <w:jc w:val="right"/>
              <w:rPr>
                <w:sz w:val="18"/>
              </w:rPr>
            </w:pPr>
            <w:r>
              <w:rPr>
                <w:sz w:val="18"/>
              </w:rPr>
              <w:t>26</w:t>
            </w:r>
          </w:p>
        </w:tc>
        <w:tc>
          <w:tcPr>
            <w:tcW w:w="1369" w:type="dxa"/>
            <w:tcBorders>
              <w:top w:val="single" w:sz="4" w:space="0" w:color="585858"/>
              <w:bottom w:val="single" w:sz="4" w:space="0" w:color="585858"/>
            </w:tcBorders>
          </w:tcPr>
          <w:p>
            <w:pPr>
              <w:pStyle w:val="TableParagraph"/>
              <w:ind w:left="278"/>
              <w:rPr>
                <w:sz w:val="18"/>
              </w:rPr>
            </w:pPr>
            <w:r>
              <w:rPr>
                <w:sz w:val="18"/>
              </w:rPr>
              <w:t>8.0</w:t>
            </w:r>
          </w:p>
        </w:tc>
      </w:tr>
      <w:tr>
        <w:trPr>
          <w:trHeight w:val="285" w:hRule="atLeast"/>
        </w:trPr>
        <w:tc>
          <w:tcPr>
            <w:tcW w:w="2878" w:type="dxa"/>
            <w:tcBorders>
              <w:top w:val="single" w:sz="4" w:space="0" w:color="585858"/>
              <w:bottom w:val="single" w:sz="4" w:space="0" w:color="585858"/>
            </w:tcBorders>
          </w:tcPr>
          <w:p>
            <w:pPr>
              <w:pStyle w:val="TableParagraph"/>
              <w:ind w:left="353"/>
              <w:rPr>
                <w:sz w:val="18"/>
              </w:rPr>
            </w:pPr>
            <w:r>
              <w:rPr>
                <w:sz w:val="18"/>
              </w:rPr>
              <w:t>Bisexual or pansexual</w:t>
            </w:r>
          </w:p>
        </w:tc>
        <w:tc>
          <w:tcPr>
            <w:tcW w:w="747" w:type="dxa"/>
            <w:tcBorders>
              <w:top w:val="single" w:sz="4" w:space="0" w:color="585858"/>
              <w:bottom w:val="single" w:sz="4" w:space="0" w:color="585858"/>
            </w:tcBorders>
          </w:tcPr>
          <w:p>
            <w:pPr>
              <w:pStyle w:val="TableParagraph"/>
              <w:ind w:right="133"/>
              <w:jc w:val="right"/>
              <w:rPr>
                <w:sz w:val="18"/>
              </w:rPr>
            </w:pPr>
            <w:r>
              <w:rPr>
                <w:sz w:val="18"/>
              </w:rPr>
              <w:t>557</w:t>
            </w:r>
          </w:p>
        </w:tc>
        <w:tc>
          <w:tcPr>
            <w:tcW w:w="1269" w:type="dxa"/>
            <w:tcBorders>
              <w:top w:val="single" w:sz="4" w:space="0" w:color="585858"/>
              <w:bottom w:val="single" w:sz="4" w:space="0" w:color="585858"/>
            </w:tcBorders>
          </w:tcPr>
          <w:p>
            <w:pPr>
              <w:pStyle w:val="TableParagraph"/>
              <w:ind w:left="233"/>
              <w:rPr>
                <w:sz w:val="18"/>
              </w:rPr>
            </w:pPr>
            <w:r>
              <w:rPr>
                <w:sz w:val="18"/>
              </w:rPr>
              <w:t>13.7</w:t>
            </w:r>
          </w:p>
        </w:tc>
        <w:tc>
          <w:tcPr>
            <w:tcW w:w="895" w:type="dxa"/>
            <w:tcBorders>
              <w:top w:val="single" w:sz="4" w:space="0" w:color="585858"/>
              <w:bottom w:val="single" w:sz="4" w:space="0" w:color="585858"/>
            </w:tcBorders>
          </w:tcPr>
          <w:p>
            <w:pPr>
              <w:pStyle w:val="TableParagraph"/>
              <w:ind w:right="136"/>
              <w:jc w:val="right"/>
              <w:rPr>
                <w:sz w:val="18"/>
              </w:rPr>
            </w:pPr>
            <w:r>
              <w:rPr>
                <w:sz w:val="18"/>
              </w:rPr>
              <w:t>88</w:t>
            </w:r>
          </w:p>
        </w:tc>
        <w:tc>
          <w:tcPr>
            <w:tcW w:w="1345" w:type="dxa"/>
            <w:tcBorders>
              <w:top w:val="single" w:sz="4" w:space="0" w:color="585858"/>
              <w:bottom w:val="single" w:sz="4" w:space="0" w:color="585858"/>
            </w:tcBorders>
          </w:tcPr>
          <w:p>
            <w:pPr>
              <w:pStyle w:val="TableParagraph"/>
              <w:ind w:left="333"/>
              <w:rPr>
                <w:sz w:val="18"/>
              </w:rPr>
            </w:pPr>
            <w:r>
              <w:rPr>
                <w:sz w:val="18"/>
              </w:rPr>
              <w:t>4.4</w:t>
            </w:r>
          </w:p>
        </w:tc>
        <w:tc>
          <w:tcPr>
            <w:tcW w:w="869" w:type="dxa"/>
            <w:tcBorders>
              <w:top w:val="single" w:sz="4" w:space="0" w:color="585858"/>
              <w:bottom w:val="single" w:sz="4" w:space="0" w:color="585858"/>
            </w:tcBorders>
          </w:tcPr>
          <w:p>
            <w:pPr>
              <w:pStyle w:val="TableParagraph"/>
              <w:ind w:right="186"/>
              <w:jc w:val="right"/>
              <w:rPr>
                <w:sz w:val="18"/>
              </w:rPr>
            </w:pPr>
            <w:r>
              <w:rPr>
                <w:sz w:val="18"/>
              </w:rPr>
              <w:t>92</w:t>
            </w:r>
          </w:p>
        </w:tc>
        <w:tc>
          <w:tcPr>
            <w:tcW w:w="1369" w:type="dxa"/>
            <w:tcBorders>
              <w:top w:val="single" w:sz="4" w:space="0" w:color="585858"/>
              <w:bottom w:val="single" w:sz="4" w:space="0" w:color="585858"/>
            </w:tcBorders>
          </w:tcPr>
          <w:p>
            <w:pPr>
              <w:pStyle w:val="TableParagraph"/>
              <w:ind w:left="179"/>
              <w:rPr>
                <w:sz w:val="18"/>
              </w:rPr>
            </w:pPr>
            <w:r>
              <w:rPr>
                <w:sz w:val="18"/>
              </w:rPr>
              <w:t>28.5</w:t>
            </w:r>
          </w:p>
        </w:tc>
      </w:tr>
      <w:tr>
        <w:trPr>
          <w:trHeight w:val="286" w:hRule="atLeast"/>
        </w:trPr>
        <w:tc>
          <w:tcPr>
            <w:tcW w:w="2878" w:type="dxa"/>
            <w:tcBorders>
              <w:top w:val="single" w:sz="4" w:space="0" w:color="585858"/>
              <w:bottom w:val="single" w:sz="4" w:space="0" w:color="585858"/>
            </w:tcBorders>
          </w:tcPr>
          <w:p>
            <w:pPr>
              <w:pStyle w:val="TableParagraph"/>
              <w:ind w:left="353"/>
              <w:rPr>
                <w:sz w:val="18"/>
              </w:rPr>
            </w:pPr>
            <w:r>
              <w:rPr>
                <w:sz w:val="18"/>
              </w:rPr>
              <w:t>Asexual</w:t>
            </w:r>
          </w:p>
        </w:tc>
        <w:tc>
          <w:tcPr>
            <w:tcW w:w="747" w:type="dxa"/>
            <w:tcBorders>
              <w:top w:val="single" w:sz="4" w:space="0" w:color="585858"/>
              <w:bottom w:val="single" w:sz="4" w:space="0" w:color="585858"/>
            </w:tcBorders>
          </w:tcPr>
          <w:p>
            <w:pPr>
              <w:pStyle w:val="TableParagraph"/>
              <w:ind w:right="132"/>
              <w:jc w:val="right"/>
              <w:rPr>
                <w:sz w:val="18"/>
              </w:rPr>
            </w:pPr>
            <w:r>
              <w:rPr>
                <w:sz w:val="18"/>
              </w:rPr>
              <w:t>70</w:t>
            </w:r>
          </w:p>
        </w:tc>
        <w:tc>
          <w:tcPr>
            <w:tcW w:w="1269" w:type="dxa"/>
            <w:tcBorders>
              <w:top w:val="single" w:sz="4" w:space="0" w:color="585858"/>
              <w:bottom w:val="single" w:sz="4" w:space="0" w:color="585858"/>
            </w:tcBorders>
          </w:tcPr>
          <w:p>
            <w:pPr>
              <w:pStyle w:val="TableParagraph"/>
              <w:ind w:left="333"/>
              <w:rPr>
                <w:sz w:val="18"/>
              </w:rPr>
            </w:pPr>
            <w:r>
              <w:rPr>
                <w:sz w:val="18"/>
              </w:rPr>
              <w:t>1.7</w:t>
            </w:r>
          </w:p>
        </w:tc>
        <w:tc>
          <w:tcPr>
            <w:tcW w:w="895" w:type="dxa"/>
            <w:tcBorders>
              <w:top w:val="single" w:sz="4" w:space="0" w:color="585858"/>
              <w:bottom w:val="single" w:sz="4" w:space="0" w:color="585858"/>
            </w:tcBorders>
          </w:tcPr>
          <w:p>
            <w:pPr>
              <w:pStyle w:val="TableParagraph"/>
              <w:ind w:right="136"/>
              <w:jc w:val="right"/>
              <w:rPr>
                <w:sz w:val="18"/>
              </w:rPr>
            </w:pPr>
            <w:r>
              <w:rPr>
                <w:sz w:val="18"/>
              </w:rPr>
              <w:t>15</w:t>
            </w:r>
          </w:p>
        </w:tc>
        <w:tc>
          <w:tcPr>
            <w:tcW w:w="1345" w:type="dxa"/>
            <w:tcBorders>
              <w:top w:val="single" w:sz="4" w:space="0" w:color="585858"/>
              <w:bottom w:val="single" w:sz="4" w:space="0" w:color="585858"/>
            </w:tcBorders>
          </w:tcPr>
          <w:p>
            <w:pPr>
              <w:pStyle w:val="TableParagraph"/>
              <w:ind w:left="333"/>
              <w:rPr>
                <w:sz w:val="18"/>
              </w:rPr>
            </w:pPr>
            <w:r>
              <w:rPr>
                <w:sz w:val="18"/>
              </w:rPr>
              <w:t>0.7</w:t>
            </w:r>
          </w:p>
        </w:tc>
        <w:tc>
          <w:tcPr>
            <w:tcW w:w="869" w:type="dxa"/>
            <w:tcBorders>
              <w:top w:val="single" w:sz="4" w:space="0" w:color="585858"/>
              <w:bottom w:val="single" w:sz="4" w:space="0" w:color="585858"/>
            </w:tcBorders>
          </w:tcPr>
          <w:p>
            <w:pPr>
              <w:pStyle w:val="TableParagraph"/>
              <w:ind w:right="186"/>
              <w:jc w:val="right"/>
              <w:rPr>
                <w:sz w:val="18"/>
              </w:rPr>
            </w:pPr>
            <w:r>
              <w:rPr>
                <w:sz w:val="18"/>
              </w:rPr>
              <w:t>25</w:t>
            </w:r>
          </w:p>
        </w:tc>
        <w:tc>
          <w:tcPr>
            <w:tcW w:w="1369" w:type="dxa"/>
            <w:tcBorders>
              <w:top w:val="single" w:sz="4" w:space="0" w:color="585858"/>
              <w:bottom w:val="single" w:sz="4" w:space="0" w:color="585858"/>
            </w:tcBorders>
          </w:tcPr>
          <w:p>
            <w:pPr>
              <w:pStyle w:val="TableParagraph"/>
              <w:ind w:left="279"/>
              <w:rPr>
                <w:sz w:val="18"/>
              </w:rPr>
            </w:pPr>
            <w:r>
              <w:rPr>
                <w:sz w:val="18"/>
              </w:rPr>
              <w:t>7.7</w:t>
            </w:r>
          </w:p>
        </w:tc>
      </w:tr>
      <w:tr>
        <w:trPr>
          <w:trHeight w:val="286"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Queer</w:t>
            </w:r>
          </w:p>
        </w:tc>
        <w:tc>
          <w:tcPr>
            <w:tcW w:w="747" w:type="dxa"/>
            <w:tcBorders>
              <w:top w:val="single" w:sz="4" w:space="0" w:color="585858"/>
              <w:bottom w:val="single" w:sz="4" w:space="0" w:color="585858"/>
            </w:tcBorders>
          </w:tcPr>
          <w:p>
            <w:pPr>
              <w:pStyle w:val="TableParagraph"/>
              <w:spacing w:before="42"/>
              <w:ind w:right="133"/>
              <w:jc w:val="right"/>
              <w:rPr>
                <w:sz w:val="18"/>
              </w:rPr>
            </w:pPr>
            <w:r>
              <w:rPr>
                <w:sz w:val="18"/>
              </w:rPr>
              <w:t>131</w:t>
            </w:r>
          </w:p>
        </w:tc>
        <w:tc>
          <w:tcPr>
            <w:tcW w:w="1269" w:type="dxa"/>
            <w:tcBorders>
              <w:top w:val="single" w:sz="4" w:space="0" w:color="585858"/>
              <w:bottom w:val="single" w:sz="4" w:space="0" w:color="585858"/>
            </w:tcBorders>
          </w:tcPr>
          <w:p>
            <w:pPr>
              <w:pStyle w:val="TableParagraph"/>
              <w:spacing w:before="42"/>
              <w:ind w:left="333"/>
              <w:rPr>
                <w:sz w:val="18"/>
              </w:rPr>
            </w:pPr>
            <w:r>
              <w:rPr>
                <w:sz w:val="18"/>
              </w:rPr>
              <w:t>3.2</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24</w:t>
            </w:r>
          </w:p>
        </w:tc>
        <w:tc>
          <w:tcPr>
            <w:tcW w:w="1345" w:type="dxa"/>
            <w:tcBorders>
              <w:top w:val="single" w:sz="4" w:space="0" w:color="585858"/>
              <w:bottom w:val="single" w:sz="4" w:space="0" w:color="585858"/>
            </w:tcBorders>
          </w:tcPr>
          <w:p>
            <w:pPr>
              <w:pStyle w:val="TableParagraph"/>
              <w:spacing w:before="42"/>
              <w:ind w:left="333"/>
              <w:rPr>
                <w:sz w:val="18"/>
              </w:rPr>
            </w:pPr>
            <w:r>
              <w:rPr>
                <w:sz w:val="18"/>
              </w:rPr>
              <w:t>1.2</w:t>
            </w:r>
          </w:p>
        </w:tc>
        <w:tc>
          <w:tcPr>
            <w:tcW w:w="869" w:type="dxa"/>
            <w:tcBorders>
              <w:top w:val="single" w:sz="4" w:space="0" w:color="585858"/>
              <w:bottom w:val="single" w:sz="4" w:space="0" w:color="585858"/>
            </w:tcBorders>
          </w:tcPr>
          <w:p>
            <w:pPr>
              <w:pStyle w:val="TableParagraph"/>
              <w:spacing w:before="42"/>
              <w:ind w:right="187"/>
              <w:jc w:val="right"/>
              <w:rPr>
                <w:sz w:val="18"/>
              </w:rPr>
            </w:pPr>
            <w:r>
              <w:rPr>
                <w:sz w:val="18"/>
              </w:rPr>
              <w:t>119</w:t>
            </w:r>
          </w:p>
        </w:tc>
        <w:tc>
          <w:tcPr>
            <w:tcW w:w="1369" w:type="dxa"/>
            <w:tcBorders>
              <w:top w:val="single" w:sz="4" w:space="0" w:color="585858"/>
              <w:bottom w:val="single" w:sz="4" w:space="0" w:color="585858"/>
            </w:tcBorders>
          </w:tcPr>
          <w:p>
            <w:pPr>
              <w:pStyle w:val="TableParagraph"/>
              <w:spacing w:before="42"/>
              <w:ind w:left="178"/>
              <w:rPr>
                <w:sz w:val="18"/>
              </w:rPr>
            </w:pPr>
            <w:r>
              <w:rPr>
                <w:sz w:val="18"/>
              </w:rPr>
              <w:t>36.8</w:t>
            </w:r>
          </w:p>
        </w:tc>
      </w:tr>
      <w:tr>
        <w:trPr>
          <w:trHeight w:val="491" w:hRule="atLeast"/>
        </w:trPr>
        <w:tc>
          <w:tcPr>
            <w:tcW w:w="2878" w:type="dxa"/>
            <w:tcBorders>
              <w:top w:val="single" w:sz="4" w:space="0" w:color="585858"/>
              <w:bottom w:val="single" w:sz="6" w:space="0" w:color="585858"/>
            </w:tcBorders>
          </w:tcPr>
          <w:p>
            <w:pPr>
              <w:pStyle w:val="TableParagraph"/>
              <w:spacing w:before="42"/>
              <w:ind w:left="353" w:right="403"/>
              <w:rPr>
                <w:sz w:val="18"/>
              </w:rPr>
            </w:pPr>
            <w:r>
              <w:rPr>
                <w:sz w:val="18"/>
              </w:rPr>
              <w:t>Additional combinations of multiple orientations</w:t>
            </w:r>
          </w:p>
        </w:tc>
        <w:tc>
          <w:tcPr>
            <w:tcW w:w="747" w:type="dxa"/>
            <w:tcBorders>
              <w:top w:val="single" w:sz="4" w:space="0" w:color="585858"/>
              <w:bottom w:val="single" w:sz="6" w:space="0" w:color="585858"/>
            </w:tcBorders>
          </w:tcPr>
          <w:p>
            <w:pPr>
              <w:pStyle w:val="TableParagraph"/>
              <w:spacing w:before="42"/>
              <w:ind w:right="132"/>
              <w:jc w:val="right"/>
              <w:rPr>
                <w:sz w:val="18"/>
              </w:rPr>
            </w:pPr>
            <w:r>
              <w:rPr>
                <w:sz w:val="18"/>
              </w:rPr>
              <w:t>84</w:t>
            </w:r>
          </w:p>
        </w:tc>
        <w:tc>
          <w:tcPr>
            <w:tcW w:w="1269" w:type="dxa"/>
            <w:tcBorders>
              <w:top w:val="single" w:sz="4" w:space="0" w:color="585858"/>
              <w:bottom w:val="single" w:sz="6" w:space="0" w:color="585858"/>
            </w:tcBorders>
          </w:tcPr>
          <w:p>
            <w:pPr>
              <w:pStyle w:val="TableParagraph"/>
              <w:spacing w:before="42"/>
              <w:ind w:left="332"/>
              <w:rPr>
                <w:sz w:val="18"/>
              </w:rPr>
            </w:pPr>
            <w:r>
              <w:rPr>
                <w:sz w:val="18"/>
              </w:rPr>
              <w:t>2.1</w:t>
            </w:r>
          </w:p>
        </w:tc>
        <w:tc>
          <w:tcPr>
            <w:tcW w:w="895" w:type="dxa"/>
            <w:tcBorders>
              <w:top w:val="single" w:sz="4" w:space="0" w:color="585858"/>
              <w:bottom w:val="single" w:sz="6" w:space="0" w:color="585858"/>
            </w:tcBorders>
          </w:tcPr>
          <w:p>
            <w:pPr>
              <w:pStyle w:val="TableParagraph"/>
              <w:spacing w:before="42"/>
              <w:ind w:right="136"/>
              <w:jc w:val="right"/>
              <w:rPr>
                <w:sz w:val="18"/>
              </w:rPr>
            </w:pPr>
            <w:r>
              <w:rPr>
                <w:sz w:val="18"/>
              </w:rPr>
              <w:t>31</w:t>
            </w:r>
          </w:p>
        </w:tc>
        <w:tc>
          <w:tcPr>
            <w:tcW w:w="1345" w:type="dxa"/>
            <w:tcBorders>
              <w:top w:val="single" w:sz="4" w:space="0" w:color="585858"/>
              <w:bottom w:val="single" w:sz="6" w:space="0" w:color="585858"/>
            </w:tcBorders>
          </w:tcPr>
          <w:p>
            <w:pPr>
              <w:pStyle w:val="TableParagraph"/>
              <w:spacing w:before="42"/>
              <w:ind w:left="332"/>
              <w:rPr>
                <w:sz w:val="18"/>
              </w:rPr>
            </w:pPr>
            <w:r>
              <w:rPr>
                <w:sz w:val="18"/>
              </w:rPr>
              <w:t>1.5</w:t>
            </w:r>
          </w:p>
        </w:tc>
        <w:tc>
          <w:tcPr>
            <w:tcW w:w="869" w:type="dxa"/>
            <w:tcBorders>
              <w:top w:val="single" w:sz="4" w:space="0" w:color="585858"/>
              <w:bottom w:val="single" w:sz="6" w:space="0" w:color="585858"/>
            </w:tcBorders>
          </w:tcPr>
          <w:p>
            <w:pPr>
              <w:pStyle w:val="TableParagraph"/>
              <w:spacing w:before="42"/>
              <w:ind w:right="187"/>
              <w:jc w:val="right"/>
              <w:rPr>
                <w:sz w:val="18"/>
              </w:rPr>
            </w:pPr>
            <w:r>
              <w:rPr>
                <w:sz w:val="18"/>
              </w:rPr>
              <w:t>29</w:t>
            </w:r>
          </w:p>
        </w:tc>
        <w:tc>
          <w:tcPr>
            <w:tcW w:w="1369" w:type="dxa"/>
            <w:tcBorders>
              <w:top w:val="single" w:sz="4" w:space="0" w:color="585858"/>
              <w:bottom w:val="single" w:sz="6" w:space="0" w:color="585858"/>
            </w:tcBorders>
          </w:tcPr>
          <w:p>
            <w:pPr>
              <w:pStyle w:val="TableParagraph"/>
              <w:spacing w:before="42"/>
              <w:ind w:left="278"/>
              <w:rPr>
                <w:sz w:val="18"/>
              </w:rPr>
            </w:pPr>
            <w:r>
              <w:rPr>
                <w:sz w:val="18"/>
              </w:rPr>
              <w:t>9.0</w:t>
            </w:r>
          </w:p>
        </w:tc>
      </w:tr>
      <w:tr>
        <w:trPr>
          <w:trHeight w:val="287" w:hRule="atLeast"/>
        </w:trPr>
        <w:tc>
          <w:tcPr>
            <w:tcW w:w="2878" w:type="dxa"/>
            <w:tcBorders>
              <w:top w:val="single" w:sz="4" w:space="0" w:color="585858"/>
              <w:bottom w:val="single" w:sz="4" w:space="0" w:color="585858"/>
            </w:tcBorders>
            <w:shd w:val="clear" w:color="auto" w:fill="DEEAF6"/>
          </w:tcPr>
          <w:p>
            <w:pPr>
              <w:pStyle w:val="TableParagraph"/>
              <w:spacing w:before="39"/>
              <w:ind w:left="114"/>
              <w:rPr>
                <w:sz w:val="18"/>
              </w:rPr>
            </w:pPr>
            <w:r>
              <w:rPr>
                <w:sz w:val="18"/>
              </w:rPr>
              <w:t>Gender Identity</w:t>
            </w:r>
          </w:p>
        </w:tc>
        <w:tc>
          <w:tcPr>
            <w:tcW w:w="747"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2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9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4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r>
      <w:tr>
        <w:trPr>
          <w:trHeight w:val="286" w:hRule="atLeast"/>
        </w:trPr>
        <w:tc>
          <w:tcPr>
            <w:tcW w:w="2878" w:type="dxa"/>
            <w:tcBorders>
              <w:top w:val="single" w:sz="4" w:space="0" w:color="585858"/>
              <w:bottom w:val="single" w:sz="4" w:space="0" w:color="585858"/>
            </w:tcBorders>
          </w:tcPr>
          <w:p>
            <w:pPr>
              <w:pStyle w:val="TableParagraph"/>
              <w:ind w:left="353"/>
              <w:rPr>
                <w:sz w:val="18"/>
              </w:rPr>
            </w:pPr>
            <w:r>
              <w:rPr>
                <w:sz w:val="18"/>
              </w:rPr>
              <w:t>Cisgender woman</w:t>
            </w:r>
          </w:p>
        </w:tc>
        <w:tc>
          <w:tcPr>
            <w:tcW w:w="747" w:type="dxa"/>
            <w:tcBorders>
              <w:top w:val="single" w:sz="4" w:space="0" w:color="585858"/>
              <w:bottom w:val="single" w:sz="4" w:space="0" w:color="585858"/>
            </w:tcBorders>
          </w:tcPr>
          <w:p>
            <w:pPr>
              <w:pStyle w:val="TableParagraph"/>
              <w:ind w:right="133"/>
              <w:jc w:val="right"/>
              <w:rPr>
                <w:sz w:val="18"/>
              </w:rPr>
            </w:pPr>
            <w:r>
              <w:rPr>
                <w:sz w:val="18"/>
              </w:rPr>
              <w:t>4,070</w:t>
            </w:r>
          </w:p>
        </w:tc>
        <w:tc>
          <w:tcPr>
            <w:tcW w:w="1269" w:type="dxa"/>
            <w:tcBorders>
              <w:top w:val="single" w:sz="4" w:space="0" w:color="585858"/>
              <w:bottom w:val="single" w:sz="4" w:space="0" w:color="585858"/>
            </w:tcBorders>
          </w:tcPr>
          <w:p>
            <w:pPr>
              <w:pStyle w:val="TableParagraph"/>
              <w:tabs>
                <w:tab w:pos="800" w:val="left" w:leader="none"/>
              </w:tabs>
              <w:ind w:left="132"/>
              <w:rPr>
                <w:sz w:val="18"/>
              </w:rPr>
            </w:pPr>
            <w:r>
              <w:rPr>
                <w:sz w:val="18"/>
              </w:rPr>
              <w:t>100.0</w:t>
              <w:tab/>
              <w:t>%</w:t>
            </w:r>
          </w:p>
        </w:tc>
        <w:tc>
          <w:tcPr>
            <w:tcW w:w="895" w:type="dxa"/>
            <w:tcBorders>
              <w:top w:val="single" w:sz="4" w:space="0" w:color="585858"/>
              <w:bottom w:val="single" w:sz="4" w:space="0" w:color="585858"/>
            </w:tcBorders>
          </w:tcPr>
          <w:p>
            <w:pPr>
              <w:pStyle w:val="TableParagraph"/>
              <w:ind w:right="136"/>
              <w:jc w:val="right"/>
              <w:rPr>
                <w:sz w:val="18"/>
              </w:rPr>
            </w:pPr>
            <w:r>
              <w:rPr>
                <w:sz w:val="18"/>
              </w:rPr>
              <w:t>n/a</w:t>
            </w:r>
          </w:p>
        </w:tc>
        <w:tc>
          <w:tcPr>
            <w:tcW w:w="1345" w:type="dxa"/>
            <w:tcBorders>
              <w:top w:val="single" w:sz="4" w:space="0" w:color="585858"/>
              <w:bottom w:val="single" w:sz="4" w:space="0" w:color="585858"/>
            </w:tcBorders>
          </w:tcPr>
          <w:p>
            <w:pPr>
              <w:pStyle w:val="TableParagraph"/>
              <w:tabs>
                <w:tab w:pos="467" w:val="left" w:leader="none"/>
              </w:tabs>
              <w:ind w:right="382"/>
              <w:jc w:val="right"/>
              <w:rPr>
                <w:sz w:val="18"/>
              </w:rPr>
            </w:pPr>
            <w:r>
              <w:rPr>
                <w:sz w:val="18"/>
              </w:rPr>
              <w:t>n/a</w:t>
              <w:tab/>
              <w:t>%</w:t>
            </w:r>
          </w:p>
        </w:tc>
        <w:tc>
          <w:tcPr>
            <w:tcW w:w="869" w:type="dxa"/>
            <w:tcBorders>
              <w:top w:val="single" w:sz="4" w:space="0" w:color="585858"/>
              <w:bottom w:val="single" w:sz="4" w:space="0" w:color="585858"/>
            </w:tcBorders>
          </w:tcPr>
          <w:p>
            <w:pPr>
              <w:pStyle w:val="TableParagraph"/>
              <w:ind w:right="187"/>
              <w:jc w:val="right"/>
              <w:rPr>
                <w:sz w:val="18"/>
              </w:rPr>
            </w:pPr>
            <w:r>
              <w:rPr>
                <w:sz w:val="18"/>
              </w:rPr>
              <w:t>n/a</w:t>
            </w:r>
          </w:p>
        </w:tc>
        <w:tc>
          <w:tcPr>
            <w:tcW w:w="1369" w:type="dxa"/>
            <w:tcBorders>
              <w:top w:val="single" w:sz="4" w:space="0" w:color="585858"/>
              <w:bottom w:val="single" w:sz="4" w:space="0" w:color="585858"/>
            </w:tcBorders>
          </w:tcPr>
          <w:p>
            <w:pPr>
              <w:pStyle w:val="TableParagraph"/>
              <w:tabs>
                <w:tab w:pos="471" w:val="left" w:leader="none"/>
              </w:tabs>
              <w:ind w:right="456"/>
              <w:jc w:val="right"/>
              <w:rPr>
                <w:sz w:val="18"/>
              </w:rPr>
            </w:pPr>
            <w:r>
              <w:rPr>
                <w:sz w:val="18"/>
              </w:rPr>
              <w:t>n/a</w:t>
              <w:tab/>
              <w:t>%</w:t>
            </w:r>
          </w:p>
        </w:tc>
      </w:tr>
      <w:tr>
        <w:trPr>
          <w:trHeight w:val="286" w:hRule="atLeast"/>
        </w:trPr>
        <w:tc>
          <w:tcPr>
            <w:tcW w:w="2878" w:type="dxa"/>
            <w:tcBorders>
              <w:top w:val="single" w:sz="4" w:space="0" w:color="585858"/>
              <w:bottom w:val="single" w:sz="4" w:space="0" w:color="585858"/>
            </w:tcBorders>
          </w:tcPr>
          <w:p>
            <w:pPr>
              <w:pStyle w:val="TableParagraph"/>
              <w:ind w:left="353"/>
              <w:rPr>
                <w:sz w:val="18"/>
              </w:rPr>
            </w:pPr>
            <w:r>
              <w:rPr>
                <w:sz w:val="18"/>
              </w:rPr>
              <w:t>Cisgender man</w:t>
            </w:r>
          </w:p>
        </w:tc>
        <w:tc>
          <w:tcPr>
            <w:tcW w:w="747" w:type="dxa"/>
            <w:tcBorders>
              <w:top w:val="single" w:sz="4" w:space="0" w:color="585858"/>
              <w:bottom w:val="single" w:sz="4" w:space="0" w:color="585858"/>
            </w:tcBorders>
          </w:tcPr>
          <w:p>
            <w:pPr>
              <w:pStyle w:val="TableParagraph"/>
              <w:ind w:right="132"/>
              <w:jc w:val="right"/>
              <w:rPr>
                <w:sz w:val="18"/>
              </w:rPr>
            </w:pPr>
            <w:r>
              <w:rPr>
                <w:sz w:val="18"/>
              </w:rPr>
              <w:t>n/a</w:t>
            </w:r>
          </w:p>
        </w:tc>
        <w:tc>
          <w:tcPr>
            <w:tcW w:w="1269" w:type="dxa"/>
            <w:tcBorders>
              <w:top w:val="single" w:sz="4" w:space="0" w:color="585858"/>
              <w:bottom w:val="single" w:sz="4" w:space="0" w:color="585858"/>
            </w:tcBorders>
          </w:tcPr>
          <w:p>
            <w:pPr>
              <w:pStyle w:val="TableParagraph"/>
              <w:ind w:left="332"/>
              <w:rPr>
                <w:sz w:val="18"/>
              </w:rPr>
            </w:pPr>
            <w:r>
              <w:rPr>
                <w:sz w:val="18"/>
              </w:rPr>
              <w:t>n/a</w:t>
            </w:r>
          </w:p>
        </w:tc>
        <w:tc>
          <w:tcPr>
            <w:tcW w:w="895" w:type="dxa"/>
            <w:tcBorders>
              <w:top w:val="single" w:sz="4" w:space="0" w:color="585858"/>
              <w:bottom w:val="single" w:sz="4" w:space="0" w:color="585858"/>
            </w:tcBorders>
          </w:tcPr>
          <w:p>
            <w:pPr>
              <w:pStyle w:val="TableParagraph"/>
              <w:ind w:right="137"/>
              <w:jc w:val="right"/>
              <w:rPr>
                <w:sz w:val="18"/>
              </w:rPr>
            </w:pPr>
            <w:r>
              <w:rPr>
                <w:sz w:val="18"/>
              </w:rPr>
              <w:t>2,017</w:t>
            </w:r>
          </w:p>
        </w:tc>
        <w:tc>
          <w:tcPr>
            <w:tcW w:w="1345" w:type="dxa"/>
            <w:tcBorders>
              <w:top w:val="single" w:sz="4" w:space="0" w:color="585858"/>
              <w:bottom w:val="single" w:sz="4" w:space="0" w:color="585858"/>
            </w:tcBorders>
          </w:tcPr>
          <w:p>
            <w:pPr>
              <w:pStyle w:val="TableParagraph"/>
              <w:ind w:left="132"/>
              <w:rPr>
                <w:sz w:val="18"/>
              </w:rPr>
            </w:pPr>
            <w:r>
              <w:rPr>
                <w:sz w:val="18"/>
              </w:rPr>
              <w:t>100.0</w:t>
            </w:r>
          </w:p>
        </w:tc>
        <w:tc>
          <w:tcPr>
            <w:tcW w:w="869" w:type="dxa"/>
            <w:tcBorders>
              <w:top w:val="single" w:sz="4" w:space="0" w:color="585858"/>
              <w:bottom w:val="single" w:sz="4" w:space="0" w:color="585858"/>
            </w:tcBorders>
          </w:tcPr>
          <w:p>
            <w:pPr>
              <w:pStyle w:val="TableParagraph"/>
              <w:ind w:right="187"/>
              <w:jc w:val="right"/>
              <w:rPr>
                <w:sz w:val="18"/>
              </w:rPr>
            </w:pPr>
            <w:r>
              <w:rPr>
                <w:sz w:val="18"/>
              </w:rPr>
              <w:t>n/a</w:t>
            </w:r>
          </w:p>
        </w:tc>
        <w:tc>
          <w:tcPr>
            <w:tcW w:w="1369" w:type="dxa"/>
            <w:tcBorders>
              <w:top w:val="single" w:sz="4" w:space="0" w:color="585858"/>
              <w:bottom w:val="single" w:sz="4" w:space="0" w:color="585858"/>
            </w:tcBorders>
          </w:tcPr>
          <w:p>
            <w:pPr>
              <w:pStyle w:val="TableParagraph"/>
              <w:ind w:left="278"/>
              <w:rPr>
                <w:sz w:val="18"/>
              </w:rPr>
            </w:pPr>
            <w:r>
              <w:rPr>
                <w:sz w:val="18"/>
              </w:rPr>
              <w:t>n/a</w:t>
            </w:r>
          </w:p>
        </w:tc>
      </w:tr>
      <w:tr>
        <w:trPr>
          <w:trHeight w:val="285"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Nonbinary</w:t>
            </w:r>
          </w:p>
        </w:tc>
        <w:tc>
          <w:tcPr>
            <w:tcW w:w="747" w:type="dxa"/>
            <w:tcBorders>
              <w:top w:val="single" w:sz="4" w:space="0" w:color="585858"/>
              <w:bottom w:val="single" w:sz="4" w:space="0" w:color="585858"/>
            </w:tcBorders>
          </w:tcPr>
          <w:p>
            <w:pPr>
              <w:pStyle w:val="TableParagraph"/>
              <w:spacing w:before="42"/>
              <w:ind w:right="132"/>
              <w:jc w:val="right"/>
              <w:rPr>
                <w:sz w:val="18"/>
              </w:rPr>
            </w:pPr>
            <w:r>
              <w:rPr>
                <w:sz w:val="18"/>
              </w:rPr>
              <w:t>n/a</w:t>
            </w:r>
          </w:p>
        </w:tc>
        <w:tc>
          <w:tcPr>
            <w:tcW w:w="1269" w:type="dxa"/>
            <w:tcBorders>
              <w:top w:val="single" w:sz="4" w:space="0" w:color="585858"/>
              <w:bottom w:val="single" w:sz="4" w:space="0" w:color="585858"/>
            </w:tcBorders>
          </w:tcPr>
          <w:p>
            <w:pPr>
              <w:pStyle w:val="TableParagraph"/>
              <w:spacing w:before="42"/>
              <w:ind w:left="333"/>
              <w:rPr>
                <w:sz w:val="18"/>
              </w:rPr>
            </w:pPr>
            <w:r>
              <w:rPr>
                <w:sz w:val="18"/>
              </w:rPr>
              <w:t>n/a</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n/a</w:t>
            </w:r>
          </w:p>
        </w:tc>
        <w:tc>
          <w:tcPr>
            <w:tcW w:w="1345" w:type="dxa"/>
            <w:tcBorders>
              <w:top w:val="single" w:sz="4" w:space="0" w:color="585858"/>
              <w:bottom w:val="single" w:sz="4" w:space="0" w:color="585858"/>
            </w:tcBorders>
          </w:tcPr>
          <w:p>
            <w:pPr>
              <w:pStyle w:val="TableParagraph"/>
              <w:spacing w:before="42"/>
              <w:ind w:left="333"/>
              <w:rPr>
                <w:sz w:val="18"/>
              </w:rPr>
            </w:pPr>
            <w:r>
              <w:rPr>
                <w:sz w:val="18"/>
              </w:rPr>
              <w:t>n/a</w:t>
            </w:r>
          </w:p>
        </w:tc>
        <w:tc>
          <w:tcPr>
            <w:tcW w:w="869" w:type="dxa"/>
            <w:tcBorders>
              <w:top w:val="single" w:sz="4" w:space="0" w:color="585858"/>
              <w:bottom w:val="single" w:sz="4" w:space="0" w:color="585858"/>
            </w:tcBorders>
          </w:tcPr>
          <w:p>
            <w:pPr>
              <w:pStyle w:val="TableParagraph"/>
              <w:spacing w:before="42"/>
              <w:ind w:right="187"/>
              <w:jc w:val="right"/>
              <w:rPr>
                <w:sz w:val="18"/>
              </w:rPr>
            </w:pPr>
            <w:r>
              <w:rPr>
                <w:sz w:val="18"/>
              </w:rPr>
              <w:t>223</w:t>
            </w:r>
          </w:p>
        </w:tc>
        <w:tc>
          <w:tcPr>
            <w:tcW w:w="1369" w:type="dxa"/>
            <w:tcBorders>
              <w:top w:val="single" w:sz="4" w:space="0" w:color="585858"/>
              <w:bottom w:val="single" w:sz="4" w:space="0" w:color="585858"/>
            </w:tcBorders>
          </w:tcPr>
          <w:p>
            <w:pPr>
              <w:pStyle w:val="TableParagraph"/>
              <w:spacing w:before="42"/>
              <w:ind w:left="178"/>
              <w:rPr>
                <w:sz w:val="18"/>
              </w:rPr>
            </w:pPr>
            <w:r>
              <w:rPr>
                <w:sz w:val="18"/>
              </w:rPr>
              <w:t>69.0</w:t>
            </w:r>
          </w:p>
        </w:tc>
      </w:tr>
      <w:tr>
        <w:trPr>
          <w:trHeight w:val="290"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Transgender woman</w:t>
            </w:r>
          </w:p>
        </w:tc>
        <w:tc>
          <w:tcPr>
            <w:tcW w:w="747" w:type="dxa"/>
            <w:tcBorders>
              <w:top w:val="single" w:sz="4" w:space="0" w:color="585858"/>
              <w:bottom w:val="single" w:sz="4" w:space="0" w:color="585858"/>
            </w:tcBorders>
          </w:tcPr>
          <w:p>
            <w:pPr>
              <w:pStyle w:val="TableParagraph"/>
              <w:spacing w:before="42"/>
              <w:ind w:right="132"/>
              <w:jc w:val="right"/>
              <w:rPr>
                <w:sz w:val="18"/>
              </w:rPr>
            </w:pPr>
            <w:r>
              <w:rPr>
                <w:sz w:val="18"/>
              </w:rPr>
              <w:t>n/a</w:t>
            </w:r>
          </w:p>
        </w:tc>
        <w:tc>
          <w:tcPr>
            <w:tcW w:w="1269" w:type="dxa"/>
            <w:tcBorders>
              <w:top w:val="single" w:sz="4" w:space="0" w:color="585858"/>
              <w:bottom w:val="single" w:sz="4" w:space="0" w:color="585858"/>
            </w:tcBorders>
          </w:tcPr>
          <w:p>
            <w:pPr>
              <w:pStyle w:val="TableParagraph"/>
              <w:spacing w:before="42"/>
              <w:ind w:left="332"/>
              <w:rPr>
                <w:sz w:val="18"/>
              </w:rPr>
            </w:pPr>
            <w:r>
              <w:rPr>
                <w:sz w:val="18"/>
              </w:rPr>
              <w:t>n/a</w:t>
            </w:r>
          </w:p>
        </w:tc>
        <w:tc>
          <w:tcPr>
            <w:tcW w:w="895" w:type="dxa"/>
            <w:tcBorders>
              <w:top w:val="single" w:sz="4" w:space="0" w:color="585858"/>
              <w:bottom w:val="single" w:sz="4" w:space="0" w:color="585858"/>
            </w:tcBorders>
          </w:tcPr>
          <w:p>
            <w:pPr>
              <w:pStyle w:val="TableParagraph"/>
              <w:spacing w:before="42"/>
              <w:ind w:right="136"/>
              <w:jc w:val="right"/>
              <w:rPr>
                <w:sz w:val="18"/>
              </w:rPr>
            </w:pPr>
            <w:r>
              <w:rPr>
                <w:sz w:val="18"/>
              </w:rPr>
              <w:t>n/a</w:t>
            </w:r>
          </w:p>
        </w:tc>
        <w:tc>
          <w:tcPr>
            <w:tcW w:w="1345" w:type="dxa"/>
            <w:tcBorders>
              <w:top w:val="single" w:sz="4" w:space="0" w:color="585858"/>
              <w:bottom w:val="single" w:sz="4" w:space="0" w:color="585858"/>
            </w:tcBorders>
          </w:tcPr>
          <w:p>
            <w:pPr>
              <w:pStyle w:val="TableParagraph"/>
              <w:spacing w:before="42"/>
              <w:ind w:left="332"/>
              <w:rPr>
                <w:sz w:val="18"/>
              </w:rPr>
            </w:pPr>
            <w:r>
              <w:rPr>
                <w:sz w:val="18"/>
              </w:rPr>
              <w:t>n/a</w:t>
            </w:r>
          </w:p>
        </w:tc>
        <w:tc>
          <w:tcPr>
            <w:tcW w:w="869" w:type="dxa"/>
            <w:tcBorders>
              <w:top w:val="single" w:sz="4" w:space="0" w:color="585858"/>
              <w:bottom w:val="single" w:sz="4" w:space="0" w:color="585858"/>
            </w:tcBorders>
          </w:tcPr>
          <w:p>
            <w:pPr>
              <w:pStyle w:val="TableParagraph"/>
              <w:spacing w:before="42"/>
              <w:ind w:right="187"/>
              <w:jc w:val="right"/>
              <w:rPr>
                <w:sz w:val="18"/>
              </w:rPr>
            </w:pPr>
            <w:r>
              <w:rPr>
                <w:sz w:val="18"/>
              </w:rPr>
              <w:t>19</w:t>
            </w:r>
          </w:p>
        </w:tc>
        <w:tc>
          <w:tcPr>
            <w:tcW w:w="1369" w:type="dxa"/>
            <w:tcBorders>
              <w:top w:val="single" w:sz="4" w:space="0" w:color="585858"/>
              <w:bottom w:val="single" w:sz="4" w:space="0" w:color="585858"/>
            </w:tcBorders>
          </w:tcPr>
          <w:p>
            <w:pPr>
              <w:pStyle w:val="TableParagraph"/>
              <w:spacing w:before="42"/>
              <w:ind w:left="278"/>
              <w:rPr>
                <w:sz w:val="18"/>
              </w:rPr>
            </w:pPr>
            <w:r>
              <w:rPr>
                <w:sz w:val="18"/>
              </w:rPr>
              <w:t>5.9</w:t>
            </w:r>
          </w:p>
        </w:tc>
      </w:tr>
      <w:tr>
        <w:trPr>
          <w:trHeight w:val="286" w:hRule="atLeast"/>
        </w:trPr>
        <w:tc>
          <w:tcPr>
            <w:tcW w:w="2878" w:type="dxa"/>
            <w:tcBorders>
              <w:top w:val="single" w:sz="4" w:space="0" w:color="585858"/>
              <w:bottom w:val="single" w:sz="4" w:space="0" w:color="585858"/>
            </w:tcBorders>
          </w:tcPr>
          <w:p>
            <w:pPr>
              <w:pStyle w:val="TableParagraph"/>
              <w:ind w:left="353"/>
              <w:rPr>
                <w:sz w:val="18"/>
              </w:rPr>
            </w:pPr>
            <w:r>
              <w:rPr>
                <w:sz w:val="18"/>
              </w:rPr>
              <w:t>Transgender man</w:t>
            </w:r>
          </w:p>
        </w:tc>
        <w:tc>
          <w:tcPr>
            <w:tcW w:w="747" w:type="dxa"/>
            <w:tcBorders>
              <w:top w:val="single" w:sz="4" w:space="0" w:color="585858"/>
              <w:bottom w:val="single" w:sz="4" w:space="0" w:color="585858"/>
            </w:tcBorders>
          </w:tcPr>
          <w:p>
            <w:pPr>
              <w:pStyle w:val="TableParagraph"/>
              <w:ind w:right="132"/>
              <w:jc w:val="right"/>
              <w:rPr>
                <w:sz w:val="18"/>
              </w:rPr>
            </w:pPr>
            <w:r>
              <w:rPr>
                <w:sz w:val="18"/>
              </w:rPr>
              <w:t>n/a</w:t>
            </w:r>
          </w:p>
        </w:tc>
        <w:tc>
          <w:tcPr>
            <w:tcW w:w="1269" w:type="dxa"/>
            <w:tcBorders>
              <w:top w:val="single" w:sz="4" w:space="0" w:color="585858"/>
              <w:bottom w:val="single" w:sz="4" w:space="0" w:color="585858"/>
            </w:tcBorders>
          </w:tcPr>
          <w:p>
            <w:pPr>
              <w:pStyle w:val="TableParagraph"/>
              <w:ind w:left="332"/>
              <w:rPr>
                <w:sz w:val="18"/>
              </w:rPr>
            </w:pPr>
            <w:r>
              <w:rPr>
                <w:sz w:val="18"/>
              </w:rPr>
              <w:t>n/a</w:t>
            </w:r>
          </w:p>
        </w:tc>
        <w:tc>
          <w:tcPr>
            <w:tcW w:w="895" w:type="dxa"/>
            <w:tcBorders>
              <w:top w:val="single" w:sz="4" w:space="0" w:color="585858"/>
              <w:bottom w:val="single" w:sz="4" w:space="0" w:color="585858"/>
            </w:tcBorders>
          </w:tcPr>
          <w:p>
            <w:pPr>
              <w:pStyle w:val="TableParagraph"/>
              <w:ind w:right="136"/>
              <w:jc w:val="right"/>
              <w:rPr>
                <w:sz w:val="18"/>
              </w:rPr>
            </w:pPr>
            <w:r>
              <w:rPr>
                <w:sz w:val="18"/>
              </w:rPr>
              <w:t>n/a</w:t>
            </w:r>
          </w:p>
        </w:tc>
        <w:tc>
          <w:tcPr>
            <w:tcW w:w="1345" w:type="dxa"/>
            <w:tcBorders>
              <w:top w:val="single" w:sz="4" w:space="0" w:color="585858"/>
              <w:bottom w:val="single" w:sz="4" w:space="0" w:color="585858"/>
            </w:tcBorders>
          </w:tcPr>
          <w:p>
            <w:pPr>
              <w:pStyle w:val="TableParagraph"/>
              <w:ind w:left="332"/>
              <w:rPr>
                <w:sz w:val="18"/>
              </w:rPr>
            </w:pPr>
            <w:r>
              <w:rPr>
                <w:sz w:val="18"/>
              </w:rPr>
              <w:t>n/a</w:t>
            </w:r>
          </w:p>
        </w:tc>
        <w:tc>
          <w:tcPr>
            <w:tcW w:w="869" w:type="dxa"/>
            <w:tcBorders>
              <w:top w:val="single" w:sz="4" w:space="0" w:color="585858"/>
              <w:bottom w:val="single" w:sz="4" w:space="0" w:color="585858"/>
            </w:tcBorders>
          </w:tcPr>
          <w:p>
            <w:pPr>
              <w:pStyle w:val="TableParagraph"/>
              <w:ind w:right="187"/>
              <w:jc w:val="right"/>
              <w:rPr>
                <w:sz w:val="18"/>
              </w:rPr>
            </w:pPr>
            <w:r>
              <w:rPr>
                <w:sz w:val="18"/>
              </w:rPr>
              <w:t>19</w:t>
            </w:r>
          </w:p>
        </w:tc>
        <w:tc>
          <w:tcPr>
            <w:tcW w:w="1369" w:type="dxa"/>
            <w:tcBorders>
              <w:top w:val="single" w:sz="4" w:space="0" w:color="585858"/>
              <w:bottom w:val="single" w:sz="4" w:space="0" w:color="585858"/>
            </w:tcBorders>
          </w:tcPr>
          <w:p>
            <w:pPr>
              <w:pStyle w:val="TableParagraph"/>
              <w:ind w:left="278"/>
              <w:rPr>
                <w:sz w:val="18"/>
              </w:rPr>
            </w:pPr>
            <w:r>
              <w:rPr>
                <w:sz w:val="18"/>
              </w:rPr>
              <w:t>5.9</w:t>
            </w:r>
          </w:p>
        </w:tc>
      </w:tr>
      <w:tr>
        <w:trPr>
          <w:trHeight w:val="491" w:hRule="atLeast"/>
        </w:trPr>
        <w:tc>
          <w:tcPr>
            <w:tcW w:w="2878" w:type="dxa"/>
            <w:tcBorders>
              <w:top w:val="single" w:sz="4" w:space="0" w:color="585858"/>
              <w:bottom w:val="single" w:sz="6" w:space="0" w:color="585858"/>
            </w:tcBorders>
          </w:tcPr>
          <w:p>
            <w:pPr>
              <w:pStyle w:val="TableParagraph"/>
              <w:ind w:left="353" w:right="293"/>
              <w:rPr>
                <w:sz w:val="18"/>
              </w:rPr>
            </w:pPr>
            <w:r>
              <w:rPr>
                <w:sz w:val="18"/>
              </w:rPr>
              <w:t>Transgender and nonbinary or trans only</w:t>
            </w:r>
          </w:p>
        </w:tc>
        <w:tc>
          <w:tcPr>
            <w:tcW w:w="747" w:type="dxa"/>
            <w:tcBorders>
              <w:top w:val="single" w:sz="4" w:space="0" w:color="585858"/>
              <w:bottom w:val="single" w:sz="6" w:space="0" w:color="585858"/>
            </w:tcBorders>
          </w:tcPr>
          <w:p>
            <w:pPr>
              <w:pStyle w:val="TableParagraph"/>
              <w:ind w:right="132"/>
              <w:jc w:val="right"/>
              <w:rPr>
                <w:sz w:val="18"/>
              </w:rPr>
            </w:pPr>
            <w:r>
              <w:rPr>
                <w:sz w:val="18"/>
              </w:rPr>
              <w:t>n/a</w:t>
            </w:r>
          </w:p>
        </w:tc>
        <w:tc>
          <w:tcPr>
            <w:tcW w:w="1269" w:type="dxa"/>
            <w:tcBorders>
              <w:top w:val="single" w:sz="4" w:space="0" w:color="585858"/>
              <w:bottom w:val="single" w:sz="6" w:space="0" w:color="585858"/>
            </w:tcBorders>
          </w:tcPr>
          <w:p>
            <w:pPr>
              <w:pStyle w:val="TableParagraph"/>
              <w:ind w:left="332"/>
              <w:rPr>
                <w:sz w:val="18"/>
              </w:rPr>
            </w:pPr>
            <w:r>
              <w:rPr>
                <w:sz w:val="18"/>
              </w:rPr>
              <w:t>n/a</w:t>
            </w:r>
          </w:p>
        </w:tc>
        <w:tc>
          <w:tcPr>
            <w:tcW w:w="895" w:type="dxa"/>
            <w:tcBorders>
              <w:top w:val="single" w:sz="4" w:space="0" w:color="585858"/>
              <w:bottom w:val="single" w:sz="6" w:space="0" w:color="585858"/>
            </w:tcBorders>
          </w:tcPr>
          <w:p>
            <w:pPr>
              <w:pStyle w:val="TableParagraph"/>
              <w:ind w:right="136"/>
              <w:jc w:val="right"/>
              <w:rPr>
                <w:sz w:val="18"/>
              </w:rPr>
            </w:pPr>
            <w:r>
              <w:rPr>
                <w:sz w:val="18"/>
              </w:rPr>
              <w:t>n/a</w:t>
            </w:r>
          </w:p>
        </w:tc>
        <w:tc>
          <w:tcPr>
            <w:tcW w:w="1345" w:type="dxa"/>
            <w:tcBorders>
              <w:top w:val="single" w:sz="4" w:space="0" w:color="585858"/>
              <w:bottom w:val="single" w:sz="6" w:space="0" w:color="585858"/>
            </w:tcBorders>
          </w:tcPr>
          <w:p>
            <w:pPr>
              <w:pStyle w:val="TableParagraph"/>
              <w:ind w:left="332"/>
              <w:rPr>
                <w:sz w:val="18"/>
              </w:rPr>
            </w:pPr>
            <w:r>
              <w:rPr>
                <w:sz w:val="18"/>
              </w:rPr>
              <w:t>n/a</w:t>
            </w:r>
          </w:p>
        </w:tc>
        <w:tc>
          <w:tcPr>
            <w:tcW w:w="869" w:type="dxa"/>
            <w:tcBorders>
              <w:top w:val="single" w:sz="4" w:space="0" w:color="585858"/>
              <w:bottom w:val="single" w:sz="6" w:space="0" w:color="585858"/>
            </w:tcBorders>
          </w:tcPr>
          <w:p>
            <w:pPr>
              <w:pStyle w:val="TableParagraph"/>
              <w:ind w:right="187"/>
              <w:jc w:val="right"/>
              <w:rPr>
                <w:sz w:val="18"/>
              </w:rPr>
            </w:pPr>
            <w:r>
              <w:rPr>
                <w:sz w:val="18"/>
              </w:rPr>
              <w:t>48</w:t>
            </w:r>
          </w:p>
        </w:tc>
        <w:tc>
          <w:tcPr>
            <w:tcW w:w="1369" w:type="dxa"/>
            <w:tcBorders>
              <w:top w:val="single" w:sz="4" w:space="0" w:color="585858"/>
              <w:bottom w:val="single" w:sz="6" w:space="0" w:color="585858"/>
            </w:tcBorders>
          </w:tcPr>
          <w:p>
            <w:pPr>
              <w:pStyle w:val="TableParagraph"/>
              <w:ind w:left="178"/>
              <w:rPr>
                <w:sz w:val="18"/>
              </w:rPr>
            </w:pPr>
            <w:r>
              <w:rPr>
                <w:sz w:val="18"/>
              </w:rPr>
              <w:t>14.9</w:t>
            </w:r>
          </w:p>
        </w:tc>
      </w:tr>
      <w:tr>
        <w:trPr>
          <w:trHeight w:val="283" w:hRule="atLeast"/>
        </w:trPr>
        <w:tc>
          <w:tcPr>
            <w:tcW w:w="2878" w:type="dxa"/>
            <w:tcBorders>
              <w:top w:val="single" w:sz="4" w:space="0" w:color="585858"/>
              <w:bottom w:val="single" w:sz="4" w:space="0" w:color="585858"/>
            </w:tcBorders>
            <w:shd w:val="clear" w:color="auto" w:fill="DEEAF6"/>
          </w:tcPr>
          <w:p>
            <w:pPr>
              <w:pStyle w:val="TableParagraph"/>
              <w:spacing w:before="35"/>
              <w:ind w:left="114"/>
              <w:rPr>
                <w:sz w:val="12"/>
              </w:rPr>
            </w:pPr>
            <w:r>
              <w:rPr>
                <w:sz w:val="18"/>
              </w:rPr>
              <w:t>Disability Status </w:t>
            </w:r>
            <w:r>
              <w:rPr>
                <w:position w:val="5"/>
                <w:sz w:val="12"/>
              </w:rPr>
              <w:t>b</w:t>
            </w:r>
          </w:p>
        </w:tc>
        <w:tc>
          <w:tcPr>
            <w:tcW w:w="747"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2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9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45"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8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c>
          <w:tcPr>
            <w:tcW w:w="1369" w:type="dxa"/>
            <w:tcBorders>
              <w:top w:val="single" w:sz="4" w:space="0" w:color="585858"/>
              <w:bottom w:val="single" w:sz="4" w:space="0" w:color="585858"/>
            </w:tcBorders>
            <w:shd w:val="clear" w:color="auto" w:fill="DEEAF6"/>
          </w:tcPr>
          <w:p>
            <w:pPr>
              <w:pStyle w:val="TableParagraph"/>
              <w:spacing w:before="0"/>
              <w:rPr>
                <w:rFonts w:ascii="Times New Roman"/>
                <w:sz w:val="18"/>
              </w:rPr>
            </w:pPr>
          </w:p>
        </w:tc>
      </w:tr>
      <w:tr>
        <w:trPr>
          <w:trHeight w:val="285" w:hRule="atLeast"/>
        </w:trPr>
        <w:tc>
          <w:tcPr>
            <w:tcW w:w="2878" w:type="dxa"/>
            <w:tcBorders>
              <w:top w:val="single" w:sz="4" w:space="0" w:color="585858"/>
              <w:bottom w:val="single" w:sz="4" w:space="0" w:color="585858"/>
            </w:tcBorders>
          </w:tcPr>
          <w:p>
            <w:pPr>
              <w:pStyle w:val="TableParagraph"/>
              <w:spacing w:before="42"/>
              <w:ind w:left="353"/>
              <w:rPr>
                <w:sz w:val="18"/>
              </w:rPr>
            </w:pPr>
            <w:r>
              <w:rPr>
                <w:sz w:val="18"/>
              </w:rPr>
              <w:t>Yes</w:t>
            </w:r>
          </w:p>
        </w:tc>
        <w:tc>
          <w:tcPr>
            <w:tcW w:w="747" w:type="dxa"/>
            <w:tcBorders>
              <w:top w:val="single" w:sz="4" w:space="0" w:color="585858"/>
              <w:bottom w:val="single" w:sz="4" w:space="0" w:color="585858"/>
            </w:tcBorders>
          </w:tcPr>
          <w:p>
            <w:pPr>
              <w:pStyle w:val="TableParagraph"/>
              <w:spacing w:before="42"/>
              <w:ind w:right="133"/>
              <w:jc w:val="right"/>
              <w:rPr>
                <w:sz w:val="18"/>
              </w:rPr>
            </w:pPr>
            <w:r>
              <w:rPr>
                <w:sz w:val="18"/>
              </w:rPr>
              <w:t>693</w:t>
            </w:r>
          </w:p>
        </w:tc>
        <w:tc>
          <w:tcPr>
            <w:tcW w:w="1269" w:type="dxa"/>
            <w:tcBorders>
              <w:top w:val="single" w:sz="4" w:space="0" w:color="585858"/>
              <w:bottom w:val="single" w:sz="4" w:space="0" w:color="585858"/>
            </w:tcBorders>
          </w:tcPr>
          <w:p>
            <w:pPr>
              <w:pStyle w:val="TableParagraph"/>
              <w:tabs>
                <w:tab w:pos="567" w:val="left" w:leader="none"/>
              </w:tabs>
              <w:spacing w:before="42"/>
              <w:ind w:right="306"/>
              <w:jc w:val="right"/>
              <w:rPr>
                <w:sz w:val="18"/>
              </w:rPr>
            </w:pPr>
            <w:r>
              <w:rPr>
                <w:sz w:val="18"/>
              </w:rPr>
              <w:t>17.0</w:t>
              <w:tab/>
              <w:t>%</w:t>
            </w:r>
          </w:p>
        </w:tc>
        <w:tc>
          <w:tcPr>
            <w:tcW w:w="895" w:type="dxa"/>
            <w:tcBorders>
              <w:top w:val="single" w:sz="4" w:space="0" w:color="585858"/>
              <w:bottom w:val="single" w:sz="4" w:space="0" w:color="585858"/>
            </w:tcBorders>
          </w:tcPr>
          <w:p>
            <w:pPr>
              <w:pStyle w:val="TableParagraph"/>
              <w:spacing w:before="42"/>
              <w:ind w:right="137"/>
              <w:jc w:val="right"/>
              <w:rPr>
                <w:sz w:val="18"/>
              </w:rPr>
            </w:pPr>
            <w:r>
              <w:rPr>
                <w:sz w:val="18"/>
              </w:rPr>
              <w:t>176</w:t>
            </w:r>
          </w:p>
        </w:tc>
        <w:tc>
          <w:tcPr>
            <w:tcW w:w="1345" w:type="dxa"/>
            <w:tcBorders>
              <w:top w:val="single" w:sz="4" w:space="0" w:color="585858"/>
              <w:bottom w:val="single" w:sz="4" w:space="0" w:color="585858"/>
            </w:tcBorders>
          </w:tcPr>
          <w:p>
            <w:pPr>
              <w:pStyle w:val="TableParagraph"/>
              <w:tabs>
                <w:tab w:pos="467" w:val="left" w:leader="none"/>
              </w:tabs>
              <w:spacing w:before="42"/>
              <w:ind w:right="382"/>
              <w:jc w:val="right"/>
              <w:rPr>
                <w:sz w:val="18"/>
              </w:rPr>
            </w:pPr>
            <w:r>
              <w:rPr>
                <w:sz w:val="18"/>
              </w:rPr>
              <w:t>8.7</w:t>
              <w:tab/>
              <w:t>%</w:t>
            </w:r>
          </w:p>
        </w:tc>
        <w:tc>
          <w:tcPr>
            <w:tcW w:w="869" w:type="dxa"/>
            <w:tcBorders>
              <w:top w:val="single" w:sz="4" w:space="0" w:color="585858"/>
              <w:bottom w:val="single" w:sz="4" w:space="0" w:color="585858"/>
            </w:tcBorders>
          </w:tcPr>
          <w:p>
            <w:pPr>
              <w:pStyle w:val="TableParagraph"/>
              <w:spacing w:before="42"/>
              <w:ind w:right="187"/>
              <w:jc w:val="right"/>
              <w:rPr>
                <w:sz w:val="18"/>
              </w:rPr>
            </w:pPr>
            <w:r>
              <w:rPr>
                <w:sz w:val="18"/>
              </w:rPr>
              <w:t>142</w:t>
            </w:r>
          </w:p>
        </w:tc>
        <w:tc>
          <w:tcPr>
            <w:tcW w:w="1369" w:type="dxa"/>
            <w:tcBorders>
              <w:top w:val="single" w:sz="4" w:space="0" w:color="585858"/>
              <w:bottom w:val="single" w:sz="4" w:space="0" w:color="585858"/>
            </w:tcBorders>
          </w:tcPr>
          <w:p>
            <w:pPr>
              <w:pStyle w:val="TableParagraph"/>
              <w:tabs>
                <w:tab w:pos="750" w:val="left" w:leader="none"/>
              </w:tabs>
              <w:spacing w:before="42"/>
              <w:ind w:left="178"/>
              <w:rPr>
                <w:sz w:val="18"/>
              </w:rPr>
            </w:pPr>
            <w:r>
              <w:rPr>
                <w:sz w:val="18"/>
              </w:rPr>
              <w:t>44.0</w:t>
              <w:tab/>
              <w:t>%</w:t>
            </w:r>
          </w:p>
        </w:tc>
      </w:tr>
      <w:tr>
        <w:trPr>
          <w:trHeight w:val="290" w:hRule="atLeast"/>
        </w:trPr>
        <w:tc>
          <w:tcPr>
            <w:tcW w:w="2878" w:type="dxa"/>
            <w:tcBorders>
              <w:top w:val="single" w:sz="4" w:space="0" w:color="585858"/>
              <w:bottom w:val="single" w:sz="4" w:space="0" w:color="000000"/>
            </w:tcBorders>
          </w:tcPr>
          <w:p>
            <w:pPr>
              <w:pStyle w:val="TableParagraph"/>
              <w:spacing w:before="42"/>
              <w:ind w:left="353"/>
              <w:rPr>
                <w:sz w:val="18"/>
              </w:rPr>
            </w:pPr>
            <w:r>
              <w:rPr>
                <w:sz w:val="18"/>
              </w:rPr>
              <w:t>No</w:t>
            </w:r>
          </w:p>
        </w:tc>
        <w:tc>
          <w:tcPr>
            <w:tcW w:w="747" w:type="dxa"/>
            <w:tcBorders>
              <w:top w:val="single" w:sz="4" w:space="0" w:color="585858"/>
              <w:bottom w:val="single" w:sz="4" w:space="0" w:color="000000"/>
            </w:tcBorders>
          </w:tcPr>
          <w:p>
            <w:pPr>
              <w:pStyle w:val="TableParagraph"/>
              <w:spacing w:before="42"/>
              <w:ind w:right="133"/>
              <w:jc w:val="right"/>
              <w:rPr>
                <w:sz w:val="18"/>
              </w:rPr>
            </w:pPr>
            <w:r>
              <w:rPr>
                <w:sz w:val="18"/>
              </w:rPr>
              <w:t>3,368</w:t>
            </w:r>
          </w:p>
        </w:tc>
        <w:tc>
          <w:tcPr>
            <w:tcW w:w="1269" w:type="dxa"/>
            <w:tcBorders>
              <w:top w:val="single" w:sz="4" w:space="0" w:color="585858"/>
              <w:bottom w:val="single" w:sz="4" w:space="0" w:color="000000"/>
            </w:tcBorders>
          </w:tcPr>
          <w:p>
            <w:pPr>
              <w:pStyle w:val="TableParagraph"/>
              <w:spacing w:before="42"/>
              <w:ind w:left="232"/>
              <w:rPr>
                <w:sz w:val="18"/>
              </w:rPr>
            </w:pPr>
            <w:r>
              <w:rPr>
                <w:sz w:val="18"/>
              </w:rPr>
              <w:t>82.8</w:t>
            </w:r>
          </w:p>
        </w:tc>
        <w:tc>
          <w:tcPr>
            <w:tcW w:w="895" w:type="dxa"/>
            <w:tcBorders>
              <w:top w:val="single" w:sz="4" w:space="0" w:color="585858"/>
              <w:bottom w:val="single" w:sz="4" w:space="0" w:color="000000"/>
            </w:tcBorders>
          </w:tcPr>
          <w:p>
            <w:pPr>
              <w:pStyle w:val="TableParagraph"/>
              <w:spacing w:before="42"/>
              <w:ind w:right="137"/>
              <w:jc w:val="right"/>
              <w:rPr>
                <w:sz w:val="18"/>
              </w:rPr>
            </w:pPr>
            <w:r>
              <w:rPr>
                <w:sz w:val="18"/>
              </w:rPr>
              <w:t>1,836</w:t>
            </w:r>
          </w:p>
        </w:tc>
        <w:tc>
          <w:tcPr>
            <w:tcW w:w="1345" w:type="dxa"/>
            <w:tcBorders>
              <w:top w:val="single" w:sz="4" w:space="0" w:color="585858"/>
              <w:bottom w:val="single" w:sz="4" w:space="0" w:color="000000"/>
            </w:tcBorders>
          </w:tcPr>
          <w:p>
            <w:pPr>
              <w:pStyle w:val="TableParagraph"/>
              <w:spacing w:before="42"/>
              <w:ind w:left="232"/>
              <w:rPr>
                <w:sz w:val="18"/>
              </w:rPr>
            </w:pPr>
            <w:r>
              <w:rPr>
                <w:sz w:val="18"/>
              </w:rPr>
              <w:t>91.0</w:t>
            </w:r>
          </w:p>
        </w:tc>
        <w:tc>
          <w:tcPr>
            <w:tcW w:w="869" w:type="dxa"/>
            <w:tcBorders>
              <w:top w:val="single" w:sz="4" w:space="0" w:color="585858"/>
              <w:bottom w:val="single" w:sz="4" w:space="0" w:color="000000"/>
            </w:tcBorders>
          </w:tcPr>
          <w:p>
            <w:pPr>
              <w:pStyle w:val="TableParagraph"/>
              <w:spacing w:before="42"/>
              <w:ind w:right="187"/>
              <w:jc w:val="right"/>
              <w:rPr>
                <w:sz w:val="18"/>
              </w:rPr>
            </w:pPr>
            <w:r>
              <w:rPr>
                <w:sz w:val="18"/>
              </w:rPr>
              <w:t>178</w:t>
            </w:r>
          </w:p>
        </w:tc>
        <w:tc>
          <w:tcPr>
            <w:tcW w:w="1369" w:type="dxa"/>
            <w:tcBorders>
              <w:top w:val="single" w:sz="4" w:space="0" w:color="585858"/>
              <w:bottom w:val="single" w:sz="4" w:space="0" w:color="000000"/>
            </w:tcBorders>
          </w:tcPr>
          <w:p>
            <w:pPr>
              <w:pStyle w:val="TableParagraph"/>
              <w:spacing w:before="42"/>
              <w:ind w:left="178"/>
              <w:rPr>
                <w:sz w:val="18"/>
              </w:rPr>
            </w:pPr>
            <w:r>
              <w:rPr>
                <w:sz w:val="18"/>
              </w:rPr>
              <w:t>55.1</w:t>
            </w:r>
          </w:p>
        </w:tc>
      </w:tr>
    </w:tbl>
    <w:p>
      <w:pPr>
        <w:spacing w:line="206" w:lineRule="exact" w:before="0"/>
        <w:ind w:left="0" w:right="114" w:firstLine="0"/>
        <w:jc w:val="right"/>
        <w:rPr>
          <w:sz w:val="18"/>
        </w:rPr>
      </w:pPr>
      <w:r>
        <w:rPr>
          <w:sz w:val="18"/>
        </w:rPr>
        <w:t>(continued)</w:t>
      </w:r>
    </w:p>
    <w:p>
      <w:pPr>
        <w:spacing w:after="0" w:line="206" w:lineRule="exact"/>
        <w:jc w:val="right"/>
        <w:rPr>
          <w:sz w:val="18"/>
        </w:rPr>
        <w:sectPr>
          <w:headerReference w:type="default" r:id="rId37"/>
          <w:footerReference w:type="default" r:id="rId38"/>
          <w:pgSz w:w="12240" w:h="15840"/>
          <w:pgMar w:header="0" w:footer="592" w:top="1020" w:bottom="780" w:left="1320" w:right="1320"/>
          <w:pgNumType w:start="6"/>
        </w:sectPr>
      </w:pPr>
    </w:p>
    <w:p>
      <w:pPr>
        <w:pStyle w:val="BodyText"/>
      </w:pPr>
      <w:r>
        <w:rPr/>
        <w:pict>
          <v:group style="position:absolute;margin-left:72pt;margin-top:73.400002pt;width:468pt;height:65.2pt;mso-position-horizontal-relative:page;mso-position-vertical-relative:page;z-index:-261086208" coordorigin="1440,1468" coordsize="9360,1304">
            <v:shape style="position:absolute;left:1440;top:1468;width:9360;height:1000" coordorigin="1440,1468" coordsize="9360,1000" path="m10800,1468l8644,1468,6480,1468,4320,1468,1440,1468,1440,2468,10800,2468,10800,2180,4320,2180,4320,2172,10800,2172,10800,1468e" filled="true" fillcolor="#09357d" stroked="false">
              <v:path arrowok="t"/>
              <v:fill type="solid"/>
            </v:shape>
            <v:line style="position:absolute" from="4320,2182" to="5040,2182" stroked="true" strokeweight=".2pt" strokecolor="#09357d">
              <v:stroke dashstyle="solid"/>
            </v:line>
            <v:rect style="position:absolute;left:5040;top:2180;width:8;height:4" filled="true" fillcolor="#09357d" stroked="false">
              <v:fill type="solid"/>
            </v:rect>
            <v:line style="position:absolute" from="5048,2182" to="5760,2182" stroked="true" strokeweight=".2pt" strokecolor="#09357d">
              <v:stroke dashstyle="solid"/>
            </v:line>
            <v:rect style="position:absolute;left:5760;top:2180;width:8;height:4" filled="true" fillcolor="#09357d" stroked="false">
              <v:fill type="solid"/>
            </v:rect>
            <v:line style="position:absolute" from="5768,2182" to="6480,2182" stroked="true" strokeweight=".2pt" strokecolor="#09357d">
              <v:stroke dashstyle="solid"/>
            </v:line>
            <v:rect style="position:absolute;left:6480;top:2180;width:8;height:4" filled="true" fillcolor="#09357d" stroked="false">
              <v:fill type="solid"/>
            </v:rect>
            <v:line style="position:absolute" from="6488,2182" to="7200,2182" stroked="true" strokeweight=".2pt" strokecolor="#09357d">
              <v:stroke dashstyle="solid"/>
            </v:line>
            <v:rect style="position:absolute;left:7200;top:2180;width:8;height:4" filled="true" fillcolor="#09357d" stroked="false">
              <v:fill type="solid"/>
            </v:rect>
            <v:line style="position:absolute" from="7208,2182" to="7924,2182" stroked="true" strokeweight=".2pt" strokecolor="#09357d">
              <v:stroke dashstyle="solid"/>
            </v:line>
            <v:rect style="position:absolute;left:7924;top:2180;width:8;height:4" filled="true" fillcolor="#09357d" stroked="false">
              <v:fill type="solid"/>
            </v:rect>
            <v:line style="position:absolute" from="7932,2182" to="8644,2182" stroked="true" strokeweight=".2pt" strokecolor="#09357d">
              <v:stroke dashstyle="solid"/>
            </v:line>
            <v:rect style="position:absolute;left:8644;top:2180;width:8;height:4" filled="true" fillcolor="#09357d" stroked="false">
              <v:fill type="solid"/>
            </v:rect>
            <v:line style="position:absolute" from="8652,2182" to="9364,2182" stroked="true" strokeweight=".2pt" strokecolor="#09357d">
              <v:stroke dashstyle="solid"/>
            </v:line>
            <v:rect style="position:absolute;left:9364;top:2180;width:9;height:4" filled="true" fillcolor="#09357d" stroked="false">
              <v:fill type="solid"/>
            </v:rect>
            <v:line style="position:absolute" from="9372,2182" to="10084,2182" stroked="true" strokeweight=".2pt" strokecolor="#09357d">
              <v:stroke dashstyle="solid"/>
            </v:line>
            <v:rect style="position:absolute;left:10084;top:2180;width:9;height:4" filled="true" fillcolor="#09357d" stroked="false">
              <v:fill type="solid"/>
            </v:rect>
            <v:line style="position:absolute" from="10092,2182" to="10800,2182" stroked="true" strokeweight=".2pt" strokecolor="#09357d">
              <v:stroke dashstyle="solid"/>
            </v:line>
            <v:rect style="position:absolute;left:1440;top:2476;width:9360;height:288" filled="true" fillcolor="#d9e1f3" stroked="false">
              <v:fill type="solid"/>
            </v:rect>
            <v:line style="position:absolute" from="1440,2472" to="4320,2472" stroked="true" strokeweight=".401pt" strokecolor="#585858">
              <v:stroke dashstyle="solid"/>
            </v:line>
            <v:line style="position:absolute" from="1440,2478" to="4320,2478" stroked="true" strokeweight=".2pt" strokecolor="#d9e1f3">
              <v:stroke dashstyle="solid"/>
            </v:line>
            <v:rect style="position:absolute;left:4320;top:2476;width:8;height:4" filled="true" fillcolor="#d9e1f3" stroked="false">
              <v:fill type="solid"/>
            </v:rect>
            <v:rect style="position:absolute;left:4320;top:2467;width:8;height:9" filled="true" fillcolor="#585858" stroked="false">
              <v:fill type="solid"/>
            </v:rect>
            <v:line style="position:absolute" from="4328,2472" to="5040,2472" stroked="true" strokeweight=".401pt" strokecolor="#585858">
              <v:stroke dashstyle="solid"/>
            </v:line>
            <v:line style="position:absolute" from="4328,2478" to="5040,2478" stroked="true" strokeweight=".2pt" strokecolor="#d9e1f3">
              <v:stroke dashstyle="solid"/>
            </v:line>
            <v:rect style="position:absolute;left:5040;top:2476;width:8;height:4" filled="true" fillcolor="#d9e1f3" stroked="false">
              <v:fill type="solid"/>
            </v:rect>
            <v:rect style="position:absolute;left:5040;top:2467;width:8;height:9" filled="true" fillcolor="#585858" stroked="false">
              <v:fill type="solid"/>
            </v:rect>
            <v:line style="position:absolute" from="5048,2472" to="5760,2472" stroked="true" strokeweight=".401pt" strokecolor="#585858">
              <v:stroke dashstyle="solid"/>
            </v:line>
            <v:line style="position:absolute" from="5048,2478" to="5760,2478" stroked="true" strokeweight=".2pt" strokecolor="#d9e1f3">
              <v:stroke dashstyle="solid"/>
            </v:line>
            <v:rect style="position:absolute;left:5760;top:2476;width:8;height:4" filled="true" fillcolor="#d9e1f3" stroked="false">
              <v:fill type="solid"/>
            </v:rect>
            <v:rect style="position:absolute;left:5760;top:2467;width:8;height:9" filled="true" fillcolor="#585858" stroked="false">
              <v:fill type="solid"/>
            </v:rect>
            <v:line style="position:absolute" from="5768,2472" to="6480,2472" stroked="true" strokeweight=".401pt" strokecolor="#585858">
              <v:stroke dashstyle="solid"/>
            </v:line>
            <v:line style="position:absolute" from="5768,2478" to="6480,2478" stroked="true" strokeweight=".2pt" strokecolor="#d9e1f3">
              <v:stroke dashstyle="solid"/>
            </v:line>
            <v:rect style="position:absolute;left:6480;top:2476;width:8;height:4" filled="true" fillcolor="#d9e1f3" stroked="false">
              <v:fill type="solid"/>
            </v:rect>
            <v:rect style="position:absolute;left:6480;top:2467;width:8;height:9" filled="true" fillcolor="#585858" stroked="false">
              <v:fill type="solid"/>
            </v:rect>
            <v:line style="position:absolute" from="6488,2472" to="7200,2472" stroked="true" strokeweight=".401pt" strokecolor="#585858">
              <v:stroke dashstyle="solid"/>
            </v:line>
            <v:line style="position:absolute" from="6488,2478" to="7200,2478" stroked="true" strokeweight=".2pt" strokecolor="#d9e1f3">
              <v:stroke dashstyle="solid"/>
            </v:line>
            <v:rect style="position:absolute;left:7200;top:2476;width:8;height:4" filled="true" fillcolor="#d9e1f3" stroked="false">
              <v:fill type="solid"/>
            </v:rect>
            <v:rect style="position:absolute;left:7200;top:2467;width:8;height:9" filled="true" fillcolor="#585858" stroked="false">
              <v:fill type="solid"/>
            </v:rect>
            <v:line style="position:absolute" from="7208,2472" to="7924,2472" stroked="true" strokeweight=".401pt" strokecolor="#585858">
              <v:stroke dashstyle="solid"/>
            </v:line>
            <v:line style="position:absolute" from="7208,2478" to="7924,2478" stroked="true" strokeweight=".2pt" strokecolor="#d9e1f3">
              <v:stroke dashstyle="solid"/>
            </v:line>
            <v:rect style="position:absolute;left:7924;top:2476;width:8;height:4" filled="true" fillcolor="#d9e1f3" stroked="false">
              <v:fill type="solid"/>
            </v:rect>
            <v:rect style="position:absolute;left:7924;top:2467;width:8;height:9" filled="true" fillcolor="#585858" stroked="false">
              <v:fill type="solid"/>
            </v:rect>
            <v:line style="position:absolute" from="7932,2472" to="8644,2472" stroked="true" strokeweight=".401pt" strokecolor="#585858">
              <v:stroke dashstyle="solid"/>
            </v:line>
            <v:line style="position:absolute" from="7932,2478" to="8644,2478" stroked="true" strokeweight=".2pt" strokecolor="#d9e1f3">
              <v:stroke dashstyle="solid"/>
            </v:line>
            <v:rect style="position:absolute;left:8644;top:2476;width:8;height:4" filled="true" fillcolor="#d9e1f3" stroked="false">
              <v:fill type="solid"/>
            </v:rect>
            <v:rect style="position:absolute;left:8644;top:2467;width:8;height:9" filled="true" fillcolor="#585858" stroked="false">
              <v:fill type="solid"/>
            </v:rect>
            <v:line style="position:absolute" from="8652,2472" to="9364,2472" stroked="true" strokeweight=".401pt" strokecolor="#585858">
              <v:stroke dashstyle="solid"/>
            </v:line>
            <v:line style="position:absolute" from="8652,2478" to="9364,2478" stroked="true" strokeweight=".2pt" strokecolor="#d9e1f3">
              <v:stroke dashstyle="solid"/>
            </v:line>
            <v:rect style="position:absolute;left:9364;top:2476;width:9;height:4" filled="true" fillcolor="#d9e1f3" stroked="false">
              <v:fill type="solid"/>
            </v:rect>
            <v:rect style="position:absolute;left:9364;top:2467;width:9;height:9" filled="true" fillcolor="#585858" stroked="false">
              <v:fill type="solid"/>
            </v:rect>
            <v:line style="position:absolute" from="9372,2472" to="10084,2472" stroked="true" strokeweight=".401pt" strokecolor="#585858">
              <v:stroke dashstyle="solid"/>
            </v:line>
            <v:line style="position:absolute" from="9372,2478" to="10084,2478" stroked="true" strokeweight=".2pt" strokecolor="#d9e1f3">
              <v:stroke dashstyle="solid"/>
            </v:line>
            <v:rect style="position:absolute;left:10084;top:2476;width:9;height:4" filled="true" fillcolor="#d9e1f3" stroked="false">
              <v:fill type="solid"/>
            </v:rect>
            <v:rect style="position:absolute;left:10084;top:2467;width:9;height:9" filled="true" fillcolor="#585858" stroked="false">
              <v:fill type="solid"/>
            </v:rect>
            <v:line style="position:absolute" from="10092,2472" to="10800,2472" stroked="true" strokeweight=".401pt" strokecolor="#585858">
              <v:stroke dashstyle="solid"/>
            </v:line>
            <v:line style="position:absolute" from="10092,2478" to="10800,2478" stroked="true" strokeweight=".2pt" strokecolor="#d9e1f3">
              <v:stroke dashstyle="solid"/>
            </v:line>
            <v:line style="position:absolute" from="1440,2768" to="1700,2768" stroked="true" strokeweight=".4pt" strokecolor="#585858">
              <v:stroke dashstyle="solid"/>
            </v:line>
            <v:rect style="position:absolute;left:1700;top:2764;width:9;height:8" filled="true" fillcolor="#585858" stroked="false">
              <v:fill type="solid"/>
            </v:rect>
            <v:line style="position:absolute" from="1708,2768" to="4320,2768" stroked="true" strokeweight=".4pt" strokecolor="#585858">
              <v:stroke dashstyle="solid"/>
            </v:line>
            <v:rect style="position:absolute;left:4320;top:2764;width:8;height:8" filled="true" fillcolor="#585858" stroked="false">
              <v:fill type="solid"/>
            </v:rect>
            <v:line style="position:absolute" from="4328,2768" to="5040,2768" stroked="true" strokeweight=".4pt" strokecolor="#585858">
              <v:stroke dashstyle="solid"/>
            </v:line>
            <v:rect style="position:absolute;left:5040;top:2764;width:8;height:8" filled="true" fillcolor="#585858" stroked="false">
              <v:fill type="solid"/>
            </v:rect>
            <v:line style="position:absolute" from="5048,2768" to="5760,2768" stroked="true" strokeweight=".4pt" strokecolor="#585858">
              <v:stroke dashstyle="solid"/>
            </v:line>
            <v:rect style="position:absolute;left:5760;top:2764;width:8;height:8" filled="true" fillcolor="#585858" stroked="false">
              <v:fill type="solid"/>
            </v:rect>
            <v:line style="position:absolute" from="5768,2768" to="6480,2768" stroked="true" strokeweight=".4pt" strokecolor="#585858">
              <v:stroke dashstyle="solid"/>
            </v:line>
            <v:rect style="position:absolute;left:6480;top:2764;width:8;height:8" filled="true" fillcolor="#585858" stroked="false">
              <v:fill type="solid"/>
            </v:rect>
            <v:line style="position:absolute" from="6488,2768" to="7200,2768" stroked="true" strokeweight=".4pt" strokecolor="#585858">
              <v:stroke dashstyle="solid"/>
            </v:line>
            <v:rect style="position:absolute;left:7200;top:2764;width:8;height:8" filled="true" fillcolor="#585858" stroked="false">
              <v:fill type="solid"/>
            </v:rect>
            <v:line style="position:absolute" from="7208,2768" to="7924,2768" stroked="true" strokeweight=".4pt" strokecolor="#585858">
              <v:stroke dashstyle="solid"/>
            </v:line>
            <v:rect style="position:absolute;left:7924;top:2764;width:8;height:8" filled="true" fillcolor="#585858" stroked="false">
              <v:fill type="solid"/>
            </v:rect>
            <v:line style="position:absolute" from="7932,2768" to="8644,2768" stroked="true" strokeweight=".4pt" strokecolor="#585858">
              <v:stroke dashstyle="solid"/>
            </v:line>
            <v:rect style="position:absolute;left:8644;top:2764;width:8;height:8" filled="true" fillcolor="#585858" stroked="false">
              <v:fill type="solid"/>
            </v:rect>
            <v:line style="position:absolute" from="8652,2768" to="9364,2768" stroked="true" strokeweight=".4pt" strokecolor="#585858">
              <v:stroke dashstyle="solid"/>
            </v:line>
            <v:rect style="position:absolute;left:9364;top:2764;width:9;height:8" filled="true" fillcolor="#585858" stroked="false">
              <v:fill type="solid"/>
            </v:rect>
            <v:line style="position:absolute" from="9372,2768" to="10084,2768" stroked="true" strokeweight=".4pt" strokecolor="#585858">
              <v:stroke dashstyle="solid"/>
            </v:line>
            <v:rect style="position:absolute;left:10084;top:2764;width:9;height:8" filled="true" fillcolor="#585858" stroked="false">
              <v:fill type="solid"/>
            </v:rect>
            <v:line style="position:absolute" from="10092,2768" to="10800,2768" stroked="true" strokeweight=".4pt" strokecolor="#585858">
              <v:stroke dashstyle="solid"/>
            </v:line>
            <w10:wrap type="none"/>
          </v:group>
        </w:pict>
      </w:r>
    </w:p>
    <w:p>
      <w:pPr>
        <w:pStyle w:val="BodyText"/>
        <w:spacing w:before="5"/>
        <w:rPr>
          <w:sz w:val="1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07"/>
        <w:gridCol w:w="873"/>
        <w:gridCol w:w="1392"/>
        <w:gridCol w:w="770"/>
        <w:gridCol w:w="1468"/>
        <w:gridCol w:w="696"/>
        <w:gridCol w:w="1360"/>
      </w:tblGrid>
      <w:tr>
        <w:trPr>
          <w:trHeight w:val="1300" w:hRule="atLeast"/>
        </w:trPr>
        <w:tc>
          <w:tcPr>
            <w:tcW w:w="2807" w:type="dxa"/>
          </w:tcPr>
          <w:p>
            <w:pPr>
              <w:pStyle w:val="TableParagraph"/>
              <w:spacing w:before="0"/>
              <w:rPr>
                <w:sz w:val="20"/>
              </w:rPr>
            </w:pPr>
          </w:p>
          <w:p>
            <w:pPr>
              <w:pStyle w:val="TableParagraph"/>
              <w:spacing w:before="0"/>
              <w:rPr>
                <w:sz w:val="20"/>
              </w:rPr>
            </w:pPr>
          </w:p>
          <w:p>
            <w:pPr>
              <w:pStyle w:val="TableParagraph"/>
              <w:spacing w:before="3"/>
              <w:rPr>
                <w:sz w:val="25"/>
              </w:rPr>
            </w:pPr>
          </w:p>
          <w:p>
            <w:pPr>
              <w:pStyle w:val="TableParagraph"/>
              <w:spacing w:before="0"/>
              <w:ind w:right="753"/>
              <w:jc w:val="right"/>
              <w:rPr>
                <w:b/>
                <w:sz w:val="18"/>
              </w:rPr>
            </w:pPr>
            <w:r>
              <w:rPr>
                <w:b/>
                <w:color w:val="FFFFFF"/>
                <w:spacing w:val="-1"/>
                <w:sz w:val="18"/>
              </w:rPr>
              <w:t>Characteristic</w:t>
            </w:r>
          </w:p>
          <w:p>
            <w:pPr>
              <w:pStyle w:val="TableParagraph"/>
              <w:spacing w:before="89"/>
              <w:ind w:right="717"/>
              <w:jc w:val="right"/>
              <w:rPr>
                <w:sz w:val="18"/>
              </w:rPr>
            </w:pPr>
            <w:r>
              <w:rPr>
                <w:sz w:val="18"/>
              </w:rPr>
              <w:t>Conditions or</w:t>
            </w:r>
            <w:r>
              <w:rPr>
                <w:spacing w:val="-7"/>
                <w:sz w:val="18"/>
              </w:rPr>
              <w:t> </w:t>
            </w:r>
            <w:r>
              <w:rPr>
                <w:sz w:val="18"/>
              </w:rPr>
              <w:t>Disabilities</w:t>
            </w:r>
          </w:p>
        </w:tc>
        <w:tc>
          <w:tcPr>
            <w:tcW w:w="873" w:type="dxa"/>
          </w:tcPr>
          <w:p>
            <w:pPr>
              <w:pStyle w:val="TableParagraph"/>
              <w:spacing w:before="5"/>
              <w:rPr>
                <w:sz w:val="21"/>
              </w:rPr>
            </w:pPr>
          </w:p>
          <w:p>
            <w:pPr>
              <w:pStyle w:val="TableParagraph"/>
              <w:spacing w:before="0"/>
              <w:ind w:left="367" w:right="-112" w:firstLine="148"/>
              <w:rPr>
                <w:b/>
                <w:sz w:val="18"/>
              </w:rPr>
            </w:pPr>
            <w:r>
              <w:rPr>
                <w:b/>
                <w:color w:val="FFFFFF"/>
                <w:sz w:val="18"/>
              </w:rPr>
              <w:t>Unde Cisge</w:t>
            </w:r>
          </w:p>
          <w:p>
            <w:pPr>
              <w:pStyle w:val="TableParagraph"/>
              <w:spacing w:before="90"/>
              <w:ind w:left="387"/>
              <w:rPr>
                <w:b/>
                <w:sz w:val="18"/>
              </w:rPr>
            </w:pPr>
            <w:r>
              <w:rPr>
                <w:b/>
                <w:color w:val="FFFFFF"/>
                <w:sz w:val="18"/>
              </w:rPr>
              <w:t>#</w:t>
            </w:r>
          </w:p>
        </w:tc>
        <w:tc>
          <w:tcPr>
            <w:tcW w:w="1392" w:type="dxa"/>
          </w:tcPr>
          <w:p>
            <w:pPr>
              <w:pStyle w:val="TableParagraph"/>
              <w:spacing w:before="5"/>
              <w:rPr>
                <w:sz w:val="21"/>
              </w:rPr>
            </w:pPr>
          </w:p>
          <w:p>
            <w:pPr>
              <w:pStyle w:val="TableParagraph"/>
              <w:spacing w:before="0"/>
              <w:ind w:left="-15" w:right="296" w:firstLine="107"/>
              <w:rPr>
                <w:b/>
                <w:sz w:val="18"/>
              </w:rPr>
            </w:pPr>
            <w:r>
              <w:rPr>
                <w:b/>
                <w:color w:val="FFFFFF"/>
                <w:sz w:val="18"/>
              </w:rPr>
              <w:t>rgraduate nder Women</w:t>
            </w:r>
          </w:p>
          <w:p>
            <w:pPr>
              <w:pStyle w:val="TableParagraph"/>
              <w:spacing w:before="90"/>
              <w:ind w:left="202"/>
              <w:rPr>
                <w:b/>
                <w:sz w:val="18"/>
              </w:rPr>
            </w:pPr>
            <w:r>
              <w:rPr>
                <w:b/>
                <w:color w:val="FFFFFF"/>
                <w:sz w:val="18"/>
              </w:rPr>
              <w:t>%</w:t>
            </w:r>
          </w:p>
        </w:tc>
        <w:tc>
          <w:tcPr>
            <w:tcW w:w="770" w:type="dxa"/>
          </w:tcPr>
          <w:p>
            <w:pPr>
              <w:pStyle w:val="TableParagraph"/>
              <w:spacing w:before="5"/>
              <w:rPr>
                <w:sz w:val="21"/>
              </w:rPr>
            </w:pPr>
          </w:p>
          <w:p>
            <w:pPr>
              <w:pStyle w:val="TableParagraph"/>
              <w:spacing w:before="0"/>
              <w:ind w:left="410" w:right="-144" w:hanging="37"/>
              <w:jc w:val="center"/>
              <w:rPr>
                <w:b/>
                <w:sz w:val="18"/>
              </w:rPr>
            </w:pPr>
            <w:r>
              <w:rPr>
                <w:b/>
                <w:color w:val="FFFFFF"/>
                <w:sz w:val="18"/>
              </w:rPr>
              <w:t>Unde Cisge</w:t>
            </w:r>
          </w:p>
          <w:p>
            <w:pPr>
              <w:pStyle w:val="TableParagraph"/>
              <w:spacing w:before="90"/>
              <w:ind w:right="103"/>
              <w:jc w:val="center"/>
              <w:rPr>
                <w:b/>
                <w:sz w:val="18"/>
              </w:rPr>
            </w:pPr>
            <w:r>
              <w:rPr>
                <w:b/>
                <w:color w:val="FFFFFF"/>
                <w:sz w:val="18"/>
              </w:rPr>
              <w:t>#</w:t>
            </w:r>
          </w:p>
        </w:tc>
        <w:tc>
          <w:tcPr>
            <w:tcW w:w="1468" w:type="dxa"/>
          </w:tcPr>
          <w:p>
            <w:pPr>
              <w:pStyle w:val="TableParagraph"/>
              <w:spacing w:before="5"/>
              <w:rPr>
                <w:sz w:val="21"/>
              </w:rPr>
            </w:pPr>
          </w:p>
          <w:p>
            <w:pPr>
              <w:pStyle w:val="TableParagraph"/>
              <w:spacing w:before="0"/>
              <w:ind w:left="131" w:right="516" w:hanging="37"/>
              <w:rPr>
                <w:b/>
                <w:sz w:val="18"/>
              </w:rPr>
            </w:pPr>
            <w:r>
              <w:rPr>
                <w:b/>
                <w:color w:val="FFFFFF"/>
                <w:sz w:val="18"/>
              </w:rPr>
              <w:t>rgraduate nder Men</w:t>
            </w:r>
          </w:p>
          <w:p>
            <w:pPr>
              <w:pStyle w:val="TableParagraph"/>
              <w:spacing w:before="90"/>
              <w:ind w:left="204"/>
              <w:rPr>
                <w:b/>
                <w:sz w:val="18"/>
              </w:rPr>
            </w:pPr>
            <w:r>
              <w:rPr>
                <w:b/>
                <w:color w:val="FFFFFF"/>
                <w:sz w:val="18"/>
              </w:rPr>
              <w:t>%</w:t>
            </w:r>
          </w:p>
        </w:tc>
        <w:tc>
          <w:tcPr>
            <w:tcW w:w="696" w:type="dxa"/>
          </w:tcPr>
          <w:p>
            <w:pPr>
              <w:pStyle w:val="TableParagraph"/>
              <w:spacing w:before="39"/>
              <w:ind w:left="132" w:right="-144"/>
              <w:rPr>
                <w:b/>
                <w:sz w:val="18"/>
              </w:rPr>
            </w:pPr>
            <w:r>
              <w:rPr>
                <w:b/>
                <w:color w:val="FFFFFF"/>
                <w:sz w:val="18"/>
              </w:rPr>
              <w:t>Transge</w:t>
            </w:r>
          </w:p>
          <w:p>
            <w:pPr>
              <w:pStyle w:val="TableParagraph"/>
              <w:spacing w:before="1"/>
              <w:ind w:left="288" w:right="-96" w:firstLine="244"/>
              <w:rPr>
                <w:b/>
                <w:sz w:val="18"/>
              </w:rPr>
            </w:pPr>
            <w:r>
              <w:rPr>
                <w:b/>
                <w:color w:val="FFFFFF"/>
                <w:sz w:val="18"/>
              </w:rPr>
              <w:t>No Unde</w:t>
            </w:r>
          </w:p>
          <w:p>
            <w:pPr>
              <w:pStyle w:val="TableParagraph"/>
              <w:spacing w:before="90"/>
              <w:ind w:left="208"/>
              <w:rPr>
                <w:b/>
                <w:sz w:val="18"/>
              </w:rPr>
            </w:pPr>
            <w:r>
              <w:rPr>
                <w:b/>
                <w:color w:val="FFFFFF"/>
                <w:sz w:val="18"/>
              </w:rPr>
              <w:t>#</w:t>
            </w:r>
          </w:p>
        </w:tc>
        <w:tc>
          <w:tcPr>
            <w:tcW w:w="1360" w:type="dxa"/>
          </w:tcPr>
          <w:p>
            <w:pPr>
              <w:pStyle w:val="TableParagraph"/>
              <w:spacing w:before="39"/>
              <w:ind w:left="43" w:right="210" w:firstLine="96"/>
              <w:rPr>
                <w:b/>
                <w:sz w:val="18"/>
              </w:rPr>
            </w:pPr>
            <w:r>
              <w:rPr>
                <w:b/>
                <w:color w:val="FFFFFF"/>
                <w:sz w:val="18"/>
              </w:rPr>
              <w:t>nder and/or nbinary rgraduates</w:t>
            </w:r>
          </w:p>
          <w:p>
            <w:pPr>
              <w:pStyle w:val="TableParagraph"/>
              <w:spacing w:before="91"/>
              <w:ind w:left="204"/>
              <w:rPr>
                <w:b/>
                <w:sz w:val="18"/>
              </w:rPr>
            </w:pPr>
            <w:r>
              <w:rPr>
                <w:b/>
                <w:color w:val="FFFFFF"/>
                <w:sz w:val="18"/>
              </w:rPr>
              <w:t>%</w:t>
            </w:r>
          </w:p>
        </w:tc>
      </w:tr>
      <w:tr>
        <w:trPr>
          <w:trHeight w:val="290" w:hRule="atLeast"/>
        </w:trPr>
        <w:tc>
          <w:tcPr>
            <w:tcW w:w="2807" w:type="dxa"/>
            <w:tcBorders>
              <w:bottom w:val="single" w:sz="4" w:space="0" w:color="585858"/>
            </w:tcBorders>
          </w:tcPr>
          <w:p>
            <w:pPr>
              <w:pStyle w:val="TableParagraph"/>
              <w:spacing w:before="47"/>
              <w:ind w:left="373"/>
              <w:rPr>
                <w:sz w:val="18"/>
              </w:rPr>
            </w:pPr>
            <w:r>
              <w:rPr>
                <w:sz w:val="18"/>
              </w:rPr>
              <w:t>Autism Spectrum Disorders</w:t>
            </w:r>
          </w:p>
        </w:tc>
        <w:tc>
          <w:tcPr>
            <w:tcW w:w="873" w:type="dxa"/>
            <w:tcBorders>
              <w:bottom w:val="single" w:sz="4" w:space="0" w:color="585858"/>
            </w:tcBorders>
          </w:tcPr>
          <w:p>
            <w:pPr>
              <w:pStyle w:val="TableParagraph"/>
              <w:spacing w:before="47"/>
              <w:ind w:right="179"/>
              <w:jc w:val="right"/>
              <w:rPr>
                <w:sz w:val="18"/>
              </w:rPr>
            </w:pPr>
            <w:r>
              <w:rPr>
                <w:sz w:val="18"/>
              </w:rPr>
              <w:t>20</w:t>
            </w:r>
          </w:p>
        </w:tc>
        <w:tc>
          <w:tcPr>
            <w:tcW w:w="1392" w:type="dxa"/>
            <w:tcBorders>
              <w:bottom w:val="single" w:sz="4" w:space="0" w:color="585858"/>
            </w:tcBorders>
          </w:tcPr>
          <w:p>
            <w:pPr>
              <w:pStyle w:val="TableParagraph"/>
              <w:tabs>
                <w:tab w:pos="1097" w:val="left" w:leader="none"/>
              </w:tabs>
              <w:spacing w:before="47"/>
              <w:ind w:left="282"/>
              <w:rPr>
                <w:sz w:val="18"/>
              </w:rPr>
            </w:pPr>
            <w:r>
              <w:rPr>
                <w:sz w:val="18"/>
              </w:rPr>
              <w:t>0.5</w:t>
              <w:tab/>
              <w:t>%</w:t>
            </w:r>
          </w:p>
        </w:tc>
        <w:tc>
          <w:tcPr>
            <w:tcW w:w="770" w:type="dxa"/>
            <w:tcBorders>
              <w:bottom w:val="single" w:sz="4" w:space="0" w:color="585858"/>
            </w:tcBorders>
          </w:tcPr>
          <w:p>
            <w:pPr>
              <w:pStyle w:val="TableParagraph"/>
              <w:spacing w:before="47"/>
              <w:ind w:right="181"/>
              <w:jc w:val="right"/>
              <w:rPr>
                <w:sz w:val="18"/>
              </w:rPr>
            </w:pPr>
            <w:r>
              <w:rPr>
                <w:sz w:val="18"/>
              </w:rPr>
              <w:t>23</w:t>
            </w:r>
          </w:p>
        </w:tc>
        <w:tc>
          <w:tcPr>
            <w:tcW w:w="1468" w:type="dxa"/>
            <w:tcBorders>
              <w:bottom w:val="single" w:sz="4" w:space="0" w:color="585858"/>
            </w:tcBorders>
          </w:tcPr>
          <w:p>
            <w:pPr>
              <w:pStyle w:val="TableParagraph"/>
              <w:tabs>
                <w:tab w:pos="815" w:val="left" w:leader="none"/>
              </w:tabs>
              <w:spacing w:before="47"/>
              <w:ind w:right="206"/>
              <w:jc w:val="right"/>
              <w:rPr>
                <w:sz w:val="18"/>
              </w:rPr>
            </w:pPr>
            <w:r>
              <w:rPr>
                <w:sz w:val="18"/>
              </w:rPr>
              <w:t>1.1</w:t>
              <w:tab/>
              <w:t>%</w:t>
            </w:r>
          </w:p>
        </w:tc>
        <w:tc>
          <w:tcPr>
            <w:tcW w:w="696" w:type="dxa"/>
            <w:tcBorders>
              <w:bottom w:val="single" w:sz="4" w:space="0" w:color="585858"/>
            </w:tcBorders>
          </w:tcPr>
          <w:p>
            <w:pPr>
              <w:pStyle w:val="TableParagraph"/>
              <w:spacing w:before="47"/>
              <w:ind w:right="181"/>
              <w:jc w:val="right"/>
              <w:rPr>
                <w:sz w:val="18"/>
              </w:rPr>
            </w:pPr>
            <w:r>
              <w:rPr>
                <w:sz w:val="18"/>
              </w:rPr>
              <w:t>31</w:t>
            </w:r>
          </w:p>
        </w:tc>
        <w:tc>
          <w:tcPr>
            <w:tcW w:w="1360" w:type="dxa"/>
            <w:tcBorders>
              <w:bottom w:val="single" w:sz="4" w:space="0" w:color="585858"/>
            </w:tcBorders>
          </w:tcPr>
          <w:p>
            <w:pPr>
              <w:pStyle w:val="TableParagraph"/>
              <w:tabs>
                <w:tab w:pos="807" w:val="left" w:leader="none"/>
              </w:tabs>
              <w:spacing w:before="47"/>
              <w:ind w:right="105"/>
              <w:jc w:val="right"/>
              <w:rPr>
                <w:sz w:val="18"/>
              </w:rPr>
            </w:pPr>
            <w:r>
              <w:rPr>
                <w:sz w:val="18"/>
              </w:rPr>
              <w:t>9.6</w:t>
              <w:tab/>
              <w:t>%</w:t>
            </w:r>
          </w:p>
        </w:tc>
      </w:tr>
      <w:tr>
        <w:trPr>
          <w:trHeight w:val="494" w:hRule="atLeast"/>
        </w:trPr>
        <w:tc>
          <w:tcPr>
            <w:tcW w:w="2807" w:type="dxa"/>
            <w:tcBorders>
              <w:top w:val="single" w:sz="4" w:space="0" w:color="585858"/>
              <w:bottom w:val="single" w:sz="4" w:space="0" w:color="585858"/>
            </w:tcBorders>
          </w:tcPr>
          <w:p>
            <w:pPr>
              <w:pStyle w:val="TableParagraph"/>
              <w:spacing w:before="42"/>
              <w:ind w:left="373" w:right="923"/>
              <w:rPr>
                <w:sz w:val="18"/>
              </w:rPr>
            </w:pPr>
            <w:r>
              <w:rPr>
                <w:sz w:val="18"/>
              </w:rPr>
              <w:t>Blindness of visual impairment</w:t>
            </w:r>
          </w:p>
        </w:tc>
        <w:tc>
          <w:tcPr>
            <w:tcW w:w="873" w:type="dxa"/>
            <w:tcBorders>
              <w:top w:val="single" w:sz="4" w:space="0" w:color="585858"/>
              <w:bottom w:val="single" w:sz="4" w:space="0" w:color="585858"/>
            </w:tcBorders>
          </w:tcPr>
          <w:p>
            <w:pPr>
              <w:pStyle w:val="TableParagraph"/>
              <w:spacing w:before="42"/>
              <w:ind w:right="179"/>
              <w:jc w:val="right"/>
              <w:rPr>
                <w:sz w:val="18"/>
              </w:rPr>
            </w:pPr>
            <w:r>
              <w:rPr>
                <w:sz w:val="18"/>
              </w:rPr>
              <w:t>25</w:t>
            </w:r>
          </w:p>
        </w:tc>
        <w:tc>
          <w:tcPr>
            <w:tcW w:w="1392" w:type="dxa"/>
            <w:tcBorders>
              <w:top w:val="single" w:sz="4" w:space="0" w:color="585858"/>
              <w:bottom w:val="single" w:sz="4" w:space="0" w:color="585858"/>
            </w:tcBorders>
          </w:tcPr>
          <w:p>
            <w:pPr>
              <w:pStyle w:val="TableParagraph"/>
              <w:spacing w:before="42"/>
              <w:ind w:left="282"/>
              <w:rPr>
                <w:sz w:val="18"/>
              </w:rPr>
            </w:pPr>
            <w:r>
              <w:rPr>
                <w:sz w:val="18"/>
              </w:rPr>
              <w:t>0.6</w:t>
            </w:r>
          </w:p>
        </w:tc>
        <w:tc>
          <w:tcPr>
            <w:tcW w:w="770"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468" w:type="dxa"/>
            <w:tcBorders>
              <w:top w:val="single" w:sz="4" w:space="0" w:color="585858"/>
              <w:bottom w:val="single" w:sz="4" w:space="0" w:color="585858"/>
            </w:tcBorders>
          </w:tcPr>
          <w:p>
            <w:pPr>
              <w:pStyle w:val="TableParagraph"/>
              <w:tabs>
                <w:tab w:pos="923" w:val="left" w:leader="none"/>
              </w:tabs>
              <w:spacing w:before="42"/>
              <w:ind w:right="208"/>
              <w:jc w:val="right"/>
              <w:rPr>
                <w:sz w:val="18"/>
              </w:rPr>
            </w:pPr>
            <w:r>
              <w:rPr>
                <w:sz w:val="18"/>
              </w:rPr>
              <w:t>0.1</w:t>
              <w:tab/>
              <w:t>!</w:t>
            </w:r>
          </w:p>
        </w:tc>
        <w:tc>
          <w:tcPr>
            <w:tcW w:w="696"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60" w:type="dxa"/>
            <w:tcBorders>
              <w:top w:val="single" w:sz="4" w:space="0" w:color="585858"/>
              <w:bottom w:val="single" w:sz="4" w:space="0" w:color="585858"/>
            </w:tcBorders>
          </w:tcPr>
          <w:p>
            <w:pPr>
              <w:pStyle w:val="TableParagraph"/>
              <w:tabs>
                <w:tab w:pos="915" w:val="left" w:leader="none"/>
              </w:tabs>
              <w:spacing w:before="42"/>
              <w:ind w:right="108"/>
              <w:jc w:val="right"/>
              <w:rPr>
                <w:sz w:val="18"/>
              </w:rPr>
            </w:pPr>
            <w:r>
              <w:rPr>
                <w:sz w:val="18"/>
              </w:rPr>
              <w:t>1.9</w:t>
              <w:tab/>
              <w:t>!</w:t>
            </w:r>
          </w:p>
        </w:tc>
      </w:tr>
      <w:tr>
        <w:trPr>
          <w:trHeight w:val="290" w:hRule="atLeast"/>
        </w:trPr>
        <w:tc>
          <w:tcPr>
            <w:tcW w:w="2807" w:type="dxa"/>
            <w:tcBorders>
              <w:top w:val="single" w:sz="4" w:space="0" w:color="585858"/>
              <w:bottom w:val="single" w:sz="4" w:space="0" w:color="585858"/>
            </w:tcBorders>
          </w:tcPr>
          <w:p>
            <w:pPr>
              <w:pStyle w:val="TableParagraph"/>
              <w:spacing w:before="42"/>
              <w:ind w:left="373"/>
              <w:rPr>
                <w:sz w:val="18"/>
              </w:rPr>
            </w:pPr>
            <w:r>
              <w:rPr>
                <w:sz w:val="18"/>
              </w:rPr>
              <w:t>Brain injury</w:t>
            </w:r>
          </w:p>
        </w:tc>
        <w:tc>
          <w:tcPr>
            <w:tcW w:w="873" w:type="dxa"/>
            <w:tcBorders>
              <w:top w:val="single" w:sz="4" w:space="0" w:color="585858"/>
              <w:bottom w:val="single" w:sz="4" w:space="0" w:color="585858"/>
            </w:tcBorders>
          </w:tcPr>
          <w:p>
            <w:pPr>
              <w:pStyle w:val="TableParagraph"/>
              <w:spacing w:before="42"/>
              <w:ind w:right="180"/>
              <w:jc w:val="right"/>
              <w:rPr>
                <w:sz w:val="18"/>
              </w:rPr>
            </w:pPr>
            <w:r>
              <w:rPr>
                <w:sz w:val="18"/>
              </w:rPr>
              <w:t>17</w:t>
            </w:r>
          </w:p>
        </w:tc>
        <w:tc>
          <w:tcPr>
            <w:tcW w:w="1392" w:type="dxa"/>
            <w:tcBorders>
              <w:top w:val="single" w:sz="4" w:space="0" w:color="585858"/>
              <w:bottom w:val="single" w:sz="4" w:space="0" w:color="585858"/>
            </w:tcBorders>
          </w:tcPr>
          <w:p>
            <w:pPr>
              <w:pStyle w:val="TableParagraph"/>
              <w:spacing w:before="42"/>
              <w:ind w:left="281"/>
              <w:rPr>
                <w:sz w:val="18"/>
              </w:rPr>
            </w:pPr>
            <w:r>
              <w:rPr>
                <w:sz w:val="18"/>
              </w:rPr>
              <w:t>0.4</w:t>
            </w:r>
          </w:p>
        </w:tc>
        <w:tc>
          <w:tcPr>
            <w:tcW w:w="770" w:type="dxa"/>
            <w:tcBorders>
              <w:top w:val="single" w:sz="4" w:space="0" w:color="585858"/>
              <w:bottom w:val="single" w:sz="4" w:space="0" w:color="585858"/>
            </w:tcBorders>
          </w:tcPr>
          <w:p>
            <w:pPr>
              <w:pStyle w:val="TableParagraph"/>
              <w:spacing w:before="42"/>
              <w:ind w:right="182"/>
              <w:jc w:val="right"/>
              <w:rPr>
                <w:sz w:val="18"/>
              </w:rPr>
            </w:pPr>
            <w:r>
              <w:rPr>
                <w:sz w:val="18"/>
              </w:rPr>
              <w:t>&lt;10</w:t>
            </w:r>
          </w:p>
        </w:tc>
        <w:tc>
          <w:tcPr>
            <w:tcW w:w="1468" w:type="dxa"/>
            <w:tcBorders>
              <w:top w:val="single" w:sz="4" w:space="0" w:color="585858"/>
              <w:bottom w:val="single" w:sz="4" w:space="0" w:color="585858"/>
            </w:tcBorders>
          </w:tcPr>
          <w:p>
            <w:pPr>
              <w:pStyle w:val="TableParagraph"/>
              <w:tabs>
                <w:tab w:pos="923" w:val="left" w:leader="none"/>
              </w:tabs>
              <w:spacing w:before="42"/>
              <w:ind w:right="208"/>
              <w:jc w:val="right"/>
              <w:rPr>
                <w:sz w:val="18"/>
              </w:rPr>
            </w:pPr>
            <w:r>
              <w:rPr>
                <w:sz w:val="18"/>
              </w:rPr>
              <w:t>0.3</w:t>
              <w:tab/>
              <w:t>!</w:t>
            </w:r>
          </w:p>
        </w:tc>
        <w:tc>
          <w:tcPr>
            <w:tcW w:w="696" w:type="dxa"/>
            <w:tcBorders>
              <w:top w:val="single" w:sz="4" w:space="0" w:color="585858"/>
              <w:bottom w:val="single" w:sz="4" w:space="0" w:color="585858"/>
            </w:tcBorders>
          </w:tcPr>
          <w:p>
            <w:pPr>
              <w:pStyle w:val="TableParagraph"/>
              <w:spacing w:before="42"/>
              <w:ind w:right="182"/>
              <w:jc w:val="right"/>
              <w:rPr>
                <w:sz w:val="18"/>
              </w:rPr>
            </w:pPr>
            <w:r>
              <w:rPr>
                <w:sz w:val="18"/>
              </w:rPr>
              <w:t>&lt;10</w:t>
            </w:r>
          </w:p>
        </w:tc>
        <w:tc>
          <w:tcPr>
            <w:tcW w:w="1360" w:type="dxa"/>
            <w:tcBorders>
              <w:top w:val="single" w:sz="4" w:space="0" w:color="585858"/>
              <w:bottom w:val="single" w:sz="4" w:space="0" w:color="585858"/>
            </w:tcBorders>
          </w:tcPr>
          <w:p>
            <w:pPr>
              <w:pStyle w:val="TableParagraph"/>
              <w:tabs>
                <w:tab w:pos="915" w:val="left" w:leader="none"/>
              </w:tabs>
              <w:spacing w:before="42"/>
              <w:ind w:right="108"/>
              <w:jc w:val="right"/>
              <w:rPr>
                <w:sz w:val="18"/>
              </w:rPr>
            </w:pPr>
            <w:r>
              <w:rPr>
                <w:sz w:val="18"/>
              </w:rPr>
              <w:t>1.2</w:t>
              <w:tab/>
              <w:t>!</w:t>
            </w:r>
          </w:p>
        </w:tc>
      </w:tr>
      <w:tr>
        <w:trPr>
          <w:trHeight w:val="285" w:hRule="atLeast"/>
        </w:trPr>
        <w:tc>
          <w:tcPr>
            <w:tcW w:w="2807" w:type="dxa"/>
            <w:tcBorders>
              <w:top w:val="single" w:sz="4" w:space="0" w:color="585858"/>
              <w:bottom w:val="single" w:sz="4" w:space="0" w:color="585858"/>
            </w:tcBorders>
          </w:tcPr>
          <w:p>
            <w:pPr>
              <w:pStyle w:val="TableParagraph"/>
              <w:ind w:left="373"/>
              <w:rPr>
                <w:sz w:val="18"/>
              </w:rPr>
            </w:pPr>
            <w:r>
              <w:rPr>
                <w:sz w:val="18"/>
              </w:rPr>
              <w:t>Chronic health conditions</w:t>
            </w:r>
          </w:p>
        </w:tc>
        <w:tc>
          <w:tcPr>
            <w:tcW w:w="873" w:type="dxa"/>
            <w:tcBorders>
              <w:top w:val="single" w:sz="4" w:space="0" w:color="585858"/>
              <w:bottom w:val="single" w:sz="4" w:space="0" w:color="585858"/>
            </w:tcBorders>
          </w:tcPr>
          <w:p>
            <w:pPr>
              <w:pStyle w:val="TableParagraph"/>
              <w:ind w:right="180"/>
              <w:jc w:val="right"/>
              <w:rPr>
                <w:sz w:val="18"/>
              </w:rPr>
            </w:pPr>
            <w:r>
              <w:rPr>
                <w:sz w:val="18"/>
              </w:rPr>
              <w:t>168</w:t>
            </w:r>
          </w:p>
        </w:tc>
        <w:tc>
          <w:tcPr>
            <w:tcW w:w="1392" w:type="dxa"/>
            <w:tcBorders>
              <w:top w:val="single" w:sz="4" w:space="0" w:color="585858"/>
              <w:bottom w:val="single" w:sz="4" w:space="0" w:color="585858"/>
            </w:tcBorders>
          </w:tcPr>
          <w:p>
            <w:pPr>
              <w:pStyle w:val="TableParagraph"/>
              <w:ind w:left="282"/>
              <w:rPr>
                <w:sz w:val="18"/>
              </w:rPr>
            </w:pPr>
            <w:r>
              <w:rPr>
                <w:sz w:val="18"/>
              </w:rPr>
              <w:t>4.1</w:t>
            </w:r>
          </w:p>
        </w:tc>
        <w:tc>
          <w:tcPr>
            <w:tcW w:w="770" w:type="dxa"/>
            <w:tcBorders>
              <w:top w:val="single" w:sz="4" w:space="0" w:color="585858"/>
              <w:bottom w:val="single" w:sz="4" w:space="0" w:color="585858"/>
            </w:tcBorders>
          </w:tcPr>
          <w:p>
            <w:pPr>
              <w:pStyle w:val="TableParagraph"/>
              <w:ind w:right="181"/>
              <w:jc w:val="right"/>
              <w:rPr>
                <w:sz w:val="18"/>
              </w:rPr>
            </w:pPr>
            <w:r>
              <w:rPr>
                <w:sz w:val="18"/>
              </w:rPr>
              <w:t>33</w:t>
            </w:r>
          </w:p>
        </w:tc>
        <w:tc>
          <w:tcPr>
            <w:tcW w:w="1468" w:type="dxa"/>
            <w:tcBorders>
              <w:top w:val="single" w:sz="4" w:space="0" w:color="585858"/>
              <w:bottom w:val="single" w:sz="4" w:space="0" w:color="585858"/>
            </w:tcBorders>
          </w:tcPr>
          <w:p>
            <w:pPr>
              <w:pStyle w:val="TableParagraph"/>
              <w:ind w:left="284"/>
              <w:rPr>
                <w:sz w:val="18"/>
              </w:rPr>
            </w:pPr>
            <w:r>
              <w:rPr>
                <w:sz w:val="18"/>
              </w:rPr>
              <w:t>1.6</w:t>
            </w:r>
          </w:p>
        </w:tc>
        <w:tc>
          <w:tcPr>
            <w:tcW w:w="696" w:type="dxa"/>
            <w:tcBorders>
              <w:top w:val="single" w:sz="4" w:space="0" w:color="585858"/>
              <w:bottom w:val="single" w:sz="4" w:space="0" w:color="585858"/>
            </w:tcBorders>
          </w:tcPr>
          <w:p>
            <w:pPr>
              <w:pStyle w:val="TableParagraph"/>
              <w:ind w:right="181"/>
              <w:jc w:val="right"/>
              <w:rPr>
                <w:sz w:val="18"/>
              </w:rPr>
            </w:pPr>
            <w:r>
              <w:rPr>
                <w:sz w:val="18"/>
              </w:rPr>
              <w:t>36</w:t>
            </w:r>
          </w:p>
        </w:tc>
        <w:tc>
          <w:tcPr>
            <w:tcW w:w="1360" w:type="dxa"/>
            <w:tcBorders>
              <w:top w:val="single" w:sz="4" w:space="0" w:color="585858"/>
              <w:bottom w:val="single" w:sz="4" w:space="0" w:color="585858"/>
            </w:tcBorders>
          </w:tcPr>
          <w:p>
            <w:pPr>
              <w:pStyle w:val="TableParagraph"/>
              <w:ind w:left="184"/>
              <w:rPr>
                <w:sz w:val="18"/>
              </w:rPr>
            </w:pPr>
            <w:r>
              <w:rPr>
                <w:sz w:val="18"/>
              </w:rPr>
              <w:t>11.1</w:t>
            </w:r>
          </w:p>
        </w:tc>
      </w:tr>
      <w:tr>
        <w:trPr>
          <w:trHeight w:val="285" w:hRule="atLeast"/>
        </w:trPr>
        <w:tc>
          <w:tcPr>
            <w:tcW w:w="2807" w:type="dxa"/>
            <w:tcBorders>
              <w:top w:val="single" w:sz="4" w:space="0" w:color="585858"/>
              <w:bottom w:val="single" w:sz="4" w:space="0" w:color="585858"/>
            </w:tcBorders>
          </w:tcPr>
          <w:p>
            <w:pPr>
              <w:pStyle w:val="TableParagraph"/>
              <w:ind w:left="373"/>
              <w:rPr>
                <w:sz w:val="18"/>
              </w:rPr>
            </w:pPr>
            <w:r>
              <w:rPr>
                <w:sz w:val="18"/>
              </w:rPr>
              <w:t>Deaf/Hard of hearing</w:t>
            </w:r>
          </w:p>
        </w:tc>
        <w:tc>
          <w:tcPr>
            <w:tcW w:w="873" w:type="dxa"/>
            <w:tcBorders>
              <w:top w:val="single" w:sz="4" w:space="0" w:color="585858"/>
              <w:bottom w:val="single" w:sz="4" w:space="0" w:color="585858"/>
            </w:tcBorders>
          </w:tcPr>
          <w:p>
            <w:pPr>
              <w:pStyle w:val="TableParagraph"/>
              <w:ind w:right="179"/>
              <w:jc w:val="right"/>
              <w:rPr>
                <w:sz w:val="18"/>
              </w:rPr>
            </w:pPr>
            <w:r>
              <w:rPr>
                <w:sz w:val="18"/>
              </w:rPr>
              <w:t>33</w:t>
            </w:r>
          </w:p>
        </w:tc>
        <w:tc>
          <w:tcPr>
            <w:tcW w:w="1392" w:type="dxa"/>
            <w:tcBorders>
              <w:top w:val="single" w:sz="4" w:space="0" w:color="585858"/>
              <w:bottom w:val="single" w:sz="4" w:space="0" w:color="585858"/>
            </w:tcBorders>
          </w:tcPr>
          <w:p>
            <w:pPr>
              <w:pStyle w:val="TableParagraph"/>
              <w:ind w:left="282"/>
              <w:rPr>
                <w:sz w:val="18"/>
              </w:rPr>
            </w:pPr>
            <w:r>
              <w:rPr>
                <w:sz w:val="18"/>
              </w:rPr>
              <w:t>0.8</w:t>
            </w:r>
          </w:p>
        </w:tc>
        <w:tc>
          <w:tcPr>
            <w:tcW w:w="770" w:type="dxa"/>
            <w:tcBorders>
              <w:top w:val="single" w:sz="4" w:space="0" w:color="585858"/>
              <w:bottom w:val="single" w:sz="4" w:space="0" w:color="585858"/>
            </w:tcBorders>
          </w:tcPr>
          <w:p>
            <w:pPr>
              <w:pStyle w:val="TableParagraph"/>
              <w:ind w:right="181"/>
              <w:jc w:val="right"/>
              <w:rPr>
                <w:sz w:val="18"/>
              </w:rPr>
            </w:pPr>
            <w:r>
              <w:rPr>
                <w:sz w:val="18"/>
              </w:rPr>
              <w:t>&lt;10</w:t>
            </w:r>
          </w:p>
        </w:tc>
        <w:tc>
          <w:tcPr>
            <w:tcW w:w="1468" w:type="dxa"/>
            <w:tcBorders>
              <w:top w:val="single" w:sz="4" w:space="0" w:color="585858"/>
              <w:bottom w:val="single" w:sz="4" w:space="0" w:color="585858"/>
            </w:tcBorders>
          </w:tcPr>
          <w:p>
            <w:pPr>
              <w:pStyle w:val="TableParagraph"/>
              <w:tabs>
                <w:tab w:pos="923" w:val="left" w:leader="none"/>
              </w:tabs>
              <w:ind w:right="208"/>
              <w:jc w:val="right"/>
              <w:rPr>
                <w:sz w:val="18"/>
              </w:rPr>
            </w:pPr>
            <w:r>
              <w:rPr>
                <w:sz w:val="18"/>
              </w:rPr>
              <w:t>0.4</w:t>
              <w:tab/>
              <w:t>!</w:t>
            </w:r>
          </w:p>
        </w:tc>
        <w:tc>
          <w:tcPr>
            <w:tcW w:w="696" w:type="dxa"/>
            <w:tcBorders>
              <w:top w:val="single" w:sz="4" w:space="0" w:color="585858"/>
              <w:bottom w:val="single" w:sz="4" w:space="0" w:color="585858"/>
            </w:tcBorders>
          </w:tcPr>
          <w:p>
            <w:pPr>
              <w:pStyle w:val="TableParagraph"/>
              <w:ind w:right="181"/>
              <w:jc w:val="right"/>
              <w:rPr>
                <w:sz w:val="18"/>
              </w:rPr>
            </w:pPr>
            <w:r>
              <w:rPr>
                <w:sz w:val="18"/>
              </w:rPr>
              <w:t>&lt;10</w:t>
            </w:r>
          </w:p>
        </w:tc>
        <w:tc>
          <w:tcPr>
            <w:tcW w:w="1360" w:type="dxa"/>
            <w:tcBorders>
              <w:top w:val="single" w:sz="4" w:space="0" w:color="585858"/>
              <w:bottom w:val="single" w:sz="4" w:space="0" w:color="585858"/>
            </w:tcBorders>
          </w:tcPr>
          <w:p>
            <w:pPr>
              <w:pStyle w:val="TableParagraph"/>
              <w:tabs>
                <w:tab w:pos="915" w:val="left" w:leader="none"/>
              </w:tabs>
              <w:ind w:right="108"/>
              <w:jc w:val="right"/>
              <w:rPr>
                <w:sz w:val="18"/>
              </w:rPr>
            </w:pPr>
            <w:r>
              <w:rPr>
                <w:sz w:val="18"/>
              </w:rPr>
              <w:t>1.2</w:t>
              <w:tab/>
              <w:t>!</w:t>
            </w:r>
          </w:p>
        </w:tc>
      </w:tr>
      <w:tr>
        <w:trPr>
          <w:trHeight w:val="494" w:hRule="atLeast"/>
        </w:trPr>
        <w:tc>
          <w:tcPr>
            <w:tcW w:w="2807" w:type="dxa"/>
            <w:tcBorders>
              <w:top w:val="single" w:sz="4" w:space="0" w:color="585858"/>
              <w:bottom w:val="single" w:sz="4" w:space="0" w:color="585858"/>
            </w:tcBorders>
          </w:tcPr>
          <w:p>
            <w:pPr>
              <w:pStyle w:val="TableParagraph"/>
              <w:ind w:left="373" w:right="622"/>
              <w:rPr>
                <w:sz w:val="18"/>
              </w:rPr>
            </w:pPr>
            <w:r>
              <w:rPr>
                <w:sz w:val="18"/>
              </w:rPr>
              <w:t>Learning disabilities or attention deficit</w:t>
            </w:r>
          </w:p>
        </w:tc>
        <w:tc>
          <w:tcPr>
            <w:tcW w:w="873" w:type="dxa"/>
            <w:tcBorders>
              <w:top w:val="single" w:sz="4" w:space="0" w:color="585858"/>
              <w:bottom w:val="single" w:sz="4" w:space="0" w:color="585858"/>
            </w:tcBorders>
          </w:tcPr>
          <w:p>
            <w:pPr>
              <w:pStyle w:val="TableParagraph"/>
              <w:spacing w:before="42"/>
              <w:ind w:right="180"/>
              <w:jc w:val="right"/>
              <w:rPr>
                <w:sz w:val="18"/>
              </w:rPr>
            </w:pPr>
            <w:r>
              <w:rPr>
                <w:sz w:val="18"/>
              </w:rPr>
              <w:t>314</w:t>
            </w:r>
          </w:p>
        </w:tc>
        <w:tc>
          <w:tcPr>
            <w:tcW w:w="1392" w:type="dxa"/>
            <w:tcBorders>
              <w:top w:val="single" w:sz="4" w:space="0" w:color="585858"/>
              <w:bottom w:val="single" w:sz="4" w:space="0" w:color="585858"/>
            </w:tcBorders>
          </w:tcPr>
          <w:p>
            <w:pPr>
              <w:pStyle w:val="TableParagraph"/>
              <w:spacing w:before="42"/>
              <w:ind w:left="282"/>
              <w:rPr>
                <w:sz w:val="18"/>
              </w:rPr>
            </w:pPr>
            <w:r>
              <w:rPr>
                <w:sz w:val="18"/>
              </w:rPr>
              <w:t>7.7</w:t>
            </w:r>
          </w:p>
        </w:tc>
        <w:tc>
          <w:tcPr>
            <w:tcW w:w="770" w:type="dxa"/>
            <w:tcBorders>
              <w:top w:val="single" w:sz="4" w:space="0" w:color="585858"/>
              <w:bottom w:val="single" w:sz="4" w:space="0" w:color="585858"/>
            </w:tcBorders>
          </w:tcPr>
          <w:p>
            <w:pPr>
              <w:pStyle w:val="TableParagraph"/>
              <w:spacing w:before="42"/>
              <w:ind w:right="181"/>
              <w:jc w:val="right"/>
              <w:rPr>
                <w:sz w:val="18"/>
              </w:rPr>
            </w:pPr>
            <w:r>
              <w:rPr>
                <w:sz w:val="18"/>
              </w:rPr>
              <w:t>90</w:t>
            </w:r>
          </w:p>
        </w:tc>
        <w:tc>
          <w:tcPr>
            <w:tcW w:w="1468" w:type="dxa"/>
            <w:tcBorders>
              <w:top w:val="single" w:sz="4" w:space="0" w:color="585858"/>
              <w:bottom w:val="single" w:sz="4" w:space="0" w:color="585858"/>
            </w:tcBorders>
          </w:tcPr>
          <w:p>
            <w:pPr>
              <w:pStyle w:val="TableParagraph"/>
              <w:spacing w:before="42"/>
              <w:ind w:left="284"/>
              <w:rPr>
                <w:sz w:val="18"/>
              </w:rPr>
            </w:pPr>
            <w:r>
              <w:rPr>
                <w:sz w:val="18"/>
              </w:rPr>
              <w:t>4.5</w:t>
            </w:r>
          </w:p>
        </w:tc>
        <w:tc>
          <w:tcPr>
            <w:tcW w:w="696" w:type="dxa"/>
            <w:tcBorders>
              <w:top w:val="single" w:sz="4" w:space="0" w:color="585858"/>
              <w:bottom w:val="single" w:sz="4" w:space="0" w:color="585858"/>
            </w:tcBorders>
          </w:tcPr>
          <w:p>
            <w:pPr>
              <w:pStyle w:val="TableParagraph"/>
              <w:spacing w:before="42"/>
              <w:ind w:right="181"/>
              <w:jc w:val="right"/>
              <w:rPr>
                <w:sz w:val="18"/>
              </w:rPr>
            </w:pPr>
            <w:r>
              <w:rPr>
                <w:sz w:val="18"/>
              </w:rPr>
              <w:t>73</w:t>
            </w:r>
          </w:p>
        </w:tc>
        <w:tc>
          <w:tcPr>
            <w:tcW w:w="1360" w:type="dxa"/>
            <w:tcBorders>
              <w:top w:val="single" w:sz="4" w:space="0" w:color="585858"/>
              <w:bottom w:val="single" w:sz="4" w:space="0" w:color="585858"/>
            </w:tcBorders>
          </w:tcPr>
          <w:p>
            <w:pPr>
              <w:pStyle w:val="TableParagraph"/>
              <w:spacing w:before="42"/>
              <w:ind w:left="184"/>
              <w:rPr>
                <w:sz w:val="18"/>
              </w:rPr>
            </w:pPr>
            <w:r>
              <w:rPr>
                <w:sz w:val="18"/>
              </w:rPr>
              <w:t>22.6</w:t>
            </w:r>
          </w:p>
        </w:tc>
      </w:tr>
      <w:tr>
        <w:trPr>
          <w:trHeight w:val="285" w:hRule="atLeast"/>
        </w:trPr>
        <w:tc>
          <w:tcPr>
            <w:tcW w:w="2807" w:type="dxa"/>
            <w:tcBorders>
              <w:top w:val="single" w:sz="4" w:space="0" w:color="585858"/>
              <w:bottom w:val="single" w:sz="4" w:space="0" w:color="585858"/>
            </w:tcBorders>
          </w:tcPr>
          <w:p>
            <w:pPr>
              <w:pStyle w:val="TableParagraph"/>
              <w:spacing w:before="42"/>
              <w:ind w:left="373"/>
              <w:rPr>
                <w:sz w:val="18"/>
              </w:rPr>
            </w:pPr>
            <w:r>
              <w:rPr>
                <w:sz w:val="18"/>
              </w:rPr>
              <w:t>Mobility conditions</w:t>
            </w:r>
          </w:p>
        </w:tc>
        <w:tc>
          <w:tcPr>
            <w:tcW w:w="873" w:type="dxa"/>
            <w:tcBorders>
              <w:top w:val="single" w:sz="4" w:space="0" w:color="585858"/>
              <w:bottom w:val="single" w:sz="4" w:space="0" w:color="585858"/>
            </w:tcBorders>
          </w:tcPr>
          <w:p>
            <w:pPr>
              <w:pStyle w:val="TableParagraph"/>
              <w:spacing w:before="42"/>
              <w:ind w:right="179"/>
              <w:jc w:val="right"/>
              <w:rPr>
                <w:sz w:val="18"/>
              </w:rPr>
            </w:pPr>
            <w:r>
              <w:rPr>
                <w:sz w:val="18"/>
              </w:rPr>
              <w:t>15</w:t>
            </w:r>
          </w:p>
        </w:tc>
        <w:tc>
          <w:tcPr>
            <w:tcW w:w="1392" w:type="dxa"/>
            <w:tcBorders>
              <w:top w:val="single" w:sz="4" w:space="0" w:color="585858"/>
              <w:bottom w:val="single" w:sz="4" w:space="0" w:color="585858"/>
            </w:tcBorders>
          </w:tcPr>
          <w:p>
            <w:pPr>
              <w:pStyle w:val="TableParagraph"/>
              <w:spacing w:before="42"/>
              <w:ind w:left="282"/>
              <w:rPr>
                <w:sz w:val="18"/>
              </w:rPr>
            </w:pPr>
            <w:r>
              <w:rPr>
                <w:sz w:val="18"/>
              </w:rPr>
              <w:t>0.4</w:t>
            </w:r>
          </w:p>
        </w:tc>
        <w:tc>
          <w:tcPr>
            <w:tcW w:w="770"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468" w:type="dxa"/>
            <w:tcBorders>
              <w:top w:val="single" w:sz="4" w:space="0" w:color="585858"/>
              <w:bottom w:val="single" w:sz="4" w:space="0" w:color="585858"/>
            </w:tcBorders>
          </w:tcPr>
          <w:p>
            <w:pPr>
              <w:pStyle w:val="TableParagraph"/>
              <w:tabs>
                <w:tab w:pos="923" w:val="left" w:leader="none"/>
              </w:tabs>
              <w:spacing w:before="42"/>
              <w:ind w:right="208"/>
              <w:jc w:val="right"/>
              <w:rPr>
                <w:sz w:val="18"/>
              </w:rPr>
            </w:pPr>
            <w:r>
              <w:rPr>
                <w:sz w:val="18"/>
              </w:rPr>
              <w:t>0.2</w:t>
              <w:tab/>
              <w:t>!</w:t>
            </w:r>
          </w:p>
        </w:tc>
        <w:tc>
          <w:tcPr>
            <w:tcW w:w="696" w:type="dxa"/>
            <w:tcBorders>
              <w:top w:val="single" w:sz="4" w:space="0" w:color="585858"/>
              <w:bottom w:val="single" w:sz="4" w:space="0" w:color="585858"/>
            </w:tcBorders>
          </w:tcPr>
          <w:p>
            <w:pPr>
              <w:pStyle w:val="TableParagraph"/>
              <w:spacing w:before="42"/>
              <w:ind w:right="181"/>
              <w:jc w:val="right"/>
              <w:rPr>
                <w:sz w:val="18"/>
              </w:rPr>
            </w:pPr>
            <w:r>
              <w:rPr>
                <w:sz w:val="18"/>
              </w:rPr>
              <w:t>14</w:t>
            </w:r>
          </w:p>
        </w:tc>
        <w:tc>
          <w:tcPr>
            <w:tcW w:w="1360" w:type="dxa"/>
            <w:tcBorders>
              <w:top w:val="single" w:sz="4" w:space="0" w:color="585858"/>
              <w:bottom w:val="single" w:sz="4" w:space="0" w:color="585858"/>
            </w:tcBorders>
          </w:tcPr>
          <w:p>
            <w:pPr>
              <w:pStyle w:val="TableParagraph"/>
              <w:spacing w:before="42"/>
              <w:ind w:left="283"/>
              <w:rPr>
                <w:sz w:val="18"/>
              </w:rPr>
            </w:pPr>
            <w:r>
              <w:rPr>
                <w:sz w:val="18"/>
              </w:rPr>
              <w:t>4.3</w:t>
            </w:r>
          </w:p>
        </w:tc>
      </w:tr>
      <w:tr>
        <w:trPr>
          <w:trHeight w:val="290" w:hRule="atLeast"/>
        </w:trPr>
        <w:tc>
          <w:tcPr>
            <w:tcW w:w="2807" w:type="dxa"/>
            <w:tcBorders>
              <w:top w:val="single" w:sz="4" w:space="0" w:color="585858"/>
              <w:bottom w:val="single" w:sz="4" w:space="0" w:color="585858"/>
            </w:tcBorders>
          </w:tcPr>
          <w:p>
            <w:pPr>
              <w:pStyle w:val="TableParagraph"/>
              <w:spacing w:before="42"/>
              <w:ind w:left="373"/>
              <w:rPr>
                <w:sz w:val="18"/>
              </w:rPr>
            </w:pPr>
            <w:r>
              <w:rPr>
                <w:sz w:val="18"/>
              </w:rPr>
              <w:t>Psychiatric conditions</w:t>
            </w:r>
          </w:p>
        </w:tc>
        <w:tc>
          <w:tcPr>
            <w:tcW w:w="873" w:type="dxa"/>
            <w:tcBorders>
              <w:top w:val="single" w:sz="4" w:space="0" w:color="585858"/>
              <w:bottom w:val="single" w:sz="4" w:space="0" w:color="585858"/>
            </w:tcBorders>
          </w:tcPr>
          <w:p>
            <w:pPr>
              <w:pStyle w:val="TableParagraph"/>
              <w:spacing w:before="42"/>
              <w:ind w:right="180"/>
              <w:jc w:val="right"/>
              <w:rPr>
                <w:sz w:val="18"/>
              </w:rPr>
            </w:pPr>
            <w:r>
              <w:rPr>
                <w:sz w:val="18"/>
              </w:rPr>
              <w:t>1,058</w:t>
            </w:r>
          </w:p>
        </w:tc>
        <w:tc>
          <w:tcPr>
            <w:tcW w:w="1392" w:type="dxa"/>
            <w:tcBorders>
              <w:top w:val="single" w:sz="4" w:space="0" w:color="585858"/>
              <w:bottom w:val="single" w:sz="4" w:space="0" w:color="585858"/>
            </w:tcBorders>
          </w:tcPr>
          <w:p>
            <w:pPr>
              <w:pStyle w:val="TableParagraph"/>
              <w:spacing w:before="42"/>
              <w:ind w:left="181"/>
              <w:rPr>
                <w:sz w:val="18"/>
              </w:rPr>
            </w:pPr>
            <w:r>
              <w:rPr>
                <w:sz w:val="18"/>
              </w:rPr>
              <w:t>26.0</w:t>
            </w:r>
          </w:p>
        </w:tc>
        <w:tc>
          <w:tcPr>
            <w:tcW w:w="770" w:type="dxa"/>
            <w:tcBorders>
              <w:top w:val="single" w:sz="4" w:space="0" w:color="585858"/>
              <w:bottom w:val="single" w:sz="4" w:space="0" w:color="585858"/>
            </w:tcBorders>
          </w:tcPr>
          <w:p>
            <w:pPr>
              <w:pStyle w:val="TableParagraph"/>
              <w:spacing w:before="42"/>
              <w:ind w:right="182"/>
              <w:jc w:val="right"/>
              <w:rPr>
                <w:sz w:val="18"/>
              </w:rPr>
            </w:pPr>
            <w:r>
              <w:rPr>
                <w:sz w:val="18"/>
              </w:rPr>
              <w:t>182</w:t>
            </w:r>
          </w:p>
        </w:tc>
        <w:tc>
          <w:tcPr>
            <w:tcW w:w="1468" w:type="dxa"/>
            <w:tcBorders>
              <w:top w:val="single" w:sz="4" w:space="0" w:color="585858"/>
              <w:bottom w:val="single" w:sz="4" w:space="0" w:color="585858"/>
            </w:tcBorders>
          </w:tcPr>
          <w:p>
            <w:pPr>
              <w:pStyle w:val="TableParagraph"/>
              <w:spacing w:before="42"/>
              <w:ind w:left="283"/>
              <w:rPr>
                <w:sz w:val="18"/>
              </w:rPr>
            </w:pPr>
            <w:r>
              <w:rPr>
                <w:sz w:val="18"/>
              </w:rPr>
              <w:t>9.0</w:t>
            </w:r>
          </w:p>
        </w:tc>
        <w:tc>
          <w:tcPr>
            <w:tcW w:w="696" w:type="dxa"/>
            <w:tcBorders>
              <w:top w:val="single" w:sz="4" w:space="0" w:color="585858"/>
              <w:bottom w:val="single" w:sz="4" w:space="0" w:color="585858"/>
            </w:tcBorders>
          </w:tcPr>
          <w:p>
            <w:pPr>
              <w:pStyle w:val="TableParagraph"/>
              <w:spacing w:before="42"/>
              <w:ind w:right="182"/>
              <w:jc w:val="right"/>
              <w:rPr>
                <w:sz w:val="18"/>
              </w:rPr>
            </w:pPr>
            <w:r>
              <w:rPr>
                <w:sz w:val="18"/>
              </w:rPr>
              <w:t>186</w:t>
            </w:r>
          </w:p>
        </w:tc>
        <w:tc>
          <w:tcPr>
            <w:tcW w:w="1360" w:type="dxa"/>
            <w:tcBorders>
              <w:top w:val="single" w:sz="4" w:space="0" w:color="585858"/>
              <w:bottom w:val="single" w:sz="4" w:space="0" w:color="585858"/>
            </w:tcBorders>
          </w:tcPr>
          <w:p>
            <w:pPr>
              <w:pStyle w:val="TableParagraph"/>
              <w:spacing w:before="42"/>
              <w:ind w:left="183"/>
              <w:rPr>
                <w:sz w:val="18"/>
              </w:rPr>
            </w:pPr>
            <w:r>
              <w:rPr>
                <w:sz w:val="18"/>
              </w:rPr>
              <w:t>57.6</w:t>
            </w:r>
          </w:p>
        </w:tc>
      </w:tr>
      <w:tr>
        <w:trPr>
          <w:trHeight w:val="493" w:hRule="atLeast"/>
        </w:trPr>
        <w:tc>
          <w:tcPr>
            <w:tcW w:w="2807" w:type="dxa"/>
            <w:tcBorders>
              <w:top w:val="single" w:sz="4" w:space="0" w:color="585858"/>
              <w:bottom w:val="single" w:sz="4" w:space="0" w:color="585858"/>
            </w:tcBorders>
          </w:tcPr>
          <w:p>
            <w:pPr>
              <w:pStyle w:val="TableParagraph"/>
              <w:ind w:left="373" w:right="402"/>
              <w:rPr>
                <w:sz w:val="18"/>
              </w:rPr>
            </w:pPr>
            <w:r>
              <w:rPr>
                <w:sz w:val="18"/>
              </w:rPr>
              <w:t>Something else not listed here</w:t>
            </w:r>
          </w:p>
        </w:tc>
        <w:tc>
          <w:tcPr>
            <w:tcW w:w="873" w:type="dxa"/>
            <w:tcBorders>
              <w:top w:val="single" w:sz="4" w:space="0" w:color="585858"/>
              <w:bottom w:val="single" w:sz="4" w:space="0" w:color="585858"/>
            </w:tcBorders>
          </w:tcPr>
          <w:p>
            <w:pPr>
              <w:pStyle w:val="TableParagraph"/>
              <w:ind w:right="180"/>
              <w:jc w:val="right"/>
              <w:rPr>
                <w:sz w:val="18"/>
              </w:rPr>
            </w:pPr>
            <w:r>
              <w:rPr>
                <w:sz w:val="18"/>
              </w:rPr>
              <w:t>46</w:t>
            </w:r>
          </w:p>
        </w:tc>
        <w:tc>
          <w:tcPr>
            <w:tcW w:w="1392" w:type="dxa"/>
            <w:tcBorders>
              <w:top w:val="single" w:sz="4" w:space="0" w:color="585858"/>
              <w:bottom w:val="single" w:sz="4" w:space="0" w:color="585858"/>
            </w:tcBorders>
          </w:tcPr>
          <w:p>
            <w:pPr>
              <w:pStyle w:val="TableParagraph"/>
              <w:ind w:left="281"/>
              <w:rPr>
                <w:sz w:val="18"/>
              </w:rPr>
            </w:pPr>
            <w:r>
              <w:rPr>
                <w:sz w:val="18"/>
              </w:rPr>
              <w:t>1.1</w:t>
            </w:r>
          </w:p>
        </w:tc>
        <w:tc>
          <w:tcPr>
            <w:tcW w:w="770" w:type="dxa"/>
            <w:tcBorders>
              <w:top w:val="single" w:sz="4" w:space="0" w:color="585858"/>
              <w:bottom w:val="single" w:sz="4" w:space="0" w:color="585858"/>
            </w:tcBorders>
          </w:tcPr>
          <w:p>
            <w:pPr>
              <w:pStyle w:val="TableParagraph"/>
              <w:ind w:right="182"/>
              <w:jc w:val="right"/>
              <w:rPr>
                <w:sz w:val="18"/>
              </w:rPr>
            </w:pPr>
            <w:r>
              <w:rPr>
                <w:sz w:val="18"/>
              </w:rPr>
              <w:t>28</w:t>
            </w:r>
          </w:p>
        </w:tc>
        <w:tc>
          <w:tcPr>
            <w:tcW w:w="1468" w:type="dxa"/>
            <w:tcBorders>
              <w:top w:val="single" w:sz="4" w:space="0" w:color="585858"/>
              <w:bottom w:val="single" w:sz="4" w:space="0" w:color="585858"/>
            </w:tcBorders>
          </w:tcPr>
          <w:p>
            <w:pPr>
              <w:pStyle w:val="TableParagraph"/>
              <w:ind w:left="283"/>
              <w:rPr>
                <w:sz w:val="18"/>
              </w:rPr>
            </w:pPr>
            <w:r>
              <w:rPr>
                <w:sz w:val="18"/>
              </w:rPr>
              <w:t>1.4</w:t>
            </w:r>
          </w:p>
        </w:tc>
        <w:tc>
          <w:tcPr>
            <w:tcW w:w="696" w:type="dxa"/>
            <w:tcBorders>
              <w:top w:val="single" w:sz="4" w:space="0" w:color="585858"/>
              <w:bottom w:val="single" w:sz="4" w:space="0" w:color="585858"/>
            </w:tcBorders>
          </w:tcPr>
          <w:p>
            <w:pPr>
              <w:pStyle w:val="TableParagraph"/>
              <w:ind w:right="182"/>
              <w:jc w:val="right"/>
              <w:rPr>
                <w:sz w:val="18"/>
              </w:rPr>
            </w:pPr>
            <w:r>
              <w:rPr>
                <w:sz w:val="18"/>
              </w:rPr>
              <w:t>10</w:t>
            </w:r>
          </w:p>
        </w:tc>
        <w:tc>
          <w:tcPr>
            <w:tcW w:w="1360" w:type="dxa"/>
            <w:tcBorders>
              <w:top w:val="single" w:sz="4" w:space="0" w:color="585858"/>
              <w:bottom w:val="single" w:sz="4" w:space="0" w:color="585858"/>
            </w:tcBorders>
          </w:tcPr>
          <w:p>
            <w:pPr>
              <w:pStyle w:val="TableParagraph"/>
              <w:ind w:left="283"/>
              <w:rPr>
                <w:sz w:val="18"/>
              </w:rPr>
            </w:pPr>
            <w:r>
              <w:rPr>
                <w:sz w:val="18"/>
              </w:rPr>
              <w:t>3.1</w:t>
            </w:r>
          </w:p>
        </w:tc>
      </w:tr>
      <w:tr>
        <w:trPr>
          <w:trHeight w:val="285" w:hRule="atLeast"/>
        </w:trPr>
        <w:tc>
          <w:tcPr>
            <w:tcW w:w="2807" w:type="dxa"/>
            <w:tcBorders>
              <w:top w:val="single" w:sz="4" w:space="0" w:color="585858"/>
              <w:bottom w:val="single" w:sz="4" w:space="0" w:color="BEBEBE"/>
            </w:tcBorders>
          </w:tcPr>
          <w:p>
            <w:pPr>
              <w:pStyle w:val="TableParagraph"/>
              <w:ind w:left="374"/>
              <w:rPr>
                <w:sz w:val="18"/>
              </w:rPr>
            </w:pPr>
            <w:r>
              <w:rPr>
                <w:sz w:val="18"/>
              </w:rPr>
              <w:t>None</w:t>
            </w:r>
          </w:p>
        </w:tc>
        <w:tc>
          <w:tcPr>
            <w:tcW w:w="873" w:type="dxa"/>
            <w:tcBorders>
              <w:top w:val="single" w:sz="4" w:space="0" w:color="585858"/>
              <w:bottom w:val="single" w:sz="4" w:space="0" w:color="BEBEBE"/>
            </w:tcBorders>
          </w:tcPr>
          <w:p>
            <w:pPr>
              <w:pStyle w:val="TableParagraph"/>
              <w:ind w:right="179"/>
              <w:jc w:val="right"/>
              <w:rPr>
                <w:sz w:val="18"/>
              </w:rPr>
            </w:pPr>
            <w:r>
              <w:rPr>
                <w:sz w:val="18"/>
              </w:rPr>
              <w:t>2,384</w:t>
            </w:r>
          </w:p>
        </w:tc>
        <w:tc>
          <w:tcPr>
            <w:tcW w:w="1392" w:type="dxa"/>
            <w:tcBorders>
              <w:top w:val="single" w:sz="4" w:space="0" w:color="585858"/>
              <w:bottom w:val="single" w:sz="4" w:space="0" w:color="BEBEBE"/>
            </w:tcBorders>
          </w:tcPr>
          <w:p>
            <w:pPr>
              <w:pStyle w:val="TableParagraph"/>
              <w:ind w:left="181"/>
              <w:rPr>
                <w:sz w:val="18"/>
              </w:rPr>
            </w:pPr>
            <w:r>
              <w:rPr>
                <w:sz w:val="18"/>
              </w:rPr>
              <w:t>58.6</w:t>
            </w:r>
          </w:p>
        </w:tc>
        <w:tc>
          <w:tcPr>
            <w:tcW w:w="770" w:type="dxa"/>
            <w:tcBorders>
              <w:top w:val="single" w:sz="4" w:space="0" w:color="585858"/>
              <w:bottom w:val="single" w:sz="4" w:space="0" w:color="BEBEBE"/>
            </w:tcBorders>
          </w:tcPr>
          <w:p>
            <w:pPr>
              <w:pStyle w:val="TableParagraph"/>
              <w:ind w:right="181"/>
              <w:jc w:val="right"/>
              <w:rPr>
                <w:sz w:val="18"/>
              </w:rPr>
            </w:pPr>
            <w:r>
              <w:rPr>
                <w:sz w:val="18"/>
              </w:rPr>
              <w:t>1,524</w:t>
            </w:r>
          </w:p>
        </w:tc>
        <w:tc>
          <w:tcPr>
            <w:tcW w:w="1468" w:type="dxa"/>
            <w:tcBorders>
              <w:top w:val="single" w:sz="4" w:space="0" w:color="585858"/>
              <w:bottom w:val="single" w:sz="4" w:space="0" w:color="BEBEBE"/>
            </w:tcBorders>
          </w:tcPr>
          <w:p>
            <w:pPr>
              <w:pStyle w:val="TableParagraph"/>
              <w:ind w:left="183"/>
              <w:rPr>
                <w:sz w:val="18"/>
              </w:rPr>
            </w:pPr>
            <w:r>
              <w:rPr>
                <w:sz w:val="18"/>
              </w:rPr>
              <w:t>75.6</w:t>
            </w:r>
          </w:p>
        </w:tc>
        <w:tc>
          <w:tcPr>
            <w:tcW w:w="696" w:type="dxa"/>
            <w:tcBorders>
              <w:top w:val="single" w:sz="4" w:space="0" w:color="585858"/>
              <w:bottom w:val="single" w:sz="4" w:space="0" w:color="BEBEBE"/>
            </w:tcBorders>
          </w:tcPr>
          <w:p>
            <w:pPr>
              <w:pStyle w:val="TableParagraph"/>
              <w:ind w:right="181"/>
              <w:jc w:val="right"/>
              <w:rPr>
                <w:sz w:val="18"/>
              </w:rPr>
            </w:pPr>
            <w:r>
              <w:rPr>
                <w:sz w:val="18"/>
              </w:rPr>
              <w:t>85</w:t>
            </w:r>
          </w:p>
        </w:tc>
        <w:tc>
          <w:tcPr>
            <w:tcW w:w="1360" w:type="dxa"/>
            <w:tcBorders>
              <w:top w:val="single" w:sz="4" w:space="0" w:color="585858"/>
              <w:bottom w:val="single" w:sz="4" w:space="0" w:color="BEBEBE"/>
            </w:tcBorders>
          </w:tcPr>
          <w:p>
            <w:pPr>
              <w:pStyle w:val="TableParagraph"/>
              <w:ind w:left="184"/>
              <w:rPr>
                <w:sz w:val="18"/>
              </w:rPr>
            </w:pPr>
            <w:r>
              <w:rPr>
                <w:sz w:val="18"/>
              </w:rPr>
              <w:t>26.3</w:t>
            </w:r>
          </w:p>
        </w:tc>
      </w:tr>
    </w:tbl>
    <w:p>
      <w:pPr>
        <w:spacing w:before="59"/>
        <w:ind w:left="120" w:right="0" w:firstLine="0"/>
        <w:jc w:val="left"/>
        <w:rPr>
          <w:sz w:val="18"/>
        </w:rPr>
      </w:pPr>
      <w:r>
        <w:rPr>
          <w:sz w:val="18"/>
        </w:rPr>
        <w:t>Notes: Percentages may not sum to 100% because of nonresponse in the survey item.</w:t>
      </w:r>
    </w:p>
    <w:p>
      <w:pPr>
        <w:spacing w:before="61"/>
        <w:ind w:left="336" w:right="253" w:hanging="217"/>
        <w:jc w:val="left"/>
        <w:rPr>
          <w:sz w:val="18"/>
        </w:rPr>
      </w:pPr>
      <w:r>
        <w:rPr>
          <w:position w:val="5"/>
          <w:sz w:val="12"/>
        </w:rPr>
        <w:t>a </w:t>
      </w:r>
      <w:r>
        <w:rPr>
          <w:sz w:val="18"/>
        </w:rPr>
        <w:t>Among students who selected more than one race, the most common pattern was Asian and White, followed by Black and White and American Indian/Alaska Native and White.</w:t>
      </w:r>
    </w:p>
    <w:p>
      <w:pPr>
        <w:spacing w:before="66"/>
        <w:ind w:left="120" w:right="0" w:firstLine="0"/>
        <w:jc w:val="left"/>
        <w:rPr>
          <w:sz w:val="18"/>
        </w:rPr>
      </w:pPr>
      <w:r>
        <w:rPr>
          <w:rFonts w:ascii="Calibri"/>
          <w:position w:val="5"/>
          <w:sz w:val="12"/>
        </w:rPr>
        <w:t>b </w:t>
      </w:r>
      <w:r>
        <w:rPr>
          <w:sz w:val="18"/>
        </w:rPr>
        <w:t>Students were asked if they had a diagnosed or documented disability.</w:t>
      </w:r>
    </w:p>
    <w:p>
      <w:pPr>
        <w:spacing w:before="65"/>
        <w:ind w:left="307" w:right="295" w:hanging="188"/>
        <w:jc w:val="left"/>
        <w:rPr>
          <w:sz w:val="18"/>
        </w:rPr>
      </w:pPr>
      <w:r>
        <w:rPr>
          <w:sz w:val="18"/>
        </w:rPr>
        <w:t>! Estimate is considered not reliable statistically because it is either based on fewer than 10 people or has a relative standard error greater than 30%. &lt; 10 indicates that 0–10 students in the school are in this category. The exact number is suppressed to protect the identity of the students.</w:t>
      </w:r>
    </w:p>
    <w:p>
      <w:pPr>
        <w:pStyle w:val="BodyText"/>
        <w:spacing w:before="2"/>
        <w:rPr>
          <w:sz w:val="27"/>
        </w:rPr>
      </w:pPr>
    </w:p>
    <w:p>
      <w:pPr>
        <w:pStyle w:val="Heading5"/>
        <w:tabs>
          <w:tab w:pos="1199" w:val="left" w:leader="none"/>
        </w:tabs>
        <w:spacing w:before="0"/>
        <w:ind w:left="120" w:firstLine="0"/>
      </w:pPr>
      <w:r>
        <w:rPr/>
        <w:t>Table</w:t>
      </w:r>
      <w:r>
        <w:rPr>
          <w:spacing w:val="-3"/>
        </w:rPr>
        <w:t> </w:t>
      </w:r>
      <w:r>
        <w:rPr/>
        <w:t>3.</w:t>
        <w:tab/>
        <w:t>Distribution of Respondents, Graduate and Professional</w:t>
      </w:r>
      <w:r>
        <w:rPr>
          <w:spacing w:val="-9"/>
        </w:rPr>
        <w:t> </w:t>
      </w:r>
      <w:r>
        <w:rPr/>
        <w:t>Students</w:t>
      </w:r>
    </w:p>
    <w:p>
      <w:pPr>
        <w:pStyle w:val="BodyText"/>
        <w:spacing w:before="1"/>
        <w:rPr>
          <w:b/>
          <w:sz w:val="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79"/>
        <w:gridCol w:w="969"/>
        <w:gridCol w:w="1410"/>
        <w:gridCol w:w="746"/>
        <w:gridCol w:w="1418"/>
        <w:gridCol w:w="740"/>
        <w:gridCol w:w="1403"/>
      </w:tblGrid>
      <w:tr>
        <w:trPr>
          <w:trHeight w:val="501" w:hRule="atLeast"/>
        </w:trPr>
        <w:tc>
          <w:tcPr>
            <w:tcW w:w="5058" w:type="dxa"/>
            <w:gridSpan w:val="3"/>
            <w:shd w:val="clear" w:color="auto" w:fill="09357D"/>
          </w:tcPr>
          <w:p>
            <w:pPr>
              <w:pStyle w:val="TableParagraph"/>
              <w:spacing w:before="39"/>
              <w:ind w:left="3654" w:right="199" w:hanging="536"/>
              <w:rPr>
                <w:b/>
                <w:sz w:val="18"/>
              </w:rPr>
            </w:pPr>
            <w:r>
              <w:rPr>
                <w:b/>
                <w:color w:val="FFFFFF"/>
                <w:sz w:val="18"/>
              </w:rPr>
              <w:t>Cisgender Graduate Women</w:t>
            </w:r>
          </w:p>
        </w:tc>
        <w:tc>
          <w:tcPr>
            <w:tcW w:w="2164" w:type="dxa"/>
            <w:gridSpan w:val="2"/>
            <w:shd w:val="clear" w:color="auto" w:fill="09357D"/>
          </w:tcPr>
          <w:p>
            <w:pPr>
              <w:pStyle w:val="TableParagraph"/>
              <w:spacing w:before="39"/>
              <w:ind w:left="896" w:right="207" w:hanging="680"/>
              <w:rPr>
                <w:b/>
                <w:sz w:val="18"/>
              </w:rPr>
            </w:pPr>
            <w:r>
              <w:rPr>
                <w:b/>
                <w:color w:val="FFFFFF"/>
                <w:sz w:val="18"/>
              </w:rPr>
              <w:t>Cisgender Graduate Men</w:t>
            </w:r>
          </w:p>
        </w:tc>
        <w:tc>
          <w:tcPr>
            <w:tcW w:w="2143" w:type="dxa"/>
            <w:gridSpan w:val="2"/>
            <w:shd w:val="clear" w:color="auto" w:fill="09357D"/>
          </w:tcPr>
          <w:p>
            <w:pPr>
              <w:pStyle w:val="TableParagraph"/>
              <w:spacing w:before="39"/>
              <w:ind w:left="672" w:right="208" w:hanging="448"/>
              <w:rPr>
                <w:b/>
                <w:sz w:val="18"/>
              </w:rPr>
            </w:pPr>
            <w:r>
              <w:rPr>
                <w:b/>
                <w:color w:val="FFFFFF"/>
                <w:sz w:val="18"/>
              </w:rPr>
              <w:t>Transgender and/or Graduate</w:t>
            </w:r>
          </w:p>
        </w:tc>
      </w:tr>
      <w:tr>
        <w:trPr>
          <w:trHeight w:val="289" w:hRule="atLeast"/>
        </w:trPr>
        <w:tc>
          <w:tcPr>
            <w:tcW w:w="2679" w:type="dxa"/>
            <w:tcBorders>
              <w:bottom w:val="single" w:sz="4" w:space="0" w:color="585858"/>
            </w:tcBorders>
            <w:shd w:val="clear" w:color="auto" w:fill="09357D"/>
          </w:tcPr>
          <w:p>
            <w:pPr>
              <w:pStyle w:val="TableParagraph"/>
              <w:spacing w:before="41"/>
              <w:ind w:right="617"/>
              <w:jc w:val="right"/>
              <w:rPr>
                <w:b/>
                <w:sz w:val="18"/>
              </w:rPr>
            </w:pPr>
            <w:r>
              <w:rPr>
                <w:b/>
                <w:color w:val="FFFFFF"/>
                <w:sz w:val="18"/>
              </w:rPr>
              <w:t>Characteristic</w:t>
            </w:r>
          </w:p>
        </w:tc>
        <w:tc>
          <w:tcPr>
            <w:tcW w:w="969" w:type="dxa"/>
            <w:tcBorders>
              <w:bottom w:val="single" w:sz="4" w:space="0" w:color="585858"/>
            </w:tcBorders>
            <w:shd w:val="clear" w:color="auto" w:fill="09357D"/>
          </w:tcPr>
          <w:p>
            <w:pPr>
              <w:pStyle w:val="TableParagraph"/>
              <w:spacing w:before="41"/>
              <w:ind w:left="193"/>
              <w:jc w:val="center"/>
              <w:rPr>
                <w:b/>
                <w:sz w:val="18"/>
              </w:rPr>
            </w:pPr>
            <w:r>
              <w:rPr>
                <w:b/>
                <w:color w:val="FFFFFF"/>
                <w:sz w:val="18"/>
              </w:rPr>
              <w:t>#</w:t>
            </w:r>
          </w:p>
        </w:tc>
        <w:tc>
          <w:tcPr>
            <w:tcW w:w="1410" w:type="dxa"/>
            <w:tcBorders>
              <w:bottom w:val="single" w:sz="4" w:space="0" w:color="585858"/>
            </w:tcBorders>
            <w:shd w:val="clear" w:color="auto" w:fill="09357D"/>
          </w:tcPr>
          <w:p>
            <w:pPr>
              <w:pStyle w:val="TableParagraph"/>
              <w:spacing w:before="41"/>
              <w:ind w:left="254"/>
              <w:rPr>
                <w:b/>
                <w:sz w:val="18"/>
              </w:rPr>
            </w:pPr>
            <w:r>
              <w:rPr>
                <w:b/>
                <w:color w:val="FFFFFF"/>
                <w:sz w:val="18"/>
              </w:rPr>
              <w:t>%</w:t>
            </w:r>
          </w:p>
        </w:tc>
        <w:tc>
          <w:tcPr>
            <w:tcW w:w="746" w:type="dxa"/>
            <w:tcBorders>
              <w:bottom w:val="single" w:sz="4" w:space="0" w:color="585858"/>
            </w:tcBorders>
            <w:shd w:val="clear" w:color="auto" w:fill="09357D"/>
          </w:tcPr>
          <w:p>
            <w:pPr>
              <w:pStyle w:val="TableParagraph"/>
              <w:spacing w:before="41"/>
              <w:ind w:right="27"/>
              <w:jc w:val="center"/>
              <w:rPr>
                <w:b/>
                <w:sz w:val="18"/>
              </w:rPr>
            </w:pPr>
            <w:r>
              <w:rPr>
                <w:b/>
                <w:color w:val="FFFFFF"/>
                <w:sz w:val="18"/>
              </w:rPr>
              <w:t>#</w:t>
            </w:r>
          </w:p>
        </w:tc>
        <w:tc>
          <w:tcPr>
            <w:tcW w:w="1418" w:type="dxa"/>
            <w:tcBorders>
              <w:bottom w:val="single" w:sz="4" w:space="0" w:color="585858"/>
            </w:tcBorders>
            <w:shd w:val="clear" w:color="auto" w:fill="09357D"/>
          </w:tcPr>
          <w:p>
            <w:pPr>
              <w:pStyle w:val="TableParagraph"/>
              <w:spacing w:before="41"/>
              <w:ind w:left="254"/>
              <w:rPr>
                <w:b/>
                <w:sz w:val="18"/>
              </w:rPr>
            </w:pPr>
            <w:r>
              <w:rPr>
                <w:b/>
                <w:color w:val="FFFFFF"/>
                <w:sz w:val="18"/>
              </w:rPr>
              <w:t>%</w:t>
            </w:r>
          </w:p>
        </w:tc>
        <w:tc>
          <w:tcPr>
            <w:tcW w:w="740" w:type="dxa"/>
            <w:tcBorders>
              <w:bottom w:val="single" w:sz="4" w:space="0" w:color="585858"/>
            </w:tcBorders>
            <w:shd w:val="clear" w:color="auto" w:fill="09357D"/>
          </w:tcPr>
          <w:p>
            <w:pPr>
              <w:pStyle w:val="TableParagraph"/>
              <w:spacing w:before="41"/>
              <w:ind w:right="29"/>
              <w:jc w:val="center"/>
              <w:rPr>
                <w:b/>
                <w:sz w:val="18"/>
              </w:rPr>
            </w:pPr>
            <w:r>
              <w:rPr>
                <w:b/>
                <w:color w:val="FFFFFF"/>
                <w:sz w:val="18"/>
              </w:rPr>
              <w:t>#</w:t>
            </w:r>
          </w:p>
        </w:tc>
        <w:tc>
          <w:tcPr>
            <w:tcW w:w="1403" w:type="dxa"/>
            <w:tcBorders>
              <w:bottom w:val="single" w:sz="4" w:space="0" w:color="585858"/>
            </w:tcBorders>
            <w:shd w:val="clear" w:color="auto" w:fill="09357D"/>
          </w:tcPr>
          <w:p>
            <w:pPr>
              <w:pStyle w:val="TableParagraph"/>
              <w:spacing w:before="41"/>
              <w:ind w:left="252"/>
              <w:rPr>
                <w:b/>
                <w:sz w:val="18"/>
              </w:rPr>
            </w:pPr>
            <w:r>
              <w:rPr>
                <w:b/>
                <w:color w:val="FFFFFF"/>
                <w:sz w:val="18"/>
              </w:rPr>
              <w:t>%</w:t>
            </w:r>
          </w:p>
        </w:tc>
      </w:tr>
      <w:tr>
        <w:trPr>
          <w:trHeight w:val="285" w:hRule="atLeast"/>
        </w:trPr>
        <w:tc>
          <w:tcPr>
            <w:tcW w:w="2679" w:type="dxa"/>
            <w:tcBorders>
              <w:top w:val="single" w:sz="4" w:space="0" w:color="585858"/>
              <w:bottom w:val="single" w:sz="4" w:space="0" w:color="585858"/>
            </w:tcBorders>
            <w:shd w:val="clear" w:color="auto" w:fill="D9E1F3"/>
          </w:tcPr>
          <w:p>
            <w:pPr>
              <w:pStyle w:val="TableParagraph"/>
              <w:ind w:left="114"/>
              <w:rPr>
                <w:sz w:val="18"/>
              </w:rPr>
            </w:pPr>
            <w:r>
              <w:rPr>
                <w:sz w:val="18"/>
              </w:rPr>
              <w:t>All persons</w:t>
            </w:r>
          </w:p>
        </w:tc>
        <w:tc>
          <w:tcPr>
            <w:tcW w:w="969" w:type="dxa"/>
            <w:tcBorders>
              <w:top w:val="single" w:sz="4" w:space="0" w:color="585858"/>
              <w:bottom w:val="single" w:sz="4" w:space="0" w:color="585858"/>
            </w:tcBorders>
            <w:shd w:val="clear" w:color="auto" w:fill="D9E1F3"/>
          </w:tcPr>
          <w:p>
            <w:pPr>
              <w:pStyle w:val="TableParagraph"/>
              <w:ind w:right="132"/>
              <w:jc w:val="right"/>
              <w:rPr>
                <w:sz w:val="18"/>
              </w:rPr>
            </w:pPr>
            <w:r>
              <w:rPr>
                <w:sz w:val="18"/>
              </w:rPr>
              <w:t>522</w:t>
            </w:r>
          </w:p>
        </w:tc>
        <w:tc>
          <w:tcPr>
            <w:tcW w:w="1410" w:type="dxa"/>
            <w:tcBorders>
              <w:top w:val="single" w:sz="4" w:space="0" w:color="585858"/>
              <w:bottom w:val="single" w:sz="4" w:space="0" w:color="585858"/>
            </w:tcBorders>
            <w:shd w:val="clear" w:color="auto" w:fill="D9E1F3"/>
          </w:tcPr>
          <w:p>
            <w:pPr>
              <w:pStyle w:val="TableParagraph"/>
              <w:tabs>
                <w:tab w:pos="801" w:val="left" w:leader="none"/>
              </w:tabs>
              <w:ind w:left="134"/>
              <w:rPr>
                <w:sz w:val="18"/>
              </w:rPr>
            </w:pPr>
            <w:r>
              <w:rPr>
                <w:sz w:val="18"/>
              </w:rPr>
              <w:t>100.0</w:t>
              <w:tab/>
              <w:t>%</w:t>
            </w:r>
          </w:p>
        </w:tc>
        <w:tc>
          <w:tcPr>
            <w:tcW w:w="746" w:type="dxa"/>
            <w:tcBorders>
              <w:top w:val="single" w:sz="4" w:space="0" w:color="585858"/>
              <w:bottom w:val="single" w:sz="4" w:space="0" w:color="585858"/>
            </w:tcBorders>
            <w:shd w:val="clear" w:color="auto" w:fill="D9E1F3"/>
          </w:tcPr>
          <w:p>
            <w:pPr>
              <w:pStyle w:val="TableParagraph"/>
              <w:ind w:right="132"/>
              <w:jc w:val="right"/>
              <w:rPr>
                <w:sz w:val="18"/>
              </w:rPr>
            </w:pPr>
            <w:r>
              <w:rPr>
                <w:sz w:val="18"/>
              </w:rPr>
              <w:t>314</w:t>
            </w:r>
          </w:p>
        </w:tc>
        <w:tc>
          <w:tcPr>
            <w:tcW w:w="1418" w:type="dxa"/>
            <w:tcBorders>
              <w:top w:val="single" w:sz="4" w:space="0" w:color="585858"/>
              <w:bottom w:val="single" w:sz="4" w:space="0" w:color="585858"/>
            </w:tcBorders>
            <w:shd w:val="clear" w:color="auto" w:fill="D9E1F3"/>
          </w:tcPr>
          <w:p>
            <w:pPr>
              <w:pStyle w:val="TableParagraph"/>
              <w:tabs>
                <w:tab w:pos="801" w:val="left" w:leader="none"/>
              </w:tabs>
              <w:ind w:left="134"/>
              <w:rPr>
                <w:sz w:val="18"/>
              </w:rPr>
            </w:pPr>
            <w:r>
              <w:rPr>
                <w:sz w:val="18"/>
              </w:rPr>
              <w:t>100.0</w:t>
              <w:tab/>
              <w:t>%</w:t>
            </w:r>
          </w:p>
        </w:tc>
        <w:tc>
          <w:tcPr>
            <w:tcW w:w="740" w:type="dxa"/>
            <w:tcBorders>
              <w:top w:val="single" w:sz="4" w:space="0" w:color="585858"/>
              <w:bottom w:val="single" w:sz="4" w:space="0" w:color="585858"/>
            </w:tcBorders>
            <w:shd w:val="clear" w:color="auto" w:fill="D9E1F3"/>
          </w:tcPr>
          <w:p>
            <w:pPr>
              <w:pStyle w:val="TableParagraph"/>
              <w:ind w:right="129"/>
              <w:jc w:val="right"/>
              <w:rPr>
                <w:sz w:val="18"/>
              </w:rPr>
            </w:pPr>
            <w:r>
              <w:rPr>
                <w:sz w:val="18"/>
              </w:rPr>
              <w:t>52</w:t>
            </w:r>
          </w:p>
        </w:tc>
        <w:tc>
          <w:tcPr>
            <w:tcW w:w="1403" w:type="dxa"/>
            <w:tcBorders>
              <w:top w:val="single" w:sz="4" w:space="0" w:color="585858"/>
              <w:bottom w:val="single" w:sz="4" w:space="0" w:color="585858"/>
            </w:tcBorders>
            <w:shd w:val="clear" w:color="auto" w:fill="D9E1F3"/>
          </w:tcPr>
          <w:p>
            <w:pPr>
              <w:pStyle w:val="TableParagraph"/>
              <w:tabs>
                <w:tab w:pos="799" w:val="left" w:leader="none"/>
              </w:tabs>
              <w:ind w:left="132"/>
              <w:rPr>
                <w:sz w:val="18"/>
              </w:rPr>
            </w:pPr>
            <w:r>
              <w:rPr>
                <w:sz w:val="18"/>
              </w:rPr>
              <w:t>100.0</w:t>
              <w:tab/>
              <w:t>%</w:t>
            </w:r>
          </w:p>
        </w:tc>
      </w:tr>
      <w:tr>
        <w:trPr>
          <w:trHeight w:val="286" w:hRule="atLeast"/>
        </w:trPr>
        <w:tc>
          <w:tcPr>
            <w:tcW w:w="2679" w:type="dxa"/>
            <w:tcBorders>
              <w:top w:val="single" w:sz="4" w:space="0" w:color="585858"/>
              <w:bottom w:val="single" w:sz="4" w:space="0" w:color="585858"/>
            </w:tcBorders>
          </w:tcPr>
          <w:p>
            <w:pPr>
              <w:pStyle w:val="TableParagraph"/>
              <w:ind w:left="114"/>
              <w:rPr>
                <w:sz w:val="18"/>
              </w:rPr>
            </w:pPr>
            <w:r>
              <w:rPr>
                <w:sz w:val="18"/>
              </w:rPr>
              <w:t>Student Type</w:t>
            </w:r>
          </w:p>
        </w:tc>
        <w:tc>
          <w:tcPr>
            <w:tcW w:w="969" w:type="dxa"/>
            <w:tcBorders>
              <w:top w:val="single" w:sz="4" w:space="0" w:color="585858"/>
              <w:bottom w:val="single" w:sz="4" w:space="0" w:color="585858"/>
            </w:tcBorders>
          </w:tcPr>
          <w:p>
            <w:pPr>
              <w:pStyle w:val="TableParagraph"/>
              <w:spacing w:before="0"/>
              <w:rPr>
                <w:rFonts w:ascii="Times New Roman"/>
                <w:sz w:val="18"/>
              </w:rPr>
            </w:pPr>
          </w:p>
        </w:tc>
        <w:tc>
          <w:tcPr>
            <w:tcW w:w="1410" w:type="dxa"/>
            <w:tcBorders>
              <w:top w:val="single" w:sz="4" w:space="0" w:color="585858"/>
              <w:bottom w:val="single" w:sz="4" w:space="0" w:color="585858"/>
            </w:tcBorders>
          </w:tcPr>
          <w:p>
            <w:pPr>
              <w:pStyle w:val="TableParagraph"/>
              <w:spacing w:before="0"/>
              <w:rPr>
                <w:rFonts w:ascii="Times New Roman"/>
                <w:sz w:val="18"/>
              </w:rPr>
            </w:pPr>
          </w:p>
        </w:tc>
        <w:tc>
          <w:tcPr>
            <w:tcW w:w="746" w:type="dxa"/>
            <w:tcBorders>
              <w:top w:val="single" w:sz="4" w:space="0" w:color="585858"/>
              <w:bottom w:val="single" w:sz="4" w:space="0" w:color="585858"/>
            </w:tcBorders>
          </w:tcPr>
          <w:p>
            <w:pPr>
              <w:pStyle w:val="TableParagraph"/>
              <w:spacing w:before="0"/>
              <w:rPr>
                <w:rFonts w:ascii="Times New Roman"/>
                <w:sz w:val="18"/>
              </w:rPr>
            </w:pPr>
          </w:p>
        </w:tc>
        <w:tc>
          <w:tcPr>
            <w:tcW w:w="1418" w:type="dxa"/>
            <w:tcBorders>
              <w:top w:val="single" w:sz="4" w:space="0" w:color="585858"/>
              <w:bottom w:val="single" w:sz="4" w:space="0" w:color="585858"/>
            </w:tcBorders>
          </w:tcPr>
          <w:p>
            <w:pPr>
              <w:pStyle w:val="TableParagraph"/>
              <w:spacing w:before="0"/>
              <w:rPr>
                <w:rFonts w:ascii="Times New Roman"/>
                <w:sz w:val="18"/>
              </w:rPr>
            </w:pPr>
          </w:p>
        </w:tc>
        <w:tc>
          <w:tcPr>
            <w:tcW w:w="740" w:type="dxa"/>
            <w:tcBorders>
              <w:top w:val="single" w:sz="4" w:space="0" w:color="585858"/>
              <w:bottom w:val="single" w:sz="4" w:space="0" w:color="585858"/>
            </w:tcBorders>
          </w:tcPr>
          <w:p>
            <w:pPr>
              <w:pStyle w:val="TableParagraph"/>
              <w:spacing w:before="0"/>
              <w:rPr>
                <w:rFonts w:ascii="Times New Roman"/>
                <w:sz w:val="18"/>
              </w:rPr>
            </w:pPr>
          </w:p>
        </w:tc>
        <w:tc>
          <w:tcPr>
            <w:tcW w:w="1403"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679" w:type="dxa"/>
            <w:tcBorders>
              <w:top w:val="single" w:sz="4" w:space="0" w:color="585858"/>
              <w:bottom w:val="single" w:sz="4" w:space="0" w:color="585858"/>
            </w:tcBorders>
          </w:tcPr>
          <w:p>
            <w:pPr>
              <w:pStyle w:val="TableParagraph"/>
              <w:spacing w:before="42"/>
              <w:ind w:left="474"/>
              <w:rPr>
                <w:sz w:val="18"/>
              </w:rPr>
            </w:pPr>
            <w:r>
              <w:rPr>
                <w:sz w:val="18"/>
              </w:rPr>
              <w:t>Graduate Student</w:t>
            </w:r>
          </w:p>
        </w:tc>
        <w:tc>
          <w:tcPr>
            <w:tcW w:w="969" w:type="dxa"/>
            <w:tcBorders>
              <w:top w:val="single" w:sz="4" w:space="0" w:color="585858"/>
              <w:bottom w:val="single" w:sz="4" w:space="0" w:color="585858"/>
            </w:tcBorders>
          </w:tcPr>
          <w:p>
            <w:pPr>
              <w:pStyle w:val="TableParagraph"/>
              <w:spacing w:before="42"/>
              <w:ind w:right="132"/>
              <w:jc w:val="right"/>
              <w:rPr>
                <w:sz w:val="18"/>
              </w:rPr>
            </w:pPr>
            <w:r>
              <w:rPr>
                <w:sz w:val="18"/>
              </w:rPr>
              <w:t>434</w:t>
            </w:r>
          </w:p>
        </w:tc>
        <w:tc>
          <w:tcPr>
            <w:tcW w:w="1410" w:type="dxa"/>
            <w:tcBorders>
              <w:top w:val="single" w:sz="4" w:space="0" w:color="585858"/>
              <w:bottom w:val="single" w:sz="4" w:space="0" w:color="585858"/>
            </w:tcBorders>
          </w:tcPr>
          <w:p>
            <w:pPr>
              <w:pStyle w:val="TableParagraph"/>
              <w:tabs>
                <w:tab w:pos="567" w:val="left" w:leader="none"/>
              </w:tabs>
              <w:spacing w:before="42"/>
              <w:ind w:right="445"/>
              <w:jc w:val="right"/>
              <w:rPr>
                <w:sz w:val="18"/>
              </w:rPr>
            </w:pPr>
            <w:r>
              <w:rPr>
                <w:sz w:val="18"/>
              </w:rPr>
              <w:t>83.1</w:t>
              <w:tab/>
              <w:t>%</w:t>
            </w:r>
          </w:p>
        </w:tc>
        <w:tc>
          <w:tcPr>
            <w:tcW w:w="746" w:type="dxa"/>
            <w:tcBorders>
              <w:top w:val="single" w:sz="4" w:space="0" w:color="585858"/>
              <w:bottom w:val="single" w:sz="4" w:space="0" w:color="585858"/>
            </w:tcBorders>
          </w:tcPr>
          <w:p>
            <w:pPr>
              <w:pStyle w:val="TableParagraph"/>
              <w:spacing w:before="42"/>
              <w:ind w:right="132"/>
              <w:jc w:val="right"/>
              <w:rPr>
                <w:sz w:val="18"/>
              </w:rPr>
            </w:pPr>
            <w:r>
              <w:rPr>
                <w:sz w:val="18"/>
              </w:rPr>
              <w:t>264</w:t>
            </w:r>
          </w:p>
        </w:tc>
        <w:tc>
          <w:tcPr>
            <w:tcW w:w="1418" w:type="dxa"/>
            <w:tcBorders>
              <w:top w:val="single" w:sz="4" w:space="0" w:color="585858"/>
              <w:bottom w:val="single" w:sz="4" w:space="0" w:color="585858"/>
            </w:tcBorders>
          </w:tcPr>
          <w:p>
            <w:pPr>
              <w:pStyle w:val="TableParagraph"/>
              <w:tabs>
                <w:tab w:pos="567" w:val="left" w:leader="none"/>
              </w:tabs>
              <w:spacing w:before="42"/>
              <w:ind w:right="453"/>
              <w:jc w:val="right"/>
              <w:rPr>
                <w:sz w:val="18"/>
              </w:rPr>
            </w:pPr>
            <w:r>
              <w:rPr>
                <w:sz w:val="18"/>
              </w:rPr>
              <w:t>84.1</w:t>
              <w:tab/>
              <w:t>%</w:t>
            </w:r>
          </w:p>
        </w:tc>
        <w:tc>
          <w:tcPr>
            <w:tcW w:w="740" w:type="dxa"/>
            <w:tcBorders>
              <w:top w:val="single" w:sz="4" w:space="0" w:color="585858"/>
              <w:bottom w:val="single" w:sz="4" w:space="0" w:color="585858"/>
            </w:tcBorders>
          </w:tcPr>
          <w:p>
            <w:pPr>
              <w:pStyle w:val="TableParagraph"/>
              <w:spacing w:before="42"/>
              <w:ind w:right="129"/>
              <w:jc w:val="right"/>
              <w:rPr>
                <w:sz w:val="18"/>
              </w:rPr>
            </w:pPr>
            <w:r>
              <w:rPr>
                <w:sz w:val="18"/>
              </w:rPr>
              <w:t>47</w:t>
            </w:r>
          </w:p>
        </w:tc>
        <w:tc>
          <w:tcPr>
            <w:tcW w:w="1403" w:type="dxa"/>
            <w:tcBorders>
              <w:top w:val="single" w:sz="4" w:space="0" w:color="585858"/>
              <w:bottom w:val="single" w:sz="4" w:space="0" w:color="585858"/>
            </w:tcBorders>
          </w:tcPr>
          <w:p>
            <w:pPr>
              <w:pStyle w:val="TableParagraph"/>
              <w:tabs>
                <w:tab w:pos="567" w:val="left" w:leader="none"/>
              </w:tabs>
              <w:spacing w:before="42"/>
              <w:ind w:right="440"/>
              <w:jc w:val="right"/>
              <w:rPr>
                <w:sz w:val="18"/>
              </w:rPr>
            </w:pPr>
            <w:r>
              <w:rPr>
                <w:sz w:val="18"/>
              </w:rPr>
              <w:t>90.4</w:t>
              <w:tab/>
              <w:t>%</w:t>
            </w:r>
          </w:p>
        </w:tc>
      </w:tr>
      <w:tr>
        <w:trPr>
          <w:trHeight w:val="290" w:hRule="atLeast"/>
        </w:trPr>
        <w:tc>
          <w:tcPr>
            <w:tcW w:w="2679" w:type="dxa"/>
            <w:tcBorders>
              <w:top w:val="single" w:sz="4" w:space="0" w:color="585858"/>
              <w:bottom w:val="single" w:sz="4" w:space="0" w:color="585858"/>
            </w:tcBorders>
          </w:tcPr>
          <w:p>
            <w:pPr>
              <w:pStyle w:val="TableParagraph"/>
              <w:spacing w:before="42"/>
              <w:ind w:right="541"/>
              <w:jc w:val="right"/>
              <w:rPr>
                <w:sz w:val="18"/>
              </w:rPr>
            </w:pPr>
            <w:r>
              <w:rPr>
                <w:sz w:val="18"/>
              </w:rPr>
              <w:t>Professional Student</w:t>
            </w:r>
          </w:p>
        </w:tc>
        <w:tc>
          <w:tcPr>
            <w:tcW w:w="969" w:type="dxa"/>
            <w:tcBorders>
              <w:top w:val="single" w:sz="4" w:space="0" w:color="585858"/>
              <w:bottom w:val="single" w:sz="4" w:space="0" w:color="585858"/>
            </w:tcBorders>
          </w:tcPr>
          <w:p>
            <w:pPr>
              <w:pStyle w:val="TableParagraph"/>
              <w:spacing w:before="42"/>
              <w:ind w:right="131"/>
              <w:jc w:val="right"/>
              <w:rPr>
                <w:sz w:val="18"/>
              </w:rPr>
            </w:pPr>
            <w:r>
              <w:rPr>
                <w:sz w:val="18"/>
              </w:rPr>
              <w:t>86</w:t>
            </w:r>
          </w:p>
        </w:tc>
        <w:tc>
          <w:tcPr>
            <w:tcW w:w="1410" w:type="dxa"/>
            <w:tcBorders>
              <w:top w:val="single" w:sz="4" w:space="0" w:color="585858"/>
              <w:bottom w:val="single" w:sz="4" w:space="0" w:color="585858"/>
            </w:tcBorders>
          </w:tcPr>
          <w:p>
            <w:pPr>
              <w:pStyle w:val="TableParagraph"/>
              <w:spacing w:before="42"/>
              <w:ind w:left="234"/>
              <w:rPr>
                <w:sz w:val="18"/>
              </w:rPr>
            </w:pPr>
            <w:r>
              <w:rPr>
                <w:sz w:val="18"/>
              </w:rPr>
              <w:t>16.5</w:t>
            </w:r>
          </w:p>
        </w:tc>
        <w:tc>
          <w:tcPr>
            <w:tcW w:w="746" w:type="dxa"/>
            <w:tcBorders>
              <w:top w:val="single" w:sz="4" w:space="0" w:color="585858"/>
              <w:bottom w:val="single" w:sz="4" w:space="0" w:color="585858"/>
            </w:tcBorders>
          </w:tcPr>
          <w:p>
            <w:pPr>
              <w:pStyle w:val="TableParagraph"/>
              <w:spacing w:before="42"/>
              <w:ind w:right="131"/>
              <w:jc w:val="right"/>
              <w:rPr>
                <w:sz w:val="18"/>
              </w:rPr>
            </w:pPr>
            <w:r>
              <w:rPr>
                <w:sz w:val="18"/>
              </w:rPr>
              <w:t>50</w:t>
            </w:r>
          </w:p>
        </w:tc>
        <w:tc>
          <w:tcPr>
            <w:tcW w:w="1418" w:type="dxa"/>
            <w:tcBorders>
              <w:top w:val="single" w:sz="4" w:space="0" w:color="585858"/>
              <w:bottom w:val="single" w:sz="4" w:space="0" w:color="585858"/>
            </w:tcBorders>
          </w:tcPr>
          <w:p>
            <w:pPr>
              <w:pStyle w:val="TableParagraph"/>
              <w:spacing w:before="42"/>
              <w:ind w:left="234"/>
              <w:rPr>
                <w:sz w:val="18"/>
              </w:rPr>
            </w:pPr>
            <w:r>
              <w:rPr>
                <w:sz w:val="18"/>
              </w:rPr>
              <w:t>15.9</w:t>
            </w:r>
          </w:p>
        </w:tc>
        <w:tc>
          <w:tcPr>
            <w:tcW w:w="740" w:type="dxa"/>
            <w:tcBorders>
              <w:top w:val="single" w:sz="4" w:space="0" w:color="585858"/>
              <w:bottom w:val="single" w:sz="4" w:space="0" w:color="585858"/>
            </w:tcBorders>
          </w:tcPr>
          <w:p>
            <w:pPr>
              <w:pStyle w:val="TableParagraph"/>
              <w:spacing w:before="42"/>
              <w:ind w:right="129"/>
              <w:jc w:val="right"/>
              <w:rPr>
                <w:sz w:val="18"/>
              </w:rPr>
            </w:pPr>
            <w:r>
              <w:rPr>
                <w:sz w:val="18"/>
              </w:rPr>
              <w:t>&lt;10</w:t>
            </w:r>
          </w:p>
        </w:tc>
        <w:tc>
          <w:tcPr>
            <w:tcW w:w="1403" w:type="dxa"/>
            <w:tcBorders>
              <w:top w:val="single" w:sz="4" w:space="0" w:color="585858"/>
              <w:bottom w:val="single" w:sz="4" w:space="0" w:color="585858"/>
            </w:tcBorders>
          </w:tcPr>
          <w:p>
            <w:pPr>
              <w:pStyle w:val="TableParagraph"/>
              <w:tabs>
                <w:tab w:pos="800" w:val="left" w:leader="none"/>
              </w:tabs>
              <w:spacing w:before="42"/>
              <w:ind w:left="332"/>
              <w:rPr>
                <w:sz w:val="18"/>
              </w:rPr>
            </w:pPr>
            <w:r>
              <w:rPr>
                <w:sz w:val="18"/>
              </w:rPr>
              <w:t>9.6</w:t>
              <w:tab/>
              <w:t>!</w:t>
            </w:r>
          </w:p>
        </w:tc>
      </w:tr>
      <w:tr>
        <w:trPr>
          <w:trHeight w:val="285" w:hRule="atLeast"/>
        </w:trPr>
        <w:tc>
          <w:tcPr>
            <w:tcW w:w="2679" w:type="dxa"/>
            <w:tcBorders>
              <w:top w:val="single" w:sz="4" w:space="0" w:color="585858"/>
              <w:bottom w:val="single" w:sz="4" w:space="0" w:color="585858"/>
            </w:tcBorders>
            <w:shd w:val="clear" w:color="auto" w:fill="D9E1F3"/>
          </w:tcPr>
          <w:p>
            <w:pPr>
              <w:pStyle w:val="TableParagraph"/>
              <w:ind w:left="114"/>
              <w:rPr>
                <w:sz w:val="18"/>
              </w:rPr>
            </w:pPr>
            <w:r>
              <w:rPr>
                <w:sz w:val="18"/>
              </w:rPr>
              <w:t>Length of enrollment</w:t>
            </w:r>
          </w:p>
        </w:tc>
        <w:tc>
          <w:tcPr>
            <w:tcW w:w="969"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10"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746"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18"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740"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03"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286" w:hRule="atLeast"/>
        </w:trPr>
        <w:tc>
          <w:tcPr>
            <w:tcW w:w="2679" w:type="dxa"/>
            <w:tcBorders>
              <w:top w:val="single" w:sz="4" w:space="0" w:color="585858"/>
              <w:bottom w:val="single" w:sz="4" w:space="0" w:color="585858"/>
            </w:tcBorders>
          </w:tcPr>
          <w:p>
            <w:pPr>
              <w:pStyle w:val="TableParagraph"/>
              <w:ind w:right="529"/>
              <w:jc w:val="right"/>
              <w:rPr>
                <w:sz w:val="18"/>
              </w:rPr>
            </w:pPr>
            <w:r>
              <w:rPr>
                <w:sz w:val="18"/>
              </w:rPr>
              <w:t>Less than 24 months</w:t>
            </w:r>
          </w:p>
        </w:tc>
        <w:tc>
          <w:tcPr>
            <w:tcW w:w="969" w:type="dxa"/>
            <w:tcBorders>
              <w:top w:val="single" w:sz="4" w:space="0" w:color="585858"/>
              <w:bottom w:val="single" w:sz="4" w:space="0" w:color="585858"/>
            </w:tcBorders>
          </w:tcPr>
          <w:p>
            <w:pPr>
              <w:pStyle w:val="TableParagraph"/>
              <w:ind w:right="132"/>
              <w:jc w:val="right"/>
              <w:rPr>
                <w:sz w:val="18"/>
              </w:rPr>
            </w:pPr>
            <w:r>
              <w:rPr>
                <w:sz w:val="18"/>
              </w:rPr>
              <w:t>284</w:t>
            </w:r>
          </w:p>
        </w:tc>
        <w:tc>
          <w:tcPr>
            <w:tcW w:w="1410" w:type="dxa"/>
            <w:tcBorders>
              <w:top w:val="single" w:sz="4" w:space="0" w:color="585858"/>
              <w:bottom w:val="single" w:sz="4" w:space="0" w:color="585858"/>
            </w:tcBorders>
          </w:tcPr>
          <w:p>
            <w:pPr>
              <w:pStyle w:val="TableParagraph"/>
              <w:tabs>
                <w:tab w:pos="567" w:val="left" w:leader="none"/>
              </w:tabs>
              <w:ind w:right="445"/>
              <w:jc w:val="right"/>
              <w:rPr>
                <w:sz w:val="18"/>
              </w:rPr>
            </w:pPr>
            <w:r>
              <w:rPr>
                <w:sz w:val="18"/>
              </w:rPr>
              <w:t>54.4</w:t>
              <w:tab/>
              <w:t>%</w:t>
            </w:r>
          </w:p>
        </w:tc>
        <w:tc>
          <w:tcPr>
            <w:tcW w:w="746" w:type="dxa"/>
            <w:tcBorders>
              <w:top w:val="single" w:sz="4" w:space="0" w:color="585858"/>
              <w:bottom w:val="single" w:sz="4" w:space="0" w:color="585858"/>
            </w:tcBorders>
          </w:tcPr>
          <w:p>
            <w:pPr>
              <w:pStyle w:val="TableParagraph"/>
              <w:ind w:right="132"/>
              <w:jc w:val="right"/>
              <w:rPr>
                <w:sz w:val="18"/>
              </w:rPr>
            </w:pPr>
            <w:r>
              <w:rPr>
                <w:sz w:val="18"/>
              </w:rPr>
              <w:t>159</w:t>
            </w:r>
          </w:p>
        </w:tc>
        <w:tc>
          <w:tcPr>
            <w:tcW w:w="1418" w:type="dxa"/>
            <w:tcBorders>
              <w:top w:val="single" w:sz="4" w:space="0" w:color="585858"/>
              <w:bottom w:val="single" w:sz="4" w:space="0" w:color="585858"/>
            </w:tcBorders>
          </w:tcPr>
          <w:p>
            <w:pPr>
              <w:pStyle w:val="TableParagraph"/>
              <w:tabs>
                <w:tab w:pos="567" w:val="left" w:leader="none"/>
              </w:tabs>
              <w:ind w:right="453"/>
              <w:jc w:val="right"/>
              <w:rPr>
                <w:sz w:val="18"/>
              </w:rPr>
            </w:pPr>
            <w:r>
              <w:rPr>
                <w:sz w:val="18"/>
              </w:rPr>
              <w:t>50.6</w:t>
              <w:tab/>
              <w:t>%</w:t>
            </w:r>
          </w:p>
        </w:tc>
        <w:tc>
          <w:tcPr>
            <w:tcW w:w="740" w:type="dxa"/>
            <w:tcBorders>
              <w:top w:val="single" w:sz="4" w:space="0" w:color="585858"/>
              <w:bottom w:val="single" w:sz="4" w:space="0" w:color="585858"/>
            </w:tcBorders>
          </w:tcPr>
          <w:p>
            <w:pPr>
              <w:pStyle w:val="TableParagraph"/>
              <w:ind w:right="129"/>
              <w:jc w:val="right"/>
              <w:rPr>
                <w:sz w:val="18"/>
              </w:rPr>
            </w:pPr>
            <w:r>
              <w:rPr>
                <w:sz w:val="18"/>
              </w:rPr>
              <w:t>23</w:t>
            </w:r>
          </w:p>
        </w:tc>
        <w:tc>
          <w:tcPr>
            <w:tcW w:w="1403" w:type="dxa"/>
            <w:tcBorders>
              <w:top w:val="single" w:sz="4" w:space="0" w:color="585858"/>
              <w:bottom w:val="single" w:sz="4" w:space="0" w:color="585858"/>
            </w:tcBorders>
          </w:tcPr>
          <w:p>
            <w:pPr>
              <w:pStyle w:val="TableParagraph"/>
              <w:tabs>
                <w:tab w:pos="567" w:val="left" w:leader="none"/>
              </w:tabs>
              <w:ind w:right="440"/>
              <w:jc w:val="right"/>
              <w:rPr>
                <w:sz w:val="18"/>
              </w:rPr>
            </w:pPr>
            <w:r>
              <w:rPr>
                <w:sz w:val="18"/>
              </w:rPr>
              <w:t>44.2</w:t>
              <w:tab/>
              <w:t>%</w:t>
            </w:r>
          </w:p>
        </w:tc>
      </w:tr>
      <w:tr>
        <w:trPr>
          <w:trHeight w:val="290" w:hRule="atLeast"/>
        </w:trPr>
        <w:tc>
          <w:tcPr>
            <w:tcW w:w="2679" w:type="dxa"/>
            <w:tcBorders>
              <w:top w:val="single" w:sz="4" w:space="0" w:color="585858"/>
              <w:bottom w:val="single" w:sz="4" w:space="0" w:color="000000"/>
            </w:tcBorders>
          </w:tcPr>
          <w:p>
            <w:pPr>
              <w:pStyle w:val="TableParagraph"/>
              <w:spacing w:before="42"/>
              <w:ind w:left="474"/>
              <w:rPr>
                <w:sz w:val="18"/>
              </w:rPr>
            </w:pPr>
            <w:r>
              <w:rPr>
                <w:sz w:val="18"/>
              </w:rPr>
              <w:t>24 months or more</w:t>
            </w:r>
          </w:p>
        </w:tc>
        <w:tc>
          <w:tcPr>
            <w:tcW w:w="969" w:type="dxa"/>
            <w:tcBorders>
              <w:top w:val="single" w:sz="4" w:space="0" w:color="585858"/>
              <w:bottom w:val="single" w:sz="4" w:space="0" w:color="000000"/>
            </w:tcBorders>
          </w:tcPr>
          <w:p>
            <w:pPr>
              <w:pStyle w:val="TableParagraph"/>
              <w:spacing w:before="42"/>
              <w:ind w:right="132"/>
              <w:jc w:val="right"/>
              <w:rPr>
                <w:sz w:val="18"/>
              </w:rPr>
            </w:pPr>
            <w:r>
              <w:rPr>
                <w:sz w:val="18"/>
              </w:rPr>
              <w:t>235</w:t>
            </w:r>
          </w:p>
        </w:tc>
        <w:tc>
          <w:tcPr>
            <w:tcW w:w="1410" w:type="dxa"/>
            <w:tcBorders>
              <w:top w:val="single" w:sz="4" w:space="0" w:color="585858"/>
              <w:bottom w:val="single" w:sz="4" w:space="0" w:color="000000"/>
            </w:tcBorders>
          </w:tcPr>
          <w:p>
            <w:pPr>
              <w:pStyle w:val="TableParagraph"/>
              <w:spacing w:before="42"/>
              <w:ind w:left="233"/>
              <w:rPr>
                <w:sz w:val="18"/>
              </w:rPr>
            </w:pPr>
            <w:r>
              <w:rPr>
                <w:sz w:val="18"/>
              </w:rPr>
              <w:t>45.0</w:t>
            </w:r>
          </w:p>
        </w:tc>
        <w:tc>
          <w:tcPr>
            <w:tcW w:w="746" w:type="dxa"/>
            <w:tcBorders>
              <w:top w:val="single" w:sz="4" w:space="0" w:color="585858"/>
              <w:bottom w:val="single" w:sz="4" w:space="0" w:color="000000"/>
            </w:tcBorders>
          </w:tcPr>
          <w:p>
            <w:pPr>
              <w:pStyle w:val="TableParagraph"/>
              <w:spacing w:before="42"/>
              <w:ind w:right="132"/>
              <w:jc w:val="right"/>
              <w:rPr>
                <w:sz w:val="18"/>
              </w:rPr>
            </w:pPr>
            <w:r>
              <w:rPr>
                <w:sz w:val="18"/>
              </w:rPr>
              <w:t>152</w:t>
            </w:r>
          </w:p>
        </w:tc>
        <w:tc>
          <w:tcPr>
            <w:tcW w:w="1418" w:type="dxa"/>
            <w:tcBorders>
              <w:top w:val="single" w:sz="4" w:space="0" w:color="585858"/>
              <w:bottom w:val="single" w:sz="4" w:space="0" w:color="000000"/>
            </w:tcBorders>
          </w:tcPr>
          <w:p>
            <w:pPr>
              <w:pStyle w:val="TableParagraph"/>
              <w:spacing w:before="42"/>
              <w:ind w:left="234"/>
              <w:rPr>
                <w:sz w:val="18"/>
              </w:rPr>
            </w:pPr>
            <w:r>
              <w:rPr>
                <w:sz w:val="18"/>
              </w:rPr>
              <w:t>48.4</w:t>
            </w:r>
          </w:p>
        </w:tc>
        <w:tc>
          <w:tcPr>
            <w:tcW w:w="740" w:type="dxa"/>
            <w:tcBorders>
              <w:top w:val="single" w:sz="4" w:space="0" w:color="585858"/>
              <w:bottom w:val="single" w:sz="4" w:space="0" w:color="000000"/>
            </w:tcBorders>
          </w:tcPr>
          <w:p>
            <w:pPr>
              <w:pStyle w:val="TableParagraph"/>
              <w:spacing w:before="42"/>
              <w:ind w:right="129"/>
              <w:jc w:val="right"/>
              <w:rPr>
                <w:sz w:val="18"/>
              </w:rPr>
            </w:pPr>
            <w:r>
              <w:rPr>
                <w:sz w:val="18"/>
              </w:rPr>
              <w:t>29</w:t>
            </w:r>
          </w:p>
        </w:tc>
        <w:tc>
          <w:tcPr>
            <w:tcW w:w="1403" w:type="dxa"/>
            <w:tcBorders>
              <w:top w:val="single" w:sz="4" w:space="0" w:color="585858"/>
              <w:bottom w:val="single" w:sz="4" w:space="0" w:color="000000"/>
            </w:tcBorders>
          </w:tcPr>
          <w:p>
            <w:pPr>
              <w:pStyle w:val="TableParagraph"/>
              <w:spacing w:before="42"/>
              <w:ind w:left="232"/>
              <w:rPr>
                <w:sz w:val="18"/>
              </w:rPr>
            </w:pPr>
            <w:r>
              <w:rPr>
                <w:sz w:val="18"/>
              </w:rPr>
              <w:t>55.8</w:t>
            </w:r>
          </w:p>
        </w:tc>
      </w:tr>
    </w:tbl>
    <w:p>
      <w:pPr>
        <w:spacing w:before="0"/>
        <w:ind w:left="0" w:right="114" w:firstLine="0"/>
        <w:jc w:val="right"/>
        <w:rPr>
          <w:sz w:val="18"/>
        </w:rPr>
      </w:pPr>
      <w:r>
        <w:rPr>
          <w:sz w:val="18"/>
        </w:rPr>
        <w:t>(continued)</w:t>
      </w:r>
    </w:p>
    <w:p>
      <w:pPr>
        <w:spacing w:after="0"/>
        <w:jc w:val="right"/>
        <w:rPr>
          <w:sz w:val="18"/>
        </w:rPr>
        <w:sectPr>
          <w:pgSz w:w="12240" w:h="15840"/>
          <w:pgMar w:header="0" w:footer="592" w:top="1020" w:bottom="780" w:left="1320" w:right="1320"/>
        </w:sectPr>
      </w:pPr>
    </w:p>
    <w:p>
      <w:pPr>
        <w:pStyle w:val="BodyText"/>
      </w:pPr>
      <w:r>
        <w:rPr/>
        <w:pict>
          <v:group style="position:absolute;margin-left:72pt;margin-top:73.400002pt;width:468pt;height:54.8pt;mso-position-horizontal-relative:page;mso-position-vertical-relative:page;z-index:-261085184" coordorigin="1440,1468" coordsize="9360,1096">
            <v:shape style="position:absolute;left:1440;top:1468;width:9360;height:792" coordorigin="1440,1468" coordsize="9360,792" path="m10800,1468l10800,1468,4336,1468,1440,1468,1440,2260,1548,2260,4228,2260,10800,2260,10800,1972,4336,1972,4336,1964,10800,1964,10800,1468e" filled="true" fillcolor="#09357d" stroked="false">
              <v:path arrowok="t"/>
              <v:fill type="solid"/>
            </v:shape>
            <v:line style="position:absolute" from="4336,1974" to="5056,1974" stroked="true" strokeweight=".2pt" strokecolor="#09357d">
              <v:stroke dashstyle="solid"/>
            </v:line>
            <v:rect style="position:absolute;left:5056;top:1972;width:8;height:4" filled="true" fillcolor="#09357d" stroked="false">
              <v:fill type="solid"/>
            </v:rect>
            <v:line style="position:absolute" from="5064,1974" to="5776,1974" stroked="true" strokeweight=".2pt" strokecolor="#09357d">
              <v:stroke dashstyle="solid"/>
            </v:line>
            <v:rect style="position:absolute;left:5776;top:1972;width:8;height:4" filled="true" fillcolor="#09357d" stroked="false">
              <v:fill type="solid"/>
            </v:rect>
            <v:line style="position:absolute" from="5784,1974" to="6496,1974" stroked="true" strokeweight=".2pt" strokecolor="#09357d">
              <v:stroke dashstyle="solid"/>
            </v:line>
            <v:rect style="position:absolute;left:6496;top:1972;width:8;height:4" filled="true" fillcolor="#09357d" stroked="false">
              <v:fill type="solid"/>
            </v:rect>
            <v:line style="position:absolute" from="6504,1974" to="7212,1974" stroked="true" strokeweight=".2pt" strokecolor="#09357d">
              <v:stroke dashstyle="solid"/>
            </v:line>
            <v:rect style="position:absolute;left:7212;top:1972;width:8;height:4" filled="true" fillcolor="#09357d" stroked="false">
              <v:fill type="solid"/>
            </v:rect>
            <v:line style="position:absolute" from="7220,1974" to="7932,1974" stroked="true" strokeweight=".2pt" strokecolor="#09357d">
              <v:stroke dashstyle="solid"/>
            </v:line>
            <v:rect style="position:absolute;left:7932;top:1972;width:8;height:4" filled="true" fillcolor="#09357d" stroked="false">
              <v:fill type="solid"/>
            </v:rect>
            <v:line style="position:absolute" from="7940,1974" to="8652,1974" stroked="true" strokeweight=".2pt" strokecolor="#09357d">
              <v:stroke dashstyle="solid"/>
            </v:line>
            <v:rect style="position:absolute;left:8652;top:1972;width:8;height:4" filled="true" fillcolor="#09357d" stroked="false">
              <v:fill type="solid"/>
            </v:rect>
            <v:line style="position:absolute" from="8660,1974" to="9372,1974" stroked="true" strokeweight=".2pt" strokecolor="#09357d">
              <v:stroke dashstyle="solid"/>
            </v:line>
            <v:rect style="position:absolute;left:9372;top:1972;width:8;height:4" filled="true" fillcolor="#09357d" stroked="false">
              <v:fill type="solid"/>
            </v:rect>
            <v:line style="position:absolute" from="9380,1974" to="10088,1974" stroked="true" strokeweight=".2pt" strokecolor="#09357d">
              <v:stroke dashstyle="solid"/>
            </v:line>
            <v:rect style="position:absolute;left:10088;top:1972;width:9;height:4" filled="true" fillcolor="#09357d" stroked="false">
              <v:fill type="solid"/>
            </v:rect>
            <v:line style="position:absolute" from="10096,1974" to="10800,1974" stroked="true" strokeweight=".2pt" strokecolor="#09357d">
              <v:stroke dashstyle="solid"/>
            </v:line>
            <v:rect style="position:absolute;left:1440;top:2272;width:9360;height:284" filled="true" fillcolor="#d9e1f3" stroked="false">
              <v:fill type="solid"/>
            </v:rect>
            <v:line style="position:absolute" from="1440,2264" to="4336,2264" stroked="true" strokeweight=".4pt" strokecolor="#585858">
              <v:stroke dashstyle="solid"/>
            </v:line>
            <v:line style="position:absolute" from="1440,2270" to="4336,2270" stroked="true" strokeweight=".2pt" strokecolor="#d9e1f3">
              <v:stroke dashstyle="solid"/>
            </v:line>
            <v:rect style="position:absolute;left:4336;top:2268;width:8;height:4" filled="true" fillcolor="#d9e1f3" stroked="false">
              <v:fill type="solid"/>
            </v:rect>
            <v:rect style="position:absolute;left:4336;top:2260;width:8;height:8" filled="true" fillcolor="#585858" stroked="false">
              <v:fill type="solid"/>
            </v:rect>
            <v:line style="position:absolute" from="4344,2264" to="5056,2264" stroked="true" strokeweight=".4pt" strokecolor="#585858">
              <v:stroke dashstyle="solid"/>
            </v:line>
            <v:line style="position:absolute" from="4344,2270" to="5056,2270" stroked="true" strokeweight=".2pt" strokecolor="#d9e1f3">
              <v:stroke dashstyle="solid"/>
            </v:line>
            <v:rect style="position:absolute;left:5056;top:2268;width:8;height:4" filled="true" fillcolor="#d9e1f3" stroked="false">
              <v:fill type="solid"/>
            </v:rect>
            <v:rect style="position:absolute;left:5056;top:2260;width:8;height:8" filled="true" fillcolor="#585858" stroked="false">
              <v:fill type="solid"/>
            </v:rect>
            <v:line style="position:absolute" from="5064,2264" to="5776,2264" stroked="true" strokeweight=".4pt" strokecolor="#585858">
              <v:stroke dashstyle="solid"/>
            </v:line>
            <v:line style="position:absolute" from="5064,2270" to="5776,2270" stroked="true" strokeweight=".2pt" strokecolor="#d9e1f3">
              <v:stroke dashstyle="solid"/>
            </v:line>
            <v:rect style="position:absolute;left:5776;top:2268;width:8;height:4" filled="true" fillcolor="#d9e1f3" stroked="false">
              <v:fill type="solid"/>
            </v:rect>
            <v:rect style="position:absolute;left:5776;top:2260;width:8;height:8" filled="true" fillcolor="#585858" stroked="false">
              <v:fill type="solid"/>
            </v:rect>
            <v:line style="position:absolute" from="5784,2264" to="6496,2264" stroked="true" strokeweight=".4pt" strokecolor="#585858">
              <v:stroke dashstyle="solid"/>
            </v:line>
            <v:line style="position:absolute" from="5784,2270" to="6496,2270" stroked="true" strokeweight=".2pt" strokecolor="#d9e1f3">
              <v:stroke dashstyle="solid"/>
            </v:line>
            <v:rect style="position:absolute;left:6496;top:2268;width:8;height:4" filled="true" fillcolor="#d9e1f3" stroked="false">
              <v:fill type="solid"/>
            </v:rect>
            <v:rect style="position:absolute;left:6496;top:2260;width:8;height:8" filled="true" fillcolor="#585858" stroked="false">
              <v:fill type="solid"/>
            </v:rect>
            <v:line style="position:absolute" from="6504,2264" to="7212,2264" stroked="true" strokeweight=".4pt" strokecolor="#585858">
              <v:stroke dashstyle="solid"/>
            </v:line>
            <v:line style="position:absolute" from="6504,2270" to="7212,2270" stroked="true" strokeweight=".2pt" strokecolor="#d9e1f3">
              <v:stroke dashstyle="solid"/>
            </v:line>
            <v:rect style="position:absolute;left:7212;top:2268;width:8;height:4" filled="true" fillcolor="#d9e1f3" stroked="false">
              <v:fill type="solid"/>
            </v:rect>
            <v:rect style="position:absolute;left:7212;top:2260;width:8;height:8" filled="true" fillcolor="#585858" stroked="false">
              <v:fill type="solid"/>
            </v:rect>
            <v:line style="position:absolute" from="7220,2264" to="7932,2264" stroked="true" strokeweight=".4pt" strokecolor="#585858">
              <v:stroke dashstyle="solid"/>
            </v:line>
            <v:line style="position:absolute" from="7220,2270" to="7932,2270" stroked="true" strokeweight=".2pt" strokecolor="#d9e1f3">
              <v:stroke dashstyle="solid"/>
            </v:line>
            <v:rect style="position:absolute;left:7932;top:2268;width:8;height:4" filled="true" fillcolor="#d9e1f3" stroked="false">
              <v:fill type="solid"/>
            </v:rect>
            <v:rect style="position:absolute;left:7932;top:2260;width:8;height:8" filled="true" fillcolor="#585858" stroked="false">
              <v:fill type="solid"/>
            </v:rect>
            <v:line style="position:absolute" from="7940,2264" to="8652,2264" stroked="true" strokeweight=".4pt" strokecolor="#585858">
              <v:stroke dashstyle="solid"/>
            </v:line>
            <v:line style="position:absolute" from="7940,2270" to="8652,2270" stroked="true" strokeweight=".2pt" strokecolor="#d9e1f3">
              <v:stroke dashstyle="solid"/>
            </v:line>
            <v:rect style="position:absolute;left:8652;top:2268;width:8;height:4" filled="true" fillcolor="#d9e1f3" stroked="false">
              <v:fill type="solid"/>
            </v:rect>
            <v:rect style="position:absolute;left:8652;top:2260;width:8;height:8" filled="true" fillcolor="#585858" stroked="false">
              <v:fill type="solid"/>
            </v:rect>
            <v:line style="position:absolute" from="8660,2264" to="9372,2264" stroked="true" strokeweight=".4pt" strokecolor="#585858">
              <v:stroke dashstyle="solid"/>
            </v:line>
            <v:line style="position:absolute" from="8660,2270" to="9372,2270" stroked="true" strokeweight=".2pt" strokecolor="#d9e1f3">
              <v:stroke dashstyle="solid"/>
            </v:line>
            <v:rect style="position:absolute;left:9372;top:2268;width:8;height:4" filled="true" fillcolor="#d9e1f3" stroked="false">
              <v:fill type="solid"/>
            </v:rect>
            <v:rect style="position:absolute;left:9372;top:2260;width:8;height:8" filled="true" fillcolor="#585858" stroked="false">
              <v:fill type="solid"/>
            </v:rect>
            <v:line style="position:absolute" from="9380,2264" to="10088,2264" stroked="true" strokeweight=".4pt" strokecolor="#585858">
              <v:stroke dashstyle="solid"/>
            </v:line>
            <v:line style="position:absolute" from="9380,2270" to="10088,2270" stroked="true" strokeweight=".2pt" strokecolor="#d9e1f3">
              <v:stroke dashstyle="solid"/>
            </v:line>
            <v:rect style="position:absolute;left:10088;top:2268;width:9;height:4" filled="true" fillcolor="#d9e1f3" stroked="false">
              <v:fill type="solid"/>
            </v:rect>
            <v:rect style="position:absolute;left:10088;top:2260;width:9;height:8" filled="true" fillcolor="#585858" stroked="false">
              <v:fill type="solid"/>
            </v:rect>
            <v:line style="position:absolute" from="10096,2264" to="10800,2264" stroked="true" strokeweight=".4pt" strokecolor="#585858">
              <v:stroke dashstyle="solid"/>
            </v:line>
            <v:line style="position:absolute" from="10096,2270" to="10800,2270" stroked="true" strokeweight=".2pt" strokecolor="#d9e1f3">
              <v:stroke dashstyle="solid"/>
            </v:line>
            <v:line style="position:absolute" from="1440,2560" to="1800,2560" stroked="true" strokeweight=".4pt" strokecolor="#585858">
              <v:stroke dashstyle="solid"/>
            </v:line>
            <v:rect style="position:absolute;left:1800;top:2556;width:8;height:8" filled="true" fillcolor="#585858" stroked="false">
              <v:fill type="solid"/>
            </v:rect>
            <v:line style="position:absolute" from="1808,2560" to="4336,2560" stroked="true" strokeweight=".4pt" strokecolor="#585858">
              <v:stroke dashstyle="solid"/>
            </v:line>
            <v:rect style="position:absolute;left:4336;top:2556;width:8;height:8" filled="true" fillcolor="#585858" stroked="false">
              <v:fill type="solid"/>
            </v:rect>
            <v:line style="position:absolute" from="4344,2560" to="5056,2560" stroked="true" strokeweight=".4pt" strokecolor="#585858">
              <v:stroke dashstyle="solid"/>
            </v:line>
            <v:rect style="position:absolute;left:5056;top:2556;width:8;height:8" filled="true" fillcolor="#585858" stroked="false">
              <v:fill type="solid"/>
            </v:rect>
            <v:line style="position:absolute" from="5064,2560" to="5776,2560" stroked="true" strokeweight=".4pt" strokecolor="#585858">
              <v:stroke dashstyle="solid"/>
            </v:line>
            <v:rect style="position:absolute;left:5776;top:2556;width:8;height:8" filled="true" fillcolor="#585858" stroked="false">
              <v:fill type="solid"/>
            </v:rect>
            <v:line style="position:absolute" from="5784,2560" to="6496,2560" stroked="true" strokeweight=".4pt" strokecolor="#585858">
              <v:stroke dashstyle="solid"/>
            </v:line>
            <v:rect style="position:absolute;left:6496;top:2556;width:8;height:8" filled="true" fillcolor="#585858" stroked="false">
              <v:fill type="solid"/>
            </v:rect>
            <v:line style="position:absolute" from="6504,2560" to="7212,2560" stroked="true" strokeweight=".4pt" strokecolor="#585858">
              <v:stroke dashstyle="solid"/>
            </v:line>
            <v:rect style="position:absolute;left:7212;top:2556;width:8;height:8" filled="true" fillcolor="#585858" stroked="false">
              <v:fill type="solid"/>
            </v:rect>
            <v:line style="position:absolute" from="7220,2560" to="7932,2560" stroked="true" strokeweight=".4pt" strokecolor="#585858">
              <v:stroke dashstyle="solid"/>
            </v:line>
            <v:rect style="position:absolute;left:7932;top:2556;width:8;height:8" filled="true" fillcolor="#585858" stroked="false">
              <v:fill type="solid"/>
            </v:rect>
            <v:line style="position:absolute" from="7940,2560" to="8652,2560" stroked="true" strokeweight=".4pt" strokecolor="#585858">
              <v:stroke dashstyle="solid"/>
            </v:line>
            <v:rect style="position:absolute;left:8652;top:2556;width:8;height:8" filled="true" fillcolor="#585858" stroked="false">
              <v:fill type="solid"/>
            </v:rect>
            <v:line style="position:absolute" from="8660,2560" to="9372,2560" stroked="true" strokeweight=".4pt" strokecolor="#585858">
              <v:stroke dashstyle="solid"/>
            </v:line>
            <v:rect style="position:absolute;left:9372;top:2556;width:8;height:8" filled="true" fillcolor="#585858" stroked="false">
              <v:fill type="solid"/>
            </v:rect>
            <v:line style="position:absolute" from="9380,2560" to="10088,2560" stroked="true" strokeweight=".4pt" strokecolor="#585858">
              <v:stroke dashstyle="solid"/>
            </v:line>
            <v:rect style="position:absolute;left:10088;top:2556;width:9;height:8" filled="true" fillcolor="#585858" stroked="false">
              <v:fill type="solid"/>
            </v:rect>
            <v:line style="position:absolute" from="10096,2560" to="10800,2560" stroked="true" strokeweight=".4pt" strokecolor="#585858">
              <v:stroke dashstyle="solid"/>
            </v:line>
            <w10:wrap type="none"/>
          </v:group>
        </w:pict>
      </w:r>
    </w:p>
    <w:p>
      <w:pPr>
        <w:pStyle w:val="BodyText"/>
        <w:spacing w:before="5"/>
        <w:rPr>
          <w:sz w:val="1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49"/>
        <w:gridCol w:w="700"/>
        <w:gridCol w:w="1341"/>
        <w:gridCol w:w="817"/>
        <w:gridCol w:w="1343"/>
        <w:gridCol w:w="817"/>
        <w:gridCol w:w="1404"/>
      </w:tblGrid>
      <w:tr>
        <w:trPr>
          <w:trHeight w:val="1091" w:hRule="atLeast"/>
        </w:trPr>
        <w:tc>
          <w:tcPr>
            <w:tcW w:w="2949" w:type="dxa"/>
          </w:tcPr>
          <w:p>
            <w:pPr>
              <w:pStyle w:val="TableParagraph"/>
              <w:spacing w:before="0"/>
              <w:rPr>
                <w:sz w:val="20"/>
              </w:rPr>
            </w:pPr>
          </w:p>
          <w:p>
            <w:pPr>
              <w:pStyle w:val="TableParagraph"/>
              <w:spacing w:before="2"/>
              <w:rPr>
                <w:sz w:val="27"/>
              </w:rPr>
            </w:pPr>
          </w:p>
          <w:p>
            <w:pPr>
              <w:pStyle w:val="TableParagraph"/>
              <w:spacing w:before="0"/>
              <w:ind w:left="854"/>
              <w:rPr>
                <w:b/>
                <w:sz w:val="18"/>
              </w:rPr>
            </w:pPr>
            <w:r>
              <w:rPr>
                <w:b/>
                <w:color w:val="FFFFFF"/>
                <w:sz w:val="18"/>
              </w:rPr>
              <w:t>Characteristic</w:t>
            </w:r>
          </w:p>
          <w:p>
            <w:pPr>
              <w:pStyle w:val="TableParagraph"/>
              <w:spacing w:before="93"/>
              <w:ind w:left="114"/>
              <w:rPr>
                <w:sz w:val="18"/>
              </w:rPr>
            </w:pPr>
            <w:r>
              <w:rPr>
                <w:sz w:val="18"/>
              </w:rPr>
              <w:t>Age</w:t>
            </w:r>
          </w:p>
        </w:tc>
        <w:tc>
          <w:tcPr>
            <w:tcW w:w="700" w:type="dxa"/>
          </w:tcPr>
          <w:p>
            <w:pPr>
              <w:pStyle w:val="TableParagraph"/>
              <w:spacing w:line="583" w:lineRule="auto" w:before="39"/>
              <w:ind w:left="261" w:right="20" w:hanging="92"/>
              <w:rPr>
                <w:b/>
                <w:sz w:val="18"/>
              </w:rPr>
            </w:pPr>
            <w:r>
              <w:rPr>
                <w:b/>
                <w:color w:val="FFFFFF"/>
                <w:sz w:val="18"/>
              </w:rPr>
              <w:t>Cisge #</w:t>
            </w:r>
          </w:p>
        </w:tc>
        <w:tc>
          <w:tcPr>
            <w:tcW w:w="1341" w:type="dxa"/>
          </w:tcPr>
          <w:p>
            <w:pPr>
              <w:pStyle w:val="TableParagraph"/>
              <w:spacing w:before="39"/>
              <w:ind w:left="5" w:right="130" w:hanging="45"/>
              <w:rPr>
                <w:b/>
                <w:sz w:val="18"/>
              </w:rPr>
            </w:pPr>
            <w:r>
              <w:rPr>
                <w:b/>
                <w:color w:val="FFFFFF"/>
                <w:sz w:val="18"/>
              </w:rPr>
              <w:t>nder Graduate Women</w:t>
            </w:r>
          </w:p>
          <w:p>
            <w:pPr>
              <w:pStyle w:val="TableParagraph"/>
              <w:spacing w:before="90"/>
              <w:ind w:left="253"/>
              <w:rPr>
                <w:b/>
                <w:sz w:val="18"/>
              </w:rPr>
            </w:pPr>
            <w:r>
              <w:rPr>
                <w:b/>
                <w:color w:val="FFFFFF"/>
                <w:sz w:val="18"/>
              </w:rPr>
              <w:t>%</w:t>
            </w:r>
          </w:p>
        </w:tc>
        <w:tc>
          <w:tcPr>
            <w:tcW w:w="817" w:type="dxa"/>
          </w:tcPr>
          <w:p>
            <w:pPr>
              <w:pStyle w:val="TableParagraph"/>
              <w:spacing w:line="583" w:lineRule="auto" w:before="39"/>
              <w:ind w:left="376" w:right="22" w:hanging="92"/>
              <w:rPr>
                <w:b/>
                <w:sz w:val="18"/>
              </w:rPr>
            </w:pPr>
            <w:r>
              <w:rPr>
                <w:b/>
                <w:color w:val="FFFFFF"/>
                <w:sz w:val="18"/>
              </w:rPr>
              <w:t>Cisge #</w:t>
            </w:r>
          </w:p>
        </w:tc>
        <w:tc>
          <w:tcPr>
            <w:tcW w:w="1343" w:type="dxa"/>
          </w:tcPr>
          <w:p>
            <w:pPr>
              <w:pStyle w:val="TableParagraph"/>
              <w:spacing w:before="39"/>
              <w:ind w:left="147" w:right="134" w:hanging="189"/>
              <w:rPr>
                <w:b/>
                <w:sz w:val="18"/>
              </w:rPr>
            </w:pPr>
            <w:r>
              <w:rPr>
                <w:b/>
                <w:color w:val="FFFFFF"/>
                <w:sz w:val="18"/>
              </w:rPr>
              <w:t>nder Graduate Men</w:t>
            </w:r>
          </w:p>
          <w:p>
            <w:pPr>
              <w:pStyle w:val="TableParagraph"/>
              <w:spacing w:before="90"/>
              <w:ind w:left="251"/>
              <w:rPr>
                <w:b/>
                <w:sz w:val="18"/>
              </w:rPr>
            </w:pPr>
            <w:r>
              <w:rPr>
                <w:b/>
                <w:color w:val="FFFFFF"/>
                <w:sz w:val="18"/>
              </w:rPr>
              <w:t>%</w:t>
            </w:r>
          </w:p>
        </w:tc>
        <w:tc>
          <w:tcPr>
            <w:tcW w:w="817" w:type="dxa"/>
          </w:tcPr>
          <w:p>
            <w:pPr>
              <w:pStyle w:val="TableParagraph"/>
              <w:spacing w:line="583" w:lineRule="auto" w:before="39"/>
              <w:ind w:left="376" w:right="10" w:hanging="80"/>
              <w:rPr>
                <w:b/>
                <w:sz w:val="18"/>
              </w:rPr>
            </w:pPr>
            <w:r>
              <w:rPr>
                <w:b/>
                <w:color w:val="FFFFFF"/>
                <w:sz w:val="18"/>
              </w:rPr>
              <w:t>Trans #</w:t>
            </w:r>
          </w:p>
        </w:tc>
        <w:tc>
          <w:tcPr>
            <w:tcW w:w="1404" w:type="dxa"/>
          </w:tcPr>
          <w:p>
            <w:pPr>
              <w:pStyle w:val="TableParagraph"/>
              <w:spacing w:before="39"/>
              <w:ind w:left="-73" w:right="212" w:firstLine="44"/>
              <w:rPr>
                <w:b/>
                <w:sz w:val="18"/>
              </w:rPr>
            </w:pPr>
            <w:r>
              <w:rPr>
                <w:b/>
                <w:color w:val="FFFFFF"/>
                <w:sz w:val="18"/>
              </w:rPr>
              <w:t>gender and/or Graduate</w:t>
            </w:r>
          </w:p>
          <w:p>
            <w:pPr>
              <w:pStyle w:val="TableParagraph"/>
              <w:spacing w:before="90"/>
              <w:ind w:left="247"/>
              <w:rPr>
                <w:b/>
                <w:sz w:val="18"/>
              </w:rPr>
            </w:pPr>
            <w:r>
              <w:rPr>
                <w:b/>
                <w:color w:val="FFFFFF"/>
                <w:sz w:val="18"/>
              </w:rPr>
              <w:t>%</w:t>
            </w:r>
          </w:p>
        </w:tc>
      </w:tr>
      <w:tr>
        <w:trPr>
          <w:trHeight w:val="290" w:hRule="atLeast"/>
        </w:trPr>
        <w:tc>
          <w:tcPr>
            <w:tcW w:w="2949" w:type="dxa"/>
            <w:tcBorders>
              <w:bottom w:val="single" w:sz="4" w:space="0" w:color="585858"/>
            </w:tcBorders>
          </w:tcPr>
          <w:p>
            <w:pPr>
              <w:pStyle w:val="TableParagraph"/>
              <w:spacing w:before="27"/>
              <w:ind w:left="474"/>
              <w:rPr>
                <w:sz w:val="18"/>
              </w:rPr>
            </w:pPr>
            <w:r>
              <w:rPr>
                <w:sz w:val="18"/>
              </w:rPr>
              <w:t>&lt;22</w:t>
            </w:r>
          </w:p>
        </w:tc>
        <w:tc>
          <w:tcPr>
            <w:tcW w:w="700" w:type="dxa"/>
            <w:tcBorders>
              <w:bottom w:val="single" w:sz="4" w:space="0" w:color="585858"/>
            </w:tcBorders>
          </w:tcPr>
          <w:p>
            <w:pPr>
              <w:pStyle w:val="TableParagraph"/>
              <w:spacing w:before="27"/>
              <w:ind w:right="132"/>
              <w:jc w:val="right"/>
              <w:rPr>
                <w:sz w:val="18"/>
              </w:rPr>
            </w:pPr>
            <w:r>
              <w:rPr>
                <w:sz w:val="18"/>
              </w:rPr>
              <w:t>38</w:t>
            </w:r>
          </w:p>
        </w:tc>
        <w:tc>
          <w:tcPr>
            <w:tcW w:w="1341" w:type="dxa"/>
            <w:tcBorders>
              <w:bottom w:val="single" w:sz="4" w:space="0" w:color="585858"/>
            </w:tcBorders>
          </w:tcPr>
          <w:p>
            <w:pPr>
              <w:pStyle w:val="TableParagraph"/>
              <w:tabs>
                <w:tab w:pos="467" w:val="left" w:leader="none"/>
              </w:tabs>
              <w:spacing w:before="27"/>
              <w:ind w:right="377"/>
              <w:jc w:val="right"/>
              <w:rPr>
                <w:sz w:val="18"/>
              </w:rPr>
            </w:pPr>
            <w:r>
              <w:rPr>
                <w:sz w:val="18"/>
              </w:rPr>
              <w:t>7.3</w:t>
              <w:tab/>
              <w:t>%</w:t>
            </w:r>
          </w:p>
        </w:tc>
        <w:tc>
          <w:tcPr>
            <w:tcW w:w="817" w:type="dxa"/>
            <w:tcBorders>
              <w:bottom w:val="single" w:sz="4" w:space="0" w:color="585858"/>
            </w:tcBorders>
          </w:tcPr>
          <w:p>
            <w:pPr>
              <w:pStyle w:val="TableParagraph"/>
              <w:spacing w:before="27"/>
              <w:ind w:right="134"/>
              <w:jc w:val="right"/>
              <w:rPr>
                <w:sz w:val="18"/>
              </w:rPr>
            </w:pPr>
            <w:r>
              <w:rPr>
                <w:sz w:val="18"/>
              </w:rPr>
              <w:t>17</w:t>
            </w:r>
          </w:p>
        </w:tc>
        <w:tc>
          <w:tcPr>
            <w:tcW w:w="1343" w:type="dxa"/>
            <w:tcBorders>
              <w:bottom w:val="single" w:sz="4" w:space="0" w:color="585858"/>
            </w:tcBorders>
          </w:tcPr>
          <w:p>
            <w:pPr>
              <w:pStyle w:val="TableParagraph"/>
              <w:tabs>
                <w:tab w:pos="467" w:val="left" w:leader="none"/>
              </w:tabs>
              <w:spacing w:before="27"/>
              <w:ind w:right="381"/>
              <w:jc w:val="right"/>
              <w:rPr>
                <w:sz w:val="18"/>
              </w:rPr>
            </w:pPr>
            <w:r>
              <w:rPr>
                <w:sz w:val="18"/>
              </w:rPr>
              <w:t>5.4</w:t>
              <w:tab/>
              <w:t>%</w:t>
            </w:r>
          </w:p>
        </w:tc>
        <w:tc>
          <w:tcPr>
            <w:tcW w:w="817" w:type="dxa"/>
            <w:tcBorders>
              <w:bottom w:val="single" w:sz="4" w:space="0" w:color="585858"/>
            </w:tcBorders>
          </w:tcPr>
          <w:p>
            <w:pPr>
              <w:pStyle w:val="TableParagraph"/>
              <w:spacing w:before="27"/>
              <w:ind w:right="134"/>
              <w:jc w:val="right"/>
              <w:rPr>
                <w:sz w:val="18"/>
              </w:rPr>
            </w:pPr>
            <w:r>
              <w:rPr>
                <w:sz w:val="18"/>
              </w:rPr>
              <w:t>&lt;10</w:t>
            </w:r>
          </w:p>
        </w:tc>
        <w:tc>
          <w:tcPr>
            <w:tcW w:w="1404" w:type="dxa"/>
            <w:tcBorders>
              <w:bottom w:val="single" w:sz="4" w:space="0" w:color="585858"/>
            </w:tcBorders>
          </w:tcPr>
          <w:p>
            <w:pPr>
              <w:pStyle w:val="TableParagraph"/>
              <w:tabs>
                <w:tab w:pos="467" w:val="left" w:leader="none"/>
              </w:tabs>
              <w:spacing w:before="27"/>
              <w:ind w:right="396"/>
              <w:jc w:val="right"/>
              <w:rPr>
                <w:sz w:val="18"/>
              </w:rPr>
            </w:pPr>
            <w:r>
              <w:rPr>
                <w:sz w:val="18"/>
              </w:rPr>
              <w:t>5.8</w:t>
              <w:tab/>
            </w:r>
            <w:r>
              <w:rPr>
                <w:spacing w:val="-1"/>
                <w:sz w:val="18"/>
              </w:rPr>
              <w:t>%!</w:t>
            </w:r>
          </w:p>
        </w:tc>
      </w:tr>
      <w:tr>
        <w:trPr>
          <w:trHeight w:val="250" w:hRule="atLeast"/>
        </w:trPr>
        <w:tc>
          <w:tcPr>
            <w:tcW w:w="2949" w:type="dxa"/>
            <w:tcBorders>
              <w:top w:val="single" w:sz="4" w:space="0" w:color="585858"/>
              <w:bottom w:val="single" w:sz="4" w:space="0" w:color="585858"/>
            </w:tcBorders>
          </w:tcPr>
          <w:p>
            <w:pPr>
              <w:pStyle w:val="TableParagraph"/>
              <w:spacing w:before="22"/>
              <w:ind w:left="474"/>
              <w:rPr>
                <w:sz w:val="18"/>
              </w:rPr>
            </w:pPr>
            <w:r>
              <w:rPr>
                <w:sz w:val="18"/>
              </w:rPr>
              <w:t>23</w:t>
            </w:r>
          </w:p>
        </w:tc>
        <w:tc>
          <w:tcPr>
            <w:tcW w:w="700" w:type="dxa"/>
            <w:tcBorders>
              <w:top w:val="single" w:sz="4" w:space="0" w:color="585858"/>
              <w:bottom w:val="single" w:sz="4" w:space="0" w:color="585858"/>
            </w:tcBorders>
          </w:tcPr>
          <w:p>
            <w:pPr>
              <w:pStyle w:val="TableParagraph"/>
              <w:spacing w:before="22"/>
              <w:ind w:right="132"/>
              <w:jc w:val="right"/>
              <w:rPr>
                <w:sz w:val="18"/>
              </w:rPr>
            </w:pPr>
            <w:r>
              <w:rPr>
                <w:sz w:val="18"/>
              </w:rPr>
              <w:t>58</w:t>
            </w:r>
          </w:p>
        </w:tc>
        <w:tc>
          <w:tcPr>
            <w:tcW w:w="1341" w:type="dxa"/>
            <w:tcBorders>
              <w:top w:val="single" w:sz="4" w:space="0" w:color="585858"/>
              <w:bottom w:val="single" w:sz="4" w:space="0" w:color="585858"/>
            </w:tcBorders>
          </w:tcPr>
          <w:p>
            <w:pPr>
              <w:pStyle w:val="TableParagraph"/>
              <w:spacing w:before="22"/>
              <w:ind w:left="233"/>
              <w:rPr>
                <w:sz w:val="18"/>
              </w:rPr>
            </w:pPr>
            <w:r>
              <w:rPr>
                <w:sz w:val="18"/>
              </w:rPr>
              <w:t>11.1</w:t>
            </w:r>
          </w:p>
        </w:tc>
        <w:tc>
          <w:tcPr>
            <w:tcW w:w="817" w:type="dxa"/>
            <w:tcBorders>
              <w:top w:val="single" w:sz="4" w:space="0" w:color="585858"/>
              <w:bottom w:val="single" w:sz="4" w:space="0" w:color="585858"/>
            </w:tcBorders>
          </w:tcPr>
          <w:p>
            <w:pPr>
              <w:pStyle w:val="TableParagraph"/>
              <w:spacing w:before="22"/>
              <w:ind w:right="134"/>
              <w:jc w:val="right"/>
              <w:rPr>
                <w:sz w:val="18"/>
              </w:rPr>
            </w:pPr>
            <w:r>
              <w:rPr>
                <w:sz w:val="18"/>
              </w:rPr>
              <w:t>18</w:t>
            </w:r>
          </w:p>
        </w:tc>
        <w:tc>
          <w:tcPr>
            <w:tcW w:w="1343" w:type="dxa"/>
            <w:tcBorders>
              <w:top w:val="single" w:sz="4" w:space="0" w:color="585858"/>
              <w:bottom w:val="single" w:sz="4" w:space="0" w:color="585858"/>
            </w:tcBorders>
          </w:tcPr>
          <w:p>
            <w:pPr>
              <w:pStyle w:val="TableParagraph"/>
              <w:spacing w:before="22"/>
              <w:ind w:left="331"/>
              <w:rPr>
                <w:sz w:val="18"/>
              </w:rPr>
            </w:pPr>
            <w:r>
              <w:rPr>
                <w:sz w:val="18"/>
              </w:rPr>
              <w:t>5.7</w:t>
            </w:r>
          </w:p>
        </w:tc>
        <w:tc>
          <w:tcPr>
            <w:tcW w:w="817" w:type="dxa"/>
            <w:tcBorders>
              <w:top w:val="single" w:sz="4" w:space="0" w:color="585858"/>
              <w:bottom w:val="single" w:sz="4" w:space="0" w:color="585858"/>
            </w:tcBorders>
          </w:tcPr>
          <w:p>
            <w:pPr>
              <w:pStyle w:val="TableParagraph"/>
              <w:spacing w:before="2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22"/>
              <w:ind w:left="227"/>
              <w:rPr>
                <w:sz w:val="18"/>
              </w:rPr>
            </w:pPr>
            <w:r>
              <w:rPr>
                <w:sz w:val="18"/>
              </w:rPr>
              <w:t>13.5</w:t>
              <w:tab/>
              <w:t>!</w:t>
            </w:r>
          </w:p>
        </w:tc>
      </w:tr>
      <w:tr>
        <w:trPr>
          <w:trHeight w:val="245" w:hRule="atLeast"/>
        </w:trPr>
        <w:tc>
          <w:tcPr>
            <w:tcW w:w="2949" w:type="dxa"/>
            <w:tcBorders>
              <w:top w:val="single" w:sz="4" w:space="0" w:color="585858"/>
              <w:bottom w:val="single" w:sz="4" w:space="0" w:color="585858"/>
            </w:tcBorders>
          </w:tcPr>
          <w:p>
            <w:pPr>
              <w:pStyle w:val="TableParagraph"/>
              <w:spacing w:before="18"/>
              <w:ind w:left="474"/>
              <w:rPr>
                <w:sz w:val="18"/>
              </w:rPr>
            </w:pPr>
            <w:r>
              <w:rPr>
                <w:sz w:val="18"/>
              </w:rPr>
              <w:t>24</w:t>
            </w:r>
          </w:p>
        </w:tc>
        <w:tc>
          <w:tcPr>
            <w:tcW w:w="700" w:type="dxa"/>
            <w:tcBorders>
              <w:top w:val="single" w:sz="4" w:space="0" w:color="585858"/>
              <w:bottom w:val="single" w:sz="4" w:space="0" w:color="585858"/>
            </w:tcBorders>
          </w:tcPr>
          <w:p>
            <w:pPr>
              <w:pStyle w:val="TableParagraph"/>
              <w:spacing w:before="18"/>
              <w:ind w:right="132"/>
              <w:jc w:val="right"/>
              <w:rPr>
                <w:sz w:val="18"/>
              </w:rPr>
            </w:pPr>
            <w:r>
              <w:rPr>
                <w:sz w:val="18"/>
              </w:rPr>
              <w:t>44</w:t>
            </w:r>
          </w:p>
        </w:tc>
        <w:tc>
          <w:tcPr>
            <w:tcW w:w="1341" w:type="dxa"/>
            <w:tcBorders>
              <w:top w:val="single" w:sz="4" w:space="0" w:color="585858"/>
              <w:bottom w:val="single" w:sz="4" w:space="0" w:color="585858"/>
            </w:tcBorders>
          </w:tcPr>
          <w:p>
            <w:pPr>
              <w:pStyle w:val="TableParagraph"/>
              <w:spacing w:before="18"/>
              <w:ind w:left="333"/>
              <w:rPr>
                <w:sz w:val="18"/>
              </w:rPr>
            </w:pPr>
            <w:r>
              <w:rPr>
                <w:sz w:val="18"/>
              </w:rPr>
              <w:t>8.4</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24</w:t>
            </w:r>
          </w:p>
        </w:tc>
        <w:tc>
          <w:tcPr>
            <w:tcW w:w="1343" w:type="dxa"/>
            <w:tcBorders>
              <w:top w:val="single" w:sz="4" w:space="0" w:color="585858"/>
              <w:bottom w:val="single" w:sz="4" w:space="0" w:color="585858"/>
            </w:tcBorders>
          </w:tcPr>
          <w:p>
            <w:pPr>
              <w:pStyle w:val="TableParagraph"/>
              <w:spacing w:before="18"/>
              <w:ind w:left="331"/>
              <w:rPr>
                <w:sz w:val="18"/>
              </w:rPr>
            </w:pPr>
            <w:r>
              <w:rPr>
                <w:sz w:val="18"/>
              </w:rPr>
              <w:t>7.6</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18"/>
              <w:ind w:left="327"/>
              <w:rPr>
                <w:sz w:val="18"/>
              </w:rPr>
            </w:pPr>
            <w:r>
              <w:rPr>
                <w:sz w:val="18"/>
              </w:rPr>
              <w:t>7.7</w:t>
              <w:tab/>
              <w:t>!</w:t>
            </w:r>
          </w:p>
        </w:tc>
      </w:tr>
      <w:tr>
        <w:trPr>
          <w:trHeight w:val="245" w:hRule="atLeast"/>
        </w:trPr>
        <w:tc>
          <w:tcPr>
            <w:tcW w:w="2949" w:type="dxa"/>
            <w:tcBorders>
              <w:top w:val="single" w:sz="4" w:space="0" w:color="585858"/>
              <w:bottom w:val="single" w:sz="4" w:space="0" w:color="585858"/>
            </w:tcBorders>
          </w:tcPr>
          <w:p>
            <w:pPr>
              <w:pStyle w:val="TableParagraph"/>
              <w:spacing w:before="18"/>
              <w:ind w:left="474"/>
              <w:rPr>
                <w:sz w:val="18"/>
              </w:rPr>
            </w:pPr>
            <w:r>
              <w:rPr>
                <w:sz w:val="18"/>
              </w:rPr>
              <w:t>25</w:t>
            </w:r>
          </w:p>
        </w:tc>
        <w:tc>
          <w:tcPr>
            <w:tcW w:w="700" w:type="dxa"/>
            <w:tcBorders>
              <w:top w:val="single" w:sz="4" w:space="0" w:color="585858"/>
              <w:bottom w:val="single" w:sz="4" w:space="0" w:color="585858"/>
            </w:tcBorders>
          </w:tcPr>
          <w:p>
            <w:pPr>
              <w:pStyle w:val="TableParagraph"/>
              <w:spacing w:before="18"/>
              <w:ind w:right="132"/>
              <w:jc w:val="right"/>
              <w:rPr>
                <w:sz w:val="18"/>
              </w:rPr>
            </w:pPr>
            <w:r>
              <w:rPr>
                <w:sz w:val="18"/>
              </w:rPr>
              <w:t>59</w:t>
            </w:r>
          </w:p>
        </w:tc>
        <w:tc>
          <w:tcPr>
            <w:tcW w:w="1341" w:type="dxa"/>
            <w:tcBorders>
              <w:top w:val="single" w:sz="4" w:space="0" w:color="585858"/>
              <w:bottom w:val="single" w:sz="4" w:space="0" w:color="585858"/>
            </w:tcBorders>
          </w:tcPr>
          <w:p>
            <w:pPr>
              <w:pStyle w:val="TableParagraph"/>
              <w:spacing w:before="18"/>
              <w:ind w:left="233"/>
              <w:rPr>
                <w:sz w:val="18"/>
              </w:rPr>
            </w:pPr>
            <w:r>
              <w:rPr>
                <w:sz w:val="18"/>
              </w:rPr>
              <w:t>11.3</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27</w:t>
            </w:r>
          </w:p>
        </w:tc>
        <w:tc>
          <w:tcPr>
            <w:tcW w:w="1343" w:type="dxa"/>
            <w:tcBorders>
              <w:top w:val="single" w:sz="4" w:space="0" w:color="585858"/>
              <w:bottom w:val="single" w:sz="4" w:space="0" w:color="585858"/>
            </w:tcBorders>
          </w:tcPr>
          <w:p>
            <w:pPr>
              <w:pStyle w:val="TableParagraph"/>
              <w:spacing w:before="18"/>
              <w:ind w:left="331"/>
              <w:rPr>
                <w:sz w:val="18"/>
              </w:rPr>
            </w:pPr>
            <w:r>
              <w:rPr>
                <w:sz w:val="18"/>
              </w:rPr>
              <w:t>8.6</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18"/>
              <w:ind w:left="327"/>
              <w:rPr>
                <w:sz w:val="18"/>
              </w:rPr>
            </w:pPr>
            <w:r>
              <w:rPr>
                <w:sz w:val="18"/>
              </w:rPr>
              <w:t>5.8</w:t>
              <w:tab/>
              <w:t>!</w:t>
            </w:r>
          </w:p>
        </w:tc>
      </w:tr>
      <w:tr>
        <w:trPr>
          <w:trHeight w:val="246" w:hRule="atLeast"/>
        </w:trPr>
        <w:tc>
          <w:tcPr>
            <w:tcW w:w="2949" w:type="dxa"/>
            <w:tcBorders>
              <w:top w:val="single" w:sz="4" w:space="0" w:color="585858"/>
              <w:bottom w:val="single" w:sz="4" w:space="0" w:color="585858"/>
            </w:tcBorders>
          </w:tcPr>
          <w:p>
            <w:pPr>
              <w:pStyle w:val="TableParagraph"/>
              <w:spacing w:line="204" w:lineRule="exact" w:before="22"/>
              <w:ind w:left="474"/>
              <w:rPr>
                <w:sz w:val="18"/>
              </w:rPr>
            </w:pPr>
            <w:r>
              <w:rPr>
                <w:sz w:val="18"/>
              </w:rPr>
              <w:t>26</w:t>
            </w:r>
          </w:p>
        </w:tc>
        <w:tc>
          <w:tcPr>
            <w:tcW w:w="700" w:type="dxa"/>
            <w:tcBorders>
              <w:top w:val="single" w:sz="4" w:space="0" w:color="585858"/>
              <w:bottom w:val="single" w:sz="4" w:space="0" w:color="585858"/>
            </w:tcBorders>
          </w:tcPr>
          <w:p>
            <w:pPr>
              <w:pStyle w:val="TableParagraph"/>
              <w:spacing w:line="204" w:lineRule="exact" w:before="22"/>
              <w:ind w:right="132"/>
              <w:jc w:val="right"/>
              <w:rPr>
                <w:sz w:val="18"/>
              </w:rPr>
            </w:pPr>
            <w:r>
              <w:rPr>
                <w:sz w:val="18"/>
              </w:rPr>
              <w:t>46</w:t>
            </w:r>
          </w:p>
        </w:tc>
        <w:tc>
          <w:tcPr>
            <w:tcW w:w="1341" w:type="dxa"/>
            <w:tcBorders>
              <w:top w:val="single" w:sz="4" w:space="0" w:color="585858"/>
              <w:bottom w:val="single" w:sz="4" w:space="0" w:color="585858"/>
            </w:tcBorders>
          </w:tcPr>
          <w:p>
            <w:pPr>
              <w:pStyle w:val="TableParagraph"/>
              <w:spacing w:line="204" w:lineRule="exact" w:before="22"/>
              <w:ind w:left="333"/>
              <w:rPr>
                <w:sz w:val="18"/>
              </w:rPr>
            </w:pPr>
            <w:r>
              <w:rPr>
                <w:sz w:val="18"/>
              </w:rPr>
              <w:t>8.8</w:t>
            </w:r>
          </w:p>
        </w:tc>
        <w:tc>
          <w:tcPr>
            <w:tcW w:w="817" w:type="dxa"/>
            <w:tcBorders>
              <w:top w:val="single" w:sz="4" w:space="0" w:color="585858"/>
              <w:bottom w:val="single" w:sz="4" w:space="0" w:color="585858"/>
            </w:tcBorders>
          </w:tcPr>
          <w:p>
            <w:pPr>
              <w:pStyle w:val="TableParagraph"/>
              <w:spacing w:line="204" w:lineRule="exact" w:before="22"/>
              <w:ind w:right="134"/>
              <w:jc w:val="right"/>
              <w:rPr>
                <w:sz w:val="18"/>
              </w:rPr>
            </w:pPr>
            <w:r>
              <w:rPr>
                <w:sz w:val="18"/>
              </w:rPr>
              <w:t>23</w:t>
            </w:r>
          </w:p>
        </w:tc>
        <w:tc>
          <w:tcPr>
            <w:tcW w:w="1343" w:type="dxa"/>
            <w:tcBorders>
              <w:top w:val="single" w:sz="4" w:space="0" w:color="585858"/>
              <w:bottom w:val="single" w:sz="4" w:space="0" w:color="585858"/>
            </w:tcBorders>
          </w:tcPr>
          <w:p>
            <w:pPr>
              <w:pStyle w:val="TableParagraph"/>
              <w:spacing w:line="204" w:lineRule="exact" w:before="22"/>
              <w:ind w:left="331"/>
              <w:rPr>
                <w:sz w:val="18"/>
              </w:rPr>
            </w:pPr>
            <w:r>
              <w:rPr>
                <w:sz w:val="18"/>
              </w:rPr>
              <w:t>7.3</w:t>
            </w:r>
          </w:p>
        </w:tc>
        <w:tc>
          <w:tcPr>
            <w:tcW w:w="817" w:type="dxa"/>
            <w:tcBorders>
              <w:top w:val="single" w:sz="4" w:space="0" w:color="585858"/>
              <w:bottom w:val="single" w:sz="4" w:space="0" w:color="585858"/>
            </w:tcBorders>
          </w:tcPr>
          <w:p>
            <w:pPr>
              <w:pStyle w:val="TableParagraph"/>
              <w:spacing w:line="204" w:lineRule="exact" w:before="2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line="204" w:lineRule="exact" w:before="22"/>
              <w:ind w:left="227"/>
              <w:rPr>
                <w:sz w:val="18"/>
              </w:rPr>
            </w:pPr>
            <w:r>
              <w:rPr>
                <w:sz w:val="18"/>
              </w:rPr>
              <w:t>17.3</w:t>
              <w:tab/>
              <w:t>!</w:t>
            </w:r>
          </w:p>
        </w:tc>
      </w:tr>
      <w:tr>
        <w:trPr>
          <w:trHeight w:val="250" w:hRule="atLeast"/>
        </w:trPr>
        <w:tc>
          <w:tcPr>
            <w:tcW w:w="2949" w:type="dxa"/>
            <w:tcBorders>
              <w:top w:val="single" w:sz="4" w:space="0" w:color="585858"/>
              <w:bottom w:val="single" w:sz="4" w:space="0" w:color="585858"/>
            </w:tcBorders>
          </w:tcPr>
          <w:p>
            <w:pPr>
              <w:pStyle w:val="TableParagraph"/>
              <w:spacing w:before="22"/>
              <w:ind w:left="474"/>
              <w:rPr>
                <w:sz w:val="18"/>
              </w:rPr>
            </w:pPr>
            <w:r>
              <w:rPr>
                <w:sz w:val="18"/>
              </w:rPr>
              <w:t>27</w:t>
            </w:r>
          </w:p>
        </w:tc>
        <w:tc>
          <w:tcPr>
            <w:tcW w:w="700" w:type="dxa"/>
            <w:tcBorders>
              <w:top w:val="single" w:sz="4" w:space="0" w:color="585858"/>
              <w:bottom w:val="single" w:sz="4" w:space="0" w:color="585858"/>
            </w:tcBorders>
          </w:tcPr>
          <w:p>
            <w:pPr>
              <w:pStyle w:val="TableParagraph"/>
              <w:spacing w:before="22"/>
              <w:ind w:right="132"/>
              <w:jc w:val="right"/>
              <w:rPr>
                <w:sz w:val="18"/>
              </w:rPr>
            </w:pPr>
            <w:r>
              <w:rPr>
                <w:sz w:val="18"/>
              </w:rPr>
              <w:t>42</w:t>
            </w:r>
          </w:p>
        </w:tc>
        <w:tc>
          <w:tcPr>
            <w:tcW w:w="1341" w:type="dxa"/>
            <w:tcBorders>
              <w:top w:val="single" w:sz="4" w:space="0" w:color="585858"/>
              <w:bottom w:val="single" w:sz="4" w:space="0" w:color="585858"/>
            </w:tcBorders>
          </w:tcPr>
          <w:p>
            <w:pPr>
              <w:pStyle w:val="TableParagraph"/>
              <w:spacing w:before="22"/>
              <w:ind w:left="333"/>
              <w:rPr>
                <w:sz w:val="18"/>
              </w:rPr>
            </w:pPr>
            <w:r>
              <w:rPr>
                <w:sz w:val="18"/>
              </w:rPr>
              <w:t>8.0</w:t>
            </w:r>
          </w:p>
        </w:tc>
        <w:tc>
          <w:tcPr>
            <w:tcW w:w="817" w:type="dxa"/>
            <w:tcBorders>
              <w:top w:val="single" w:sz="4" w:space="0" w:color="585858"/>
              <w:bottom w:val="single" w:sz="4" w:space="0" w:color="585858"/>
            </w:tcBorders>
          </w:tcPr>
          <w:p>
            <w:pPr>
              <w:pStyle w:val="TableParagraph"/>
              <w:spacing w:before="22"/>
              <w:ind w:right="134"/>
              <w:jc w:val="right"/>
              <w:rPr>
                <w:sz w:val="18"/>
              </w:rPr>
            </w:pPr>
            <w:r>
              <w:rPr>
                <w:sz w:val="18"/>
              </w:rPr>
              <w:t>22</w:t>
            </w:r>
          </w:p>
        </w:tc>
        <w:tc>
          <w:tcPr>
            <w:tcW w:w="1343" w:type="dxa"/>
            <w:tcBorders>
              <w:top w:val="single" w:sz="4" w:space="0" w:color="585858"/>
              <w:bottom w:val="single" w:sz="4" w:space="0" w:color="585858"/>
            </w:tcBorders>
          </w:tcPr>
          <w:p>
            <w:pPr>
              <w:pStyle w:val="TableParagraph"/>
              <w:spacing w:before="22"/>
              <w:ind w:left="331"/>
              <w:rPr>
                <w:sz w:val="18"/>
              </w:rPr>
            </w:pPr>
            <w:r>
              <w:rPr>
                <w:sz w:val="18"/>
              </w:rPr>
              <w:t>7.0</w:t>
            </w:r>
          </w:p>
        </w:tc>
        <w:tc>
          <w:tcPr>
            <w:tcW w:w="817" w:type="dxa"/>
            <w:tcBorders>
              <w:top w:val="single" w:sz="4" w:space="0" w:color="585858"/>
              <w:bottom w:val="single" w:sz="4" w:space="0" w:color="585858"/>
            </w:tcBorders>
          </w:tcPr>
          <w:p>
            <w:pPr>
              <w:pStyle w:val="TableParagraph"/>
              <w:spacing w:before="2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22"/>
              <w:ind w:left="327"/>
              <w:rPr>
                <w:sz w:val="18"/>
              </w:rPr>
            </w:pPr>
            <w:r>
              <w:rPr>
                <w:sz w:val="18"/>
              </w:rPr>
              <w:t>9.6</w:t>
              <w:tab/>
              <w:t>!</w:t>
            </w:r>
          </w:p>
        </w:tc>
      </w:tr>
      <w:tr>
        <w:trPr>
          <w:trHeight w:val="245" w:hRule="atLeast"/>
        </w:trPr>
        <w:tc>
          <w:tcPr>
            <w:tcW w:w="2949" w:type="dxa"/>
            <w:tcBorders>
              <w:top w:val="single" w:sz="4" w:space="0" w:color="585858"/>
              <w:bottom w:val="single" w:sz="4" w:space="0" w:color="585858"/>
            </w:tcBorders>
          </w:tcPr>
          <w:p>
            <w:pPr>
              <w:pStyle w:val="TableParagraph"/>
              <w:spacing w:before="18"/>
              <w:ind w:left="474"/>
              <w:rPr>
                <w:sz w:val="18"/>
              </w:rPr>
            </w:pPr>
            <w:r>
              <w:rPr>
                <w:sz w:val="18"/>
              </w:rPr>
              <w:t>28</w:t>
            </w:r>
          </w:p>
        </w:tc>
        <w:tc>
          <w:tcPr>
            <w:tcW w:w="700" w:type="dxa"/>
            <w:tcBorders>
              <w:top w:val="single" w:sz="4" w:space="0" w:color="585858"/>
              <w:bottom w:val="single" w:sz="4" w:space="0" w:color="585858"/>
            </w:tcBorders>
          </w:tcPr>
          <w:p>
            <w:pPr>
              <w:pStyle w:val="TableParagraph"/>
              <w:spacing w:before="18"/>
              <w:ind w:right="132"/>
              <w:jc w:val="right"/>
              <w:rPr>
                <w:sz w:val="18"/>
              </w:rPr>
            </w:pPr>
            <w:r>
              <w:rPr>
                <w:sz w:val="18"/>
              </w:rPr>
              <w:t>31</w:t>
            </w:r>
          </w:p>
        </w:tc>
        <w:tc>
          <w:tcPr>
            <w:tcW w:w="1341" w:type="dxa"/>
            <w:tcBorders>
              <w:top w:val="single" w:sz="4" w:space="0" w:color="585858"/>
              <w:bottom w:val="single" w:sz="4" w:space="0" w:color="585858"/>
            </w:tcBorders>
          </w:tcPr>
          <w:p>
            <w:pPr>
              <w:pStyle w:val="TableParagraph"/>
              <w:spacing w:before="18"/>
              <w:ind w:left="333"/>
              <w:rPr>
                <w:sz w:val="18"/>
              </w:rPr>
            </w:pPr>
            <w:r>
              <w:rPr>
                <w:sz w:val="18"/>
              </w:rPr>
              <w:t>5.9</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30</w:t>
            </w:r>
          </w:p>
        </w:tc>
        <w:tc>
          <w:tcPr>
            <w:tcW w:w="1343" w:type="dxa"/>
            <w:tcBorders>
              <w:top w:val="single" w:sz="4" w:space="0" w:color="585858"/>
              <w:bottom w:val="single" w:sz="4" w:space="0" w:color="585858"/>
            </w:tcBorders>
          </w:tcPr>
          <w:p>
            <w:pPr>
              <w:pStyle w:val="TableParagraph"/>
              <w:spacing w:before="18"/>
              <w:ind w:left="331"/>
              <w:rPr>
                <w:sz w:val="18"/>
              </w:rPr>
            </w:pPr>
            <w:r>
              <w:rPr>
                <w:sz w:val="18"/>
              </w:rPr>
              <w:t>9.6</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18"/>
              <w:ind w:left="327"/>
              <w:rPr>
                <w:sz w:val="18"/>
              </w:rPr>
            </w:pPr>
            <w:r>
              <w:rPr>
                <w:sz w:val="18"/>
              </w:rPr>
              <w:t>5.8</w:t>
              <w:tab/>
              <w:t>!</w:t>
            </w:r>
          </w:p>
        </w:tc>
      </w:tr>
      <w:tr>
        <w:trPr>
          <w:trHeight w:val="245" w:hRule="atLeast"/>
        </w:trPr>
        <w:tc>
          <w:tcPr>
            <w:tcW w:w="2949" w:type="dxa"/>
            <w:tcBorders>
              <w:top w:val="single" w:sz="4" w:space="0" w:color="585858"/>
              <w:bottom w:val="single" w:sz="4" w:space="0" w:color="585858"/>
            </w:tcBorders>
          </w:tcPr>
          <w:p>
            <w:pPr>
              <w:pStyle w:val="TableParagraph"/>
              <w:spacing w:before="18"/>
              <w:ind w:left="474"/>
              <w:rPr>
                <w:sz w:val="18"/>
              </w:rPr>
            </w:pPr>
            <w:r>
              <w:rPr>
                <w:sz w:val="18"/>
              </w:rPr>
              <w:t>29</w:t>
            </w:r>
          </w:p>
        </w:tc>
        <w:tc>
          <w:tcPr>
            <w:tcW w:w="700" w:type="dxa"/>
            <w:tcBorders>
              <w:top w:val="single" w:sz="4" w:space="0" w:color="585858"/>
              <w:bottom w:val="single" w:sz="4" w:space="0" w:color="585858"/>
            </w:tcBorders>
          </w:tcPr>
          <w:p>
            <w:pPr>
              <w:pStyle w:val="TableParagraph"/>
              <w:spacing w:before="18"/>
              <w:ind w:right="132"/>
              <w:jc w:val="right"/>
              <w:rPr>
                <w:sz w:val="18"/>
              </w:rPr>
            </w:pPr>
            <w:r>
              <w:rPr>
                <w:sz w:val="18"/>
              </w:rPr>
              <w:t>34</w:t>
            </w:r>
          </w:p>
        </w:tc>
        <w:tc>
          <w:tcPr>
            <w:tcW w:w="1341" w:type="dxa"/>
            <w:tcBorders>
              <w:top w:val="single" w:sz="4" w:space="0" w:color="585858"/>
              <w:bottom w:val="single" w:sz="4" w:space="0" w:color="585858"/>
            </w:tcBorders>
          </w:tcPr>
          <w:p>
            <w:pPr>
              <w:pStyle w:val="TableParagraph"/>
              <w:spacing w:before="18"/>
              <w:ind w:left="333"/>
              <w:rPr>
                <w:sz w:val="18"/>
              </w:rPr>
            </w:pPr>
            <w:r>
              <w:rPr>
                <w:sz w:val="18"/>
              </w:rPr>
              <w:t>6.5</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23</w:t>
            </w:r>
          </w:p>
        </w:tc>
        <w:tc>
          <w:tcPr>
            <w:tcW w:w="1343" w:type="dxa"/>
            <w:tcBorders>
              <w:top w:val="single" w:sz="4" w:space="0" w:color="585858"/>
              <w:bottom w:val="single" w:sz="4" w:space="0" w:color="585858"/>
            </w:tcBorders>
          </w:tcPr>
          <w:p>
            <w:pPr>
              <w:pStyle w:val="TableParagraph"/>
              <w:spacing w:before="18"/>
              <w:ind w:left="331"/>
              <w:rPr>
                <w:sz w:val="18"/>
              </w:rPr>
            </w:pPr>
            <w:r>
              <w:rPr>
                <w:sz w:val="18"/>
              </w:rPr>
              <w:t>7.3</w:t>
            </w:r>
          </w:p>
        </w:tc>
        <w:tc>
          <w:tcPr>
            <w:tcW w:w="817" w:type="dxa"/>
            <w:tcBorders>
              <w:top w:val="single" w:sz="4" w:space="0" w:color="585858"/>
              <w:bottom w:val="single" w:sz="4" w:space="0" w:color="585858"/>
            </w:tcBorders>
          </w:tcPr>
          <w:p>
            <w:pPr>
              <w:pStyle w:val="TableParagraph"/>
              <w:spacing w:before="18"/>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18"/>
              <w:ind w:left="327"/>
              <w:rPr>
                <w:sz w:val="18"/>
              </w:rPr>
            </w:pPr>
            <w:r>
              <w:rPr>
                <w:sz w:val="18"/>
              </w:rPr>
              <w:t>5.8</w:t>
              <w:tab/>
              <w:t>!</w:t>
            </w:r>
          </w:p>
        </w:tc>
      </w:tr>
      <w:tr>
        <w:trPr>
          <w:trHeight w:val="246" w:hRule="atLeast"/>
        </w:trPr>
        <w:tc>
          <w:tcPr>
            <w:tcW w:w="2949" w:type="dxa"/>
            <w:tcBorders>
              <w:top w:val="single" w:sz="4" w:space="0" w:color="585858"/>
              <w:bottom w:val="single" w:sz="4" w:space="0" w:color="585858"/>
            </w:tcBorders>
          </w:tcPr>
          <w:p>
            <w:pPr>
              <w:pStyle w:val="TableParagraph"/>
              <w:spacing w:line="204" w:lineRule="exact" w:before="22"/>
              <w:ind w:left="474"/>
              <w:rPr>
                <w:sz w:val="18"/>
              </w:rPr>
            </w:pPr>
            <w:r>
              <w:rPr>
                <w:sz w:val="18"/>
              </w:rPr>
              <w:t>30+</w:t>
            </w:r>
          </w:p>
        </w:tc>
        <w:tc>
          <w:tcPr>
            <w:tcW w:w="700" w:type="dxa"/>
            <w:tcBorders>
              <w:top w:val="single" w:sz="4" w:space="0" w:color="585858"/>
              <w:bottom w:val="single" w:sz="4" w:space="0" w:color="585858"/>
            </w:tcBorders>
          </w:tcPr>
          <w:p>
            <w:pPr>
              <w:pStyle w:val="TableParagraph"/>
              <w:spacing w:line="204" w:lineRule="exact" w:before="22"/>
              <w:ind w:right="133"/>
              <w:jc w:val="right"/>
              <w:rPr>
                <w:sz w:val="18"/>
              </w:rPr>
            </w:pPr>
            <w:r>
              <w:rPr>
                <w:sz w:val="18"/>
              </w:rPr>
              <w:t>168</w:t>
            </w:r>
          </w:p>
        </w:tc>
        <w:tc>
          <w:tcPr>
            <w:tcW w:w="1341" w:type="dxa"/>
            <w:tcBorders>
              <w:top w:val="single" w:sz="4" w:space="0" w:color="585858"/>
              <w:bottom w:val="single" w:sz="4" w:space="0" w:color="585858"/>
            </w:tcBorders>
          </w:tcPr>
          <w:p>
            <w:pPr>
              <w:pStyle w:val="TableParagraph"/>
              <w:spacing w:line="204" w:lineRule="exact" w:before="22"/>
              <w:ind w:left="232"/>
              <w:rPr>
                <w:sz w:val="18"/>
              </w:rPr>
            </w:pPr>
            <w:r>
              <w:rPr>
                <w:sz w:val="18"/>
              </w:rPr>
              <w:t>32.2</w:t>
            </w:r>
          </w:p>
        </w:tc>
        <w:tc>
          <w:tcPr>
            <w:tcW w:w="817" w:type="dxa"/>
            <w:tcBorders>
              <w:top w:val="single" w:sz="4" w:space="0" w:color="585858"/>
              <w:bottom w:val="single" w:sz="4" w:space="0" w:color="585858"/>
            </w:tcBorders>
          </w:tcPr>
          <w:p>
            <w:pPr>
              <w:pStyle w:val="TableParagraph"/>
              <w:spacing w:line="204" w:lineRule="exact" w:before="22"/>
              <w:ind w:right="135"/>
              <w:jc w:val="right"/>
              <w:rPr>
                <w:sz w:val="18"/>
              </w:rPr>
            </w:pPr>
            <w:r>
              <w:rPr>
                <w:sz w:val="18"/>
              </w:rPr>
              <w:t>130</w:t>
            </w:r>
          </w:p>
        </w:tc>
        <w:tc>
          <w:tcPr>
            <w:tcW w:w="1343" w:type="dxa"/>
            <w:tcBorders>
              <w:top w:val="single" w:sz="4" w:space="0" w:color="585858"/>
              <w:bottom w:val="single" w:sz="4" w:space="0" w:color="585858"/>
            </w:tcBorders>
          </w:tcPr>
          <w:p>
            <w:pPr>
              <w:pStyle w:val="TableParagraph"/>
              <w:spacing w:line="204" w:lineRule="exact" w:before="22"/>
              <w:ind w:left="230"/>
              <w:rPr>
                <w:sz w:val="18"/>
              </w:rPr>
            </w:pPr>
            <w:r>
              <w:rPr>
                <w:sz w:val="18"/>
              </w:rPr>
              <w:t>41.4</w:t>
            </w:r>
          </w:p>
        </w:tc>
        <w:tc>
          <w:tcPr>
            <w:tcW w:w="817" w:type="dxa"/>
            <w:tcBorders>
              <w:top w:val="single" w:sz="4" w:space="0" w:color="585858"/>
              <w:bottom w:val="single" w:sz="4" w:space="0" w:color="585858"/>
            </w:tcBorders>
          </w:tcPr>
          <w:p>
            <w:pPr>
              <w:pStyle w:val="TableParagraph"/>
              <w:spacing w:line="204" w:lineRule="exact" w:before="22"/>
              <w:ind w:right="134"/>
              <w:jc w:val="right"/>
              <w:rPr>
                <w:sz w:val="18"/>
              </w:rPr>
            </w:pPr>
            <w:r>
              <w:rPr>
                <w:sz w:val="18"/>
              </w:rPr>
              <w:t>15</w:t>
            </w:r>
          </w:p>
        </w:tc>
        <w:tc>
          <w:tcPr>
            <w:tcW w:w="1404" w:type="dxa"/>
            <w:tcBorders>
              <w:top w:val="single" w:sz="4" w:space="0" w:color="585858"/>
              <w:bottom w:val="single" w:sz="4" w:space="0" w:color="585858"/>
            </w:tcBorders>
          </w:tcPr>
          <w:p>
            <w:pPr>
              <w:pStyle w:val="TableParagraph"/>
              <w:spacing w:line="204" w:lineRule="exact" w:before="22"/>
              <w:ind w:left="227"/>
              <w:rPr>
                <w:sz w:val="18"/>
              </w:rPr>
            </w:pPr>
            <w:r>
              <w:rPr>
                <w:sz w:val="18"/>
              </w:rPr>
              <w:t>28.8</w:t>
            </w:r>
          </w:p>
        </w:tc>
      </w:tr>
      <w:tr>
        <w:trPr>
          <w:trHeight w:val="494" w:hRule="atLeast"/>
        </w:trPr>
        <w:tc>
          <w:tcPr>
            <w:tcW w:w="2949" w:type="dxa"/>
            <w:tcBorders>
              <w:top w:val="single" w:sz="4" w:space="0" w:color="585858"/>
              <w:bottom w:val="single" w:sz="4" w:space="0" w:color="585858"/>
            </w:tcBorders>
            <w:shd w:val="clear" w:color="auto" w:fill="D9E1F3"/>
          </w:tcPr>
          <w:p>
            <w:pPr>
              <w:pStyle w:val="TableParagraph"/>
              <w:spacing w:before="42"/>
              <w:ind w:left="114" w:right="573"/>
              <w:rPr>
                <w:sz w:val="18"/>
              </w:rPr>
            </w:pPr>
            <w:r>
              <w:rPr>
                <w:sz w:val="18"/>
              </w:rPr>
              <w:t>Involved in religious or faith- based group</w:t>
            </w:r>
          </w:p>
        </w:tc>
        <w:tc>
          <w:tcPr>
            <w:tcW w:w="700"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1"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3"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04"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289"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Yes</w:t>
            </w:r>
          </w:p>
        </w:tc>
        <w:tc>
          <w:tcPr>
            <w:tcW w:w="700" w:type="dxa"/>
            <w:tcBorders>
              <w:top w:val="single" w:sz="4" w:space="0" w:color="585858"/>
              <w:bottom w:val="single" w:sz="4" w:space="0" w:color="585858"/>
            </w:tcBorders>
          </w:tcPr>
          <w:p>
            <w:pPr>
              <w:pStyle w:val="TableParagraph"/>
              <w:spacing w:before="42"/>
              <w:ind w:right="133"/>
              <w:jc w:val="right"/>
              <w:rPr>
                <w:sz w:val="18"/>
              </w:rPr>
            </w:pPr>
            <w:r>
              <w:rPr>
                <w:sz w:val="18"/>
              </w:rPr>
              <w:t>33</w:t>
            </w:r>
          </w:p>
        </w:tc>
        <w:tc>
          <w:tcPr>
            <w:tcW w:w="1341" w:type="dxa"/>
            <w:tcBorders>
              <w:top w:val="single" w:sz="4" w:space="0" w:color="585858"/>
              <w:bottom w:val="single" w:sz="4" w:space="0" w:color="585858"/>
            </w:tcBorders>
          </w:tcPr>
          <w:p>
            <w:pPr>
              <w:pStyle w:val="TableParagraph"/>
              <w:tabs>
                <w:tab w:pos="467" w:val="left" w:leader="none"/>
              </w:tabs>
              <w:spacing w:before="42"/>
              <w:ind w:right="378"/>
              <w:jc w:val="right"/>
              <w:rPr>
                <w:sz w:val="18"/>
              </w:rPr>
            </w:pPr>
            <w:r>
              <w:rPr>
                <w:sz w:val="18"/>
              </w:rPr>
              <w:t>6.3</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28</w:t>
            </w:r>
          </w:p>
        </w:tc>
        <w:tc>
          <w:tcPr>
            <w:tcW w:w="1343" w:type="dxa"/>
            <w:tcBorders>
              <w:top w:val="single" w:sz="4" w:space="0" w:color="585858"/>
              <w:bottom w:val="single" w:sz="4" w:space="0" w:color="585858"/>
            </w:tcBorders>
          </w:tcPr>
          <w:p>
            <w:pPr>
              <w:pStyle w:val="TableParagraph"/>
              <w:tabs>
                <w:tab w:pos="467" w:val="left" w:leader="none"/>
              </w:tabs>
              <w:spacing w:before="42"/>
              <w:ind w:right="382"/>
              <w:jc w:val="right"/>
              <w:rPr>
                <w:sz w:val="18"/>
              </w:rPr>
            </w:pPr>
            <w:r>
              <w:rPr>
                <w:sz w:val="18"/>
              </w:rPr>
              <w:t>8.9</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467" w:val="left" w:leader="none"/>
              </w:tabs>
              <w:spacing w:before="42"/>
              <w:ind w:right="397"/>
              <w:jc w:val="right"/>
              <w:rPr>
                <w:sz w:val="18"/>
              </w:rPr>
            </w:pPr>
            <w:r>
              <w:rPr>
                <w:sz w:val="18"/>
              </w:rPr>
              <w:t>0.0</w:t>
              <w:tab/>
            </w:r>
            <w:r>
              <w:rPr>
                <w:spacing w:val="-1"/>
                <w:sz w:val="18"/>
              </w:rPr>
              <w:t>%!</w:t>
            </w: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No</w:t>
            </w:r>
          </w:p>
        </w:tc>
        <w:tc>
          <w:tcPr>
            <w:tcW w:w="700" w:type="dxa"/>
            <w:tcBorders>
              <w:top w:val="single" w:sz="4" w:space="0" w:color="585858"/>
              <w:bottom w:val="single" w:sz="4" w:space="0" w:color="585858"/>
            </w:tcBorders>
          </w:tcPr>
          <w:p>
            <w:pPr>
              <w:pStyle w:val="TableParagraph"/>
              <w:ind w:right="133"/>
              <w:jc w:val="right"/>
              <w:rPr>
                <w:sz w:val="18"/>
              </w:rPr>
            </w:pPr>
            <w:r>
              <w:rPr>
                <w:sz w:val="18"/>
              </w:rPr>
              <w:t>489</w:t>
            </w:r>
          </w:p>
        </w:tc>
        <w:tc>
          <w:tcPr>
            <w:tcW w:w="1341" w:type="dxa"/>
            <w:tcBorders>
              <w:top w:val="single" w:sz="4" w:space="0" w:color="585858"/>
              <w:bottom w:val="single" w:sz="4" w:space="0" w:color="585858"/>
            </w:tcBorders>
          </w:tcPr>
          <w:p>
            <w:pPr>
              <w:pStyle w:val="TableParagraph"/>
              <w:ind w:left="232"/>
              <w:rPr>
                <w:sz w:val="18"/>
              </w:rPr>
            </w:pPr>
            <w:r>
              <w:rPr>
                <w:sz w:val="18"/>
              </w:rPr>
              <w:t>93.7</w:t>
            </w:r>
          </w:p>
        </w:tc>
        <w:tc>
          <w:tcPr>
            <w:tcW w:w="817" w:type="dxa"/>
            <w:tcBorders>
              <w:top w:val="single" w:sz="4" w:space="0" w:color="585858"/>
              <w:bottom w:val="single" w:sz="4" w:space="0" w:color="585858"/>
            </w:tcBorders>
          </w:tcPr>
          <w:p>
            <w:pPr>
              <w:pStyle w:val="TableParagraph"/>
              <w:ind w:right="135"/>
              <w:jc w:val="right"/>
              <w:rPr>
                <w:sz w:val="18"/>
              </w:rPr>
            </w:pPr>
            <w:r>
              <w:rPr>
                <w:sz w:val="18"/>
              </w:rPr>
              <w:t>286</w:t>
            </w:r>
          </w:p>
        </w:tc>
        <w:tc>
          <w:tcPr>
            <w:tcW w:w="1343" w:type="dxa"/>
            <w:tcBorders>
              <w:top w:val="single" w:sz="4" w:space="0" w:color="585858"/>
              <w:bottom w:val="single" w:sz="4" w:space="0" w:color="585858"/>
            </w:tcBorders>
          </w:tcPr>
          <w:p>
            <w:pPr>
              <w:pStyle w:val="TableParagraph"/>
              <w:ind w:left="230"/>
              <w:rPr>
                <w:sz w:val="18"/>
              </w:rPr>
            </w:pPr>
            <w:r>
              <w:rPr>
                <w:sz w:val="18"/>
              </w:rPr>
              <w:t>91.1</w:t>
            </w:r>
          </w:p>
        </w:tc>
        <w:tc>
          <w:tcPr>
            <w:tcW w:w="817" w:type="dxa"/>
            <w:tcBorders>
              <w:top w:val="single" w:sz="4" w:space="0" w:color="585858"/>
              <w:bottom w:val="single" w:sz="4" w:space="0" w:color="585858"/>
            </w:tcBorders>
          </w:tcPr>
          <w:p>
            <w:pPr>
              <w:pStyle w:val="TableParagraph"/>
              <w:ind w:right="134"/>
              <w:jc w:val="right"/>
              <w:rPr>
                <w:sz w:val="18"/>
              </w:rPr>
            </w:pPr>
            <w:r>
              <w:rPr>
                <w:sz w:val="18"/>
              </w:rPr>
              <w:t>52</w:t>
            </w:r>
          </w:p>
        </w:tc>
        <w:tc>
          <w:tcPr>
            <w:tcW w:w="1404" w:type="dxa"/>
            <w:tcBorders>
              <w:top w:val="single" w:sz="4" w:space="0" w:color="585858"/>
              <w:bottom w:val="single" w:sz="4" w:space="0" w:color="585858"/>
            </w:tcBorders>
          </w:tcPr>
          <w:p>
            <w:pPr>
              <w:pStyle w:val="TableParagraph"/>
              <w:ind w:left="127"/>
              <w:rPr>
                <w:sz w:val="18"/>
              </w:rPr>
            </w:pPr>
            <w:r>
              <w:rPr>
                <w:sz w:val="18"/>
              </w:rPr>
              <w:t>100.0</w:t>
            </w:r>
          </w:p>
        </w:tc>
      </w:tr>
      <w:tr>
        <w:trPr>
          <w:trHeight w:val="285" w:hRule="atLeast"/>
        </w:trPr>
        <w:tc>
          <w:tcPr>
            <w:tcW w:w="2949" w:type="dxa"/>
            <w:tcBorders>
              <w:top w:val="single" w:sz="4" w:space="0" w:color="585858"/>
              <w:bottom w:val="single" w:sz="4" w:space="0" w:color="585858"/>
            </w:tcBorders>
            <w:shd w:val="clear" w:color="auto" w:fill="D9E1F3"/>
          </w:tcPr>
          <w:p>
            <w:pPr>
              <w:pStyle w:val="TableParagraph"/>
              <w:ind w:left="114"/>
              <w:rPr>
                <w:sz w:val="18"/>
              </w:rPr>
            </w:pPr>
            <w:r>
              <w:rPr>
                <w:sz w:val="18"/>
              </w:rPr>
              <w:t>Race</w:t>
            </w:r>
          </w:p>
        </w:tc>
        <w:tc>
          <w:tcPr>
            <w:tcW w:w="700"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1"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3"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04"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286"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White</w:t>
            </w:r>
          </w:p>
        </w:tc>
        <w:tc>
          <w:tcPr>
            <w:tcW w:w="700" w:type="dxa"/>
            <w:tcBorders>
              <w:top w:val="single" w:sz="4" w:space="0" w:color="585858"/>
              <w:bottom w:val="single" w:sz="4" w:space="0" w:color="585858"/>
            </w:tcBorders>
          </w:tcPr>
          <w:p>
            <w:pPr>
              <w:pStyle w:val="TableParagraph"/>
              <w:spacing w:before="42"/>
              <w:ind w:right="133"/>
              <w:jc w:val="right"/>
              <w:rPr>
                <w:sz w:val="18"/>
              </w:rPr>
            </w:pPr>
            <w:r>
              <w:rPr>
                <w:sz w:val="18"/>
              </w:rPr>
              <w:t>339</w:t>
            </w:r>
          </w:p>
        </w:tc>
        <w:tc>
          <w:tcPr>
            <w:tcW w:w="1341" w:type="dxa"/>
            <w:tcBorders>
              <w:top w:val="single" w:sz="4" w:space="0" w:color="585858"/>
              <w:bottom w:val="single" w:sz="4" w:space="0" w:color="585858"/>
            </w:tcBorders>
          </w:tcPr>
          <w:p>
            <w:pPr>
              <w:pStyle w:val="TableParagraph"/>
              <w:tabs>
                <w:tab w:pos="567" w:val="left" w:leader="none"/>
              </w:tabs>
              <w:spacing w:before="42"/>
              <w:ind w:right="377"/>
              <w:jc w:val="right"/>
              <w:rPr>
                <w:sz w:val="18"/>
              </w:rPr>
            </w:pPr>
            <w:r>
              <w:rPr>
                <w:sz w:val="18"/>
              </w:rPr>
              <w:t>64.9</w:t>
              <w:tab/>
              <w:t>%</w:t>
            </w:r>
          </w:p>
        </w:tc>
        <w:tc>
          <w:tcPr>
            <w:tcW w:w="817" w:type="dxa"/>
            <w:tcBorders>
              <w:top w:val="single" w:sz="4" w:space="0" w:color="585858"/>
              <w:bottom w:val="single" w:sz="4" w:space="0" w:color="585858"/>
            </w:tcBorders>
          </w:tcPr>
          <w:p>
            <w:pPr>
              <w:pStyle w:val="TableParagraph"/>
              <w:spacing w:before="42"/>
              <w:ind w:right="135"/>
              <w:jc w:val="right"/>
              <w:rPr>
                <w:sz w:val="18"/>
              </w:rPr>
            </w:pPr>
            <w:r>
              <w:rPr>
                <w:sz w:val="18"/>
              </w:rPr>
              <w:t>154</w:t>
            </w:r>
          </w:p>
        </w:tc>
        <w:tc>
          <w:tcPr>
            <w:tcW w:w="1343" w:type="dxa"/>
            <w:tcBorders>
              <w:top w:val="single" w:sz="4" w:space="0" w:color="585858"/>
              <w:bottom w:val="single" w:sz="4" w:space="0" w:color="585858"/>
            </w:tcBorders>
          </w:tcPr>
          <w:p>
            <w:pPr>
              <w:pStyle w:val="TableParagraph"/>
              <w:tabs>
                <w:tab w:pos="567" w:val="left" w:leader="none"/>
              </w:tabs>
              <w:spacing w:before="42"/>
              <w:ind w:right="381"/>
              <w:jc w:val="right"/>
              <w:rPr>
                <w:sz w:val="18"/>
              </w:rPr>
            </w:pPr>
            <w:r>
              <w:rPr>
                <w:sz w:val="18"/>
              </w:rPr>
              <w:t>49.0</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30</w:t>
            </w:r>
          </w:p>
        </w:tc>
        <w:tc>
          <w:tcPr>
            <w:tcW w:w="1404" w:type="dxa"/>
            <w:tcBorders>
              <w:top w:val="single" w:sz="4" w:space="0" w:color="585858"/>
              <w:bottom w:val="single" w:sz="4" w:space="0" w:color="585858"/>
            </w:tcBorders>
          </w:tcPr>
          <w:p>
            <w:pPr>
              <w:pStyle w:val="TableParagraph"/>
              <w:tabs>
                <w:tab w:pos="795" w:val="left" w:leader="none"/>
              </w:tabs>
              <w:spacing w:before="42"/>
              <w:ind w:left="227"/>
              <w:rPr>
                <w:sz w:val="18"/>
              </w:rPr>
            </w:pPr>
            <w:r>
              <w:rPr>
                <w:sz w:val="18"/>
              </w:rPr>
              <w:t>57.7</w:t>
              <w:tab/>
              <w:t>%</w:t>
            </w:r>
          </w:p>
        </w:tc>
      </w:tr>
      <w:tr>
        <w:trPr>
          <w:trHeight w:val="289"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Black or African American</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28</w:t>
            </w:r>
          </w:p>
        </w:tc>
        <w:tc>
          <w:tcPr>
            <w:tcW w:w="1341" w:type="dxa"/>
            <w:tcBorders>
              <w:top w:val="single" w:sz="4" w:space="0" w:color="585858"/>
              <w:bottom w:val="single" w:sz="4" w:space="0" w:color="585858"/>
            </w:tcBorders>
          </w:tcPr>
          <w:p>
            <w:pPr>
              <w:pStyle w:val="TableParagraph"/>
              <w:spacing w:before="42"/>
              <w:ind w:left="333"/>
              <w:rPr>
                <w:sz w:val="18"/>
              </w:rPr>
            </w:pPr>
            <w:r>
              <w:rPr>
                <w:sz w:val="18"/>
              </w:rPr>
              <w:t>5.4</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27</w:t>
            </w:r>
          </w:p>
        </w:tc>
        <w:tc>
          <w:tcPr>
            <w:tcW w:w="1343" w:type="dxa"/>
            <w:tcBorders>
              <w:top w:val="single" w:sz="4" w:space="0" w:color="585858"/>
              <w:bottom w:val="single" w:sz="4" w:space="0" w:color="585858"/>
            </w:tcBorders>
          </w:tcPr>
          <w:p>
            <w:pPr>
              <w:pStyle w:val="TableParagraph"/>
              <w:spacing w:before="42"/>
              <w:ind w:left="331"/>
              <w:rPr>
                <w:sz w:val="18"/>
              </w:rPr>
            </w:pPr>
            <w:r>
              <w:rPr>
                <w:sz w:val="18"/>
              </w:rPr>
              <w:t>8.6</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42"/>
              <w:ind w:left="327"/>
              <w:rPr>
                <w:sz w:val="18"/>
              </w:rPr>
            </w:pPr>
            <w:r>
              <w:rPr>
                <w:sz w:val="18"/>
              </w:rPr>
              <w:t>3.8</w:t>
              <w:tab/>
              <w:t>!</w:t>
            </w: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Hispanic</w:t>
            </w:r>
          </w:p>
        </w:tc>
        <w:tc>
          <w:tcPr>
            <w:tcW w:w="700" w:type="dxa"/>
            <w:tcBorders>
              <w:top w:val="single" w:sz="4" w:space="0" w:color="585858"/>
              <w:bottom w:val="single" w:sz="4" w:space="0" w:color="585858"/>
            </w:tcBorders>
          </w:tcPr>
          <w:p>
            <w:pPr>
              <w:pStyle w:val="TableParagraph"/>
              <w:ind w:right="132"/>
              <w:jc w:val="right"/>
              <w:rPr>
                <w:sz w:val="18"/>
              </w:rPr>
            </w:pPr>
            <w:r>
              <w:rPr>
                <w:sz w:val="18"/>
              </w:rPr>
              <w:t>42</w:t>
            </w:r>
          </w:p>
        </w:tc>
        <w:tc>
          <w:tcPr>
            <w:tcW w:w="1341" w:type="dxa"/>
            <w:tcBorders>
              <w:top w:val="single" w:sz="4" w:space="0" w:color="585858"/>
              <w:bottom w:val="single" w:sz="4" w:space="0" w:color="585858"/>
            </w:tcBorders>
          </w:tcPr>
          <w:p>
            <w:pPr>
              <w:pStyle w:val="TableParagraph"/>
              <w:ind w:left="333"/>
              <w:rPr>
                <w:sz w:val="18"/>
              </w:rPr>
            </w:pPr>
            <w:r>
              <w:rPr>
                <w:sz w:val="18"/>
              </w:rPr>
              <w:t>8.0</w:t>
            </w:r>
          </w:p>
        </w:tc>
        <w:tc>
          <w:tcPr>
            <w:tcW w:w="817" w:type="dxa"/>
            <w:tcBorders>
              <w:top w:val="single" w:sz="4" w:space="0" w:color="585858"/>
              <w:bottom w:val="single" w:sz="4" w:space="0" w:color="585858"/>
            </w:tcBorders>
          </w:tcPr>
          <w:p>
            <w:pPr>
              <w:pStyle w:val="TableParagraph"/>
              <w:ind w:right="134"/>
              <w:jc w:val="right"/>
              <w:rPr>
                <w:sz w:val="18"/>
              </w:rPr>
            </w:pPr>
            <w:r>
              <w:rPr>
                <w:sz w:val="18"/>
              </w:rPr>
              <w:t>29</w:t>
            </w:r>
          </w:p>
        </w:tc>
        <w:tc>
          <w:tcPr>
            <w:tcW w:w="1343" w:type="dxa"/>
            <w:tcBorders>
              <w:top w:val="single" w:sz="4" w:space="0" w:color="585858"/>
              <w:bottom w:val="single" w:sz="4" w:space="0" w:color="585858"/>
            </w:tcBorders>
          </w:tcPr>
          <w:p>
            <w:pPr>
              <w:pStyle w:val="TableParagraph"/>
              <w:ind w:left="331"/>
              <w:rPr>
                <w:sz w:val="18"/>
              </w:rPr>
            </w:pPr>
            <w:r>
              <w:rPr>
                <w:sz w:val="18"/>
              </w:rPr>
              <w:t>9.2</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ind w:left="227"/>
              <w:rPr>
                <w:sz w:val="18"/>
              </w:rPr>
            </w:pPr>
            <w:r>
              <w:rPr>
                <w:sz w:val="18"/>
              </w:rPr>
              <w:t>11.5</w:t>
              <w:tab/>
              <w:t>!</w:t>
            </w:r>
          </w:p>
        </w:tc>
      </w:tr>
      <w:tr>
        <w:trPr>
          <w:trHeight w:val="285" w:hRule="atLeast"/>
        </w:trPr>
        <w:tc>
          <w:tcPr>
            <w:tcW w:w="2949" w:type="dxa"/>
            <w:tcBorders>
              <w:top w:val="single" w:sz="4" w:space="0" w:color="585858"/>
              <w:bottom w:val="single" w:sz="4" w:space="0" w:color="585858"/>
            </w:tcBorders>
          </w:tcPr>
          <w:p>
            <w:pPr>
              <w:pStyle w:val="TableParagraph"/>
              <w:ind w:left="474"/>
              <w:rPr>
                <w:sz w:val="18"/>
              </w:rPr>
            </w:pPr>
            <w:r>
              <w:rPr>
                <w:sz w:val="18"/>
              </w:rPr>
              <w:t>Asian</w:t>
            </w:r>
          </w:p>
        </w:tc>
        <w:tc>
          <w:tcPr>
            <w:tcW w:w="700" w:type="dxa"/>
            <w:tcBorders>
              <w:top w:val="single" w:sz="4" w:space="0" w:color="585858"/>
              <w:bottom w:val="single" w:sz="4" w:space="0" w:color="585858"/>
            </w:tcBorders>
          </w:tcPr>
          <w:p>
            <w:pPr>
              <w:pStyle w:val="TableParagraph"/>
              <w:ind w:right="132"/>
              <w:jc w:val="right"/>
              <w:rPr>
                <w:sz w:val="18"/>
              </w:rPr>
            </w:pPr>
            <w:r>
              <w:rPr>
                <w:sz w:val="18"/>
              </w:rPr>
              <w:t>92</w:t>
            </w:r>
          </w:p>
        </w:tc>
        <w:tc>
          <w:tcPr>
            <w:tcW w:w="1341" w:type="dxa"/>
            <w:tcBorders>
              <w:top w:val="single" w:sz="4" w:space="0" w:color="585858"/>
              <w:bottom w:val="single" w:sz="4" w:space="0" w:color="585858"/>
            </w:tcBorders>
          </w:tcPr>
          <w:p>
            <w:pPr>
              <w:pStyle w:val="TableParagraph"/>
              <w:ind w:left="233"/>
              <w:rPr>
                <w:sz w:val="18"/>
              </w:rPr>
            </w:pPr>
            <w:r>
              <w:rPr>
                <w:sz w:val="18"/>
              </w:rPr>
              <w:t>17.6</w:t>
            </w:r>
          </w:p>
        </w:tc>
        <w:tc>
          <w:tcPr>
            <w:tcW w:w="817" w:type="dxa"/>
            <w:tcBorders>
              <w:top w:val="single" w:sz="4" w:space="0" w:color="585858"/>
              <w:bottom w:val="single" w:sz="4" w:space="0" w:color="585858"/>
            </w:tcBorders>
          </w:tcPr>
          <w:p>
            <w:pPr>
              <w:pStyle w:val="TableParagraph"/>
              <w:ind w:right="134"/>
              <w:jc w:val="right"/>
              <w:rPr>
                <w:sz w:val="18"/>
              </w:rPr>
            </w:pPr>
            <w:r>
              <w:rPr>
                <w:sz w:val="18"/>
              </w:rPr>
              <w:t>85</w:t>
            </w:r>
          </w:p>
        </w:tc>
        <w:tc>
          <w:tcPr>
            <w:tcW w:w="1343" w:type="dxa"/>
            <w:tcBorders>
              <w:top w:val="single" w:sz="4" w:space="0" w:color="585858"/>
              <w:bottom w:val="single" w:sz="4" w:space="0" w:color="585858"/>
            </w:tcBorders>
          </w:tcPr>
          <w:p>
            <w:pPr>
              <w:pStyle w:val="TableParagraph"/>
              <w:ind w:left="231"/>
              <w:rPr>
                <w:sz w:val="18"/>
              </w:rPr>
            </w:pPr>
            <w:r>
              <w:rPr>
                <w:sz w:val="18"/>
              </w:rPr>
              <w:t>27.1</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ind w:left="227"/>
              <w:rPr>
                <w:sz w:val="18"/>
              </w:rPr>
            </w:pPr>
            <w:r>
              <w:rPr>
                <w:sz w:val="18"/>
              </w:rPr>
              <w:t>13.5</w:t>
              <w:tab/>
              <w:t>!</w:t>
            </w:r>
          </w:p>
        </w:tc>
      </w:tr>
      <w:tr>
        <w:trPr>
          <w:trHeight w:val="494" w:hRule="atLeast"/>
        </w:trPr>
        <w:tc>
          <w:tcPr>
            <w:tcW w:w="2949" w:type="dxa"/>
            <w:tcBorders>
              <w:top w:val="single" w:sz="4" w:space="0" w:color="585858"/>
              <w:bottom w:val="single" w:sz="4" w:space="0" w:color="585858"/>
            </w:tcBorders>
          </w:tcPr>
          <w:p>
            <w:pPr>
              <w:pStyle w:val="TableParagraph"/>
              <w:ind w:left="474" w:right="674"/>
              <w:rPr>
                <w:sz w:val="18"/>
              </w:rPr>
            </w:pPr>
            <w:r>
              <w:rPr>
                <w:sz w:val="18"/>
              </w:rPr>
              <w:t>Native Hawaii/Pacifica Islander</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&lt;10</w:t>
            </w:r>
          </w:p>
        </w:tc>
        <w:tc>
          <w:tcPr>
            <w:tcW w:w="1341" w:type="dxa"/>
            <w:tcBorders>
              <w:top w:val="single" w:sz="4" w:space="0" w:color="585858"/>
              <w:bottom w:val="single" w:sz="4" w:space="0" w:color="585858"/>
            </w:tcBorders>
          </w:tcPr>
          <w:p>
            <w:pPr>
              <w:pStyle w:val="TableParagraph"/>
              <w:tabs>
                <w:tab w:pos="800" w:val="left" w:leader="none"/>
              </w:tabs>
              <w:spacing w:before="42"/>
              <w:ind w:left="333"/>
              <w:rPr>
                <w:sz w:val="18"/>
              </w:rPr>
            </w:pPr>
            <w:r>
              <w:rPr>
                <w:sz w:val="18"/>
              </w:rPr>
              <w:t>0.0</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343" w:type="dxa"/>
            <w:tcBorders>
              <w:top w:val="single" w:sz="4" w:space="0" w:color="585858"/>
              <w:bottom w:val="single" w:sz="4" w:space="0" w:color="585858"/>
            </w:tcBorders>
          </w:tcPr>
          <w:p>
            <w:pPr>
              <w:pStyle w:val="TableParagraph"/>
              <w:tabs>
                <w:tab w:pos="798" w:val="left" w:leader="none"/>
              </w:tabs>
              <w:spacing w:before="42"/>
              <w:ind w:left="331"/>
              <w:rPr>
                <w:sz w:val="18"/>
              </w:rPr>
            </w:pPr>
            <w:r>
              <w:rPr>
                <w:sz w:val="18"/>
              </w:rPr>
              <w:t>0.0</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42"/>
              <w:ind w:left="327"/>
              <w:rPr>
                <w:sz w:val="18"/>
              </w:rPr>
            </w:pPr>
            <w:r>
              <w:rPr>
                <w:sz w:val="18"/>
              </w:rPr>
              <w:t>1.9</w:t>
              <w:tab/>
              <w:t>!</w:t>
            </w:r>
          </w:p>
        </w:tc>
      </w:tr>
      <w:tr>
        <w:trPr>
          <w:trHeight w:val="494" w:hRule="atLeast"/>
        </w:trPr>
        <w:tc>
          <w:tcPr>
            <w:tcW w:w="2949" w:type="dxa"/>
            <w:tcBorders>
              <w:top w:val="single" w:sz="4" w:space="0" w:color="585858"/>
              <w:bottom w:val="single" w:sz="4" w:space="0" w:color="585858"/>
            </w:tcBorders>
          </w:tcPr>
          <w:p>
            <w:pPr>
              <w:pStyle w:val="TableParagraph"/>
              <w:ind w:left="474" w:right="564"/>
              <w:rPr>
                <w:sz w:val="18"/>
              </w:rPr>
            </w:pPr>
            <w:r>
              <w:rPr>
                <w:sz w:val="18"/>
              </w:rPr>
              <w:t>American Indian/Alaska Native</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&lt;10</w:t>
            </w:r>
          </w:p>
        </w:tc>
        <w:tc>
          <w:tcPr>
            <w:tcW w:w="1341" w:type="dxa"/>
            <w:tcBorders>
              <w:top w:val="single" w:sz="4" w:space="0" w:color="585858"/>
              <w:bottom w:val="single" w:sz="4" w:space="0" w:color="585858"/>
            </w:tcBorders>
          </w:tcPr>
          <w:p>
            <w:pPr>
              <w:pStyle w:val="TableParagraph"/>
              <w:tabs>
                <w:tab w:pos="800" w:val="left" w:leader="none"/>
              </w:tabs>
              <w:spacing w:before="42"/>
              <w:ind w:left="333"/>
              <w:rPr>
                <w:sz w:val="18"/>
              </w:rPr>
            </w:pPr>
            <w:r>
              <w:rPr>
                <w:sz w:val="18"/>
              </w:rPr>
              <w:t>0.6</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343" w:type="dxa"/>
            <w:tcBorders>
              <w:top w:val="single" w:sz="4" w:space="0" w:color="585858"/>
              <w:bottom w:val="single" w:sz="4" w:space="0" w:color="585858"/>
            </w:tcBorders>
          </w:tcPr>
          <w:p>
            <w:pPr>
              <w:pStyle w:val="TableParagraph"/>
              <w:tabs>
                <w:tab w:pos="798" w:val="left" w:leader="none"/>
              </w:tabs>
              <w:spacing w:before="42"/>
              <w:ind w:left="331"/>
              <w:rPr>
                <w:sz w:val="18"/>
              </w:rPr>
            </w:pPr>
            <w:r>
              <w:rPr>
                <w:sz w:val="18"/>
              </w:rPr>
              <w:t>0.3</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42"/>
              <w:ind w:left="327"/>
              <w:rPr>
                <w:sz w:val="18"/>
              </w:rPr>
            </w:pPr>
            <w:r>
              <w:rPr>
                <w:sz w:val="18"/>
              </w:rPr>
              <w:t>0.0</w:t>
              <w:tab/>
              <w:t>!</w:t>
            </w:r>
          </w:p>
        </w:tc>
      </w:tr>
      <w:tr>
        <w:trPr>
          <w:trHeight w:val="286" w:hRule="atLeast"/>
        </w:trPr>
        <w:tc>
          <w:tcPr>
            <w:tcW w:w="2949" w:type="dxa"/>
            <w:tcBorders>
              <w:top w:val="single" w:sz="4" w:space="0" w:color="585858"/>
              <w:bottom w:val="single" w:sz="4" w:space="0" w:color="585858"/>
            </w:tcBorders>
          </w:tcPr>
          <w:p>
            <w:pPr>
              <w:pStyle w:val="TableParagraph"/>
              <w:spacing w:before="42"/>
              <w:ind w:left="474"/>
              <w:rPr>
                <w:sz w:val="12"/>
              </w:rPr>
            </w:pPr>
            <w:r>
              <w:rPr>
                <w:sz w:val="18"/>
              </w:rPr>
              <w:t>More than one race </w:t>
            </w:r>
            <w:r>
              <w:rPr>
                <w:position w:val="5"/>
                <w:sz w:val="12"/>
              </w:rPr>
              <w:t>a</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13</w:t>
            </w:r>
          </w:p>
        </w:tc>
        <w:tc>
          <w:tcPr>
            <w:tcW w:w="1341" w:type="dxa"/>
            <w:tcBorders>
              <w:top w:val="single" w:sz="4" w:space="0" w:color="585858"/>
              <w:bottom w:val="single" w:sz="4" w:space="0" w:color="585858"/>
            </w:tcBorders>
          </w:tcPr>
          <w:p>
            <w:pPr>
              <w:pStyle w:val="TableParagraph"/>
              <w:spacing w:before="42"/>
              <w:ind w:left="333"/>
              <w:rPr>
                <w:sz w:val="18"/>
              </w:rPr>
            </w:pPr>
            <w:r>
              <w:rPr>
                <w:sz w:val="18"/>
              </w:rPr>
              <w:t>2.5</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11</w:t>
            </w:r>
          </w:p>
        </w:tc>
        <w:tc>
          <w:tcPr>
            <w:tcW w:w="1343" w:type="dxa"/>
            <w:tcBorders>
              <w:top w:val="single" w:sz="4" w:space="0" w:color="585858"/>
              <w:bottom w:val="single" w:sz="4" w:space="0" w:color="585858"/>
            </w:tcBorders>
          </w:tcPr>
          <w:p>
            <w:pPr>
              <w:pStyle w:val="TableParagraph"/>
              <w:spacing w:before="42"/>
              <w:ind w:left="331"/>
              <w:rPr>
                <w:sz w:val="18"/>
              </w:rPr>
            </w:pPr>
            <w:r>
              <w:rPr>
                <w:sz w:val="18"/>
              </w:rPr>
              <w:t>3.5</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42"/>
              <w:ind w:left="327"/>
              <w:rPr>
                <w:sz w:val="18"/>
              </w:rPr>
            </w:pPr>
            <w:r>
              <w:rPr>
                <w:sz w:val="18"/>
              </w:rPr>
              <w:t>9.6</w:t>
              <w:tab/>
              <w:t>!</w:t>
            </w:r>
          </w:p>
        </w:tc>
      </w:tr>
      <w:tr>
        <w:trPr>
          <w:trHeight w:val="290" w:hRule="atLeast"/>
        </w:trPr>
        <w:tc>
          <w:tcPr>
            <w:tcW w:w="2949" w:type="dxa"/>
            <w:tcBorders>
              <w:top w:val="single" w:sz="4" w:space="0" w:color="585858"/>
              <w:bottom w:val="single" w:sz="4" w:space="0" w:color="585858"/>
            </w:tcBorders>
            <w:shd w:val="clear" w:color="auto" w:fill="D9E1F3"/>
          </w:tcPr>
          <w:p>
            <w:pPr>
              <w:pStyle w:val="TableParagraph"/>
              <w:spacing w:before="42"/>
              <w:ind w:left="114"/>
              <w:rPr>
                <w:sz w:val="18"/>
              </w:rPr>
            </w:pPr>
            <w:r>
              <w:rPr>
                <w:sz w:val="18"/>
              </w:rPr>
              <w:t>International student</w:t>
            </w:r>
          </w:p>
        </w:tc>
        <w:tc>
          <w:tcPr>
            <w:tcW w:w="700"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1"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3"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04"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Yes</w:t>
            </w:r>
          </w:p>
        </w:tc>
        <w:tc>
          <w:tcPr>
            <w:tcW w:w="700" w:type="dxa"/>
            <w:tcBorders>
              <w:top w:val="single" w:sz="4" w:space="0" w:color="585858"/>
              <w:bottom w:val="single" w:sz="4" w:space="0" w:color="585858"/>
            </w:tcBorders>
          </w:tcPr>
          <w:p>
            <w:pPr>
              <w:pStyle w:val="TableParagraph"/>
              <w:ind w:right="133"/>
              <w:jc w:val="right"/>
              <w:rPr>
                <w:sz w:val="18"/>
              </w:rPr>
            </w:pPr>
            <w:r>
              <w:rPr>
                <w:sz w:val="18"/>
              </w:rPr>
              <w:t>113</w:t>
            </w:r>
          </w:p>
        </w:tc>
        <w:tc>
          <w:tcPr>
            <w:tcW w:w="1341" w:type="dxa"/>
            <w:tcBorders>
              <w:top w:val="single" w:sz="4" w:space="0" w:color="585858"/>
              <w:bottom w:val="single" w:sz="4" w:space="0" w:color="585858"/>
            </w:tcBorders>
          </w:tcPr>
          <w:p>
            <w:pPr>
              <w:pStyle w:val="TableParagraph"/>
              <w:tabs>
                <w:tab w:pos="567" w:val="left" w:leader="none"/>
              </w:tabs>
              <w:ind w:right="377"/>
              <w:jc w:val="right"/>
              <w:rPr>
                <w:sz w:val="18"/>
              </w:rPr>
            </w:pPr>
            <w:r>
              <w:rPr>
                <w:sz w:val="18"/>
              </w:rPr>
              <w:t>21.6</w:t>
              <w:tab/>
              <w:t>%</w:t>
            </w:r>
          </w:p>
        </w:tc>
        <w:tc>
          <w:tcPr>
            <w:tcW w:w="817" w:type="dxa"/>
            <w:tcBorders>
              <w:top w:val="single" w:sz="4" w:space="0" w:color="585858"/>
              <w:bottom w:val="single" w:sz="4" w:space="0" w:color="585858"/>
            </w:tcBorders>
          </w:tcPr>
          <w:p>
            <w:pPr>
              <w:pStyle w:val="TableParagraph"/>
              <w:ind w:right="135"/>
              <w:jc w:val="right"/>
              <w:rPr>
                <w:sz w:val="18"/>
              </w:rPr>
            </w:pPr>
            <w:r>
              <w:rPr>
                <w:sz w:val="18"/>
              </w:rPr>
              <w:t>114</w:t>
            </w:r>
          </w:p>
        </w:tc>
        <w:tc>
          <w:tcPr>
            <w:tcW w:w="1343" w:type="dxa"/>
            <w:tcBorders>
              <w:top w:val="single" w:sz="4" w:space="0" w:color="585858"/>
              <w:bottom w:val="single" w:sz="4" w:space="0" w:color="585858"/>
            </w:tcBorders>
          </w:tcPr>
          <w:p>
            <w:pPr>
              <w:pStyle w:val="TableParagraph"/>
              <w:tabs>
                <w:tab w:pos="567" w:val="left" w:leader="none"/>
              </w:tabs>
              <w:ind w:right="381"/>
              <w:jc w:val="right"/>
              <w:rPr>
                <w:sz w:val="18"/>
              </w:rPr>
            </w:pPr>
            <w:r>
              <w:rPr>
                <w:sz w:val="18"/>
              </w:rPr>
              <w:t>36.3</w:t>
              <w:tab/>
              <w:t>%</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567" w:val="left" w:leader="none"/>
              </w:tabs>
              <w:ind w:right="396"/>
              <w:jc w:val="right"/>
              <w:rPr>
                <w:sz w:val="18"/>
              </w:rPr>
            </w:pPr>
            <w:r>
              <w:rPr>
                <w:sz w:val="18"/>
              </w:rPr>
              <w:t>13.5</w:t>
              <w:tab/>
            </w:r>
            <w:r>
              <w:rPr>
                <w:spacing w:val="-1"/>
                <w:sz w:val="18"/>
              </w:rPr>
              <w:t>%!</w:t>
            </w: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No</w:t>
            </w:r>
          </w:p>
        </w:tc>
        <w:tc>
          <w:tcPr>
            <w:tcW w:w="700" w:type="dxa"/>
            <w:tcBorders>
              <w:top w:val="single" w:sz="4" w:space="0" w:color="585858"/>
              <w:bottom w:val="single" w:sz="4" w:space="0" w:color="585858"/>
            </w:tcBorders>
          </w:tcPr>
          <w:p>
            <w:pPr>
              <w:pStyle w:val="TableParagraph"/>
              <w:ind w:right="133"/>
              <w:jc w:val="right"/>
              <w:rPr>
                <w:sz w:val="18"/>
              </w:rPr>
            </w:pPr>
            <w:r>
              <w:rPr>
                <w:sz w:val="18"/>
              </w:rPr>
              <w:t>408</w:t>
            </w:r>
          </w:p>
        </w:tc>
        <w:tc>
          <w:tcPr>
            <w:tcW w:w="1341" w:type="dxa"/>
            <w:tcBorders>
              <w:top w:val="single" w:sz="4" w:space="0" w:color="585858"/>
              <w:bottom w:val="single" w:sz="4" w:space="0" w:color="585858"/>
            </w:tcBorders>
          </w:tcPr>
          <w:p>
            <w:pPr>
              <w:pStyle w:val="TableParagraph"/>
              <w:ind w:left="232"/>
              <w:rPr>
                <w:sz w:val="18"/>
              </w:rPr>
            </w:pPr>
            <w:r>
              <w:rPr>
                <w:sz w:val="18"/>
              </w:rPr>
              <w:t>78.2</w:t>
            </w:r>
          </w:p>
        </w:tc>
        <w:tc>
          <w:tcPr>
            <w:tcW w:w="817" w:type="dxa"/>
            <w:tcBorders>
              <w:top w:val="single" w:sz="4" w:space="0" w:color="585858"/>
              <w:bottom w:val="single" w:sz="4" w:space="0" w:color="585858"/>
            </w:tcBorders>
          </w:tcPr>
          <w:p>
            <w:pPr>
              <w:pStyle w:val="TableParagraph"/>
              <w:ind w:right="135"/>
              <w:jc w:val="right"/>
              <w:rPr>
                <w:sz w:val="18"/>
              </w:rPr>
            </w:pPr>
            <w:r>
              <w:rPr>
                <w:sz w:val="18"/>
              </w:rPr>
              <w:t>200</w:t>
            </w:r>
          </w:p>
        </w:tc>
        <w:tc>
          <w:tcPr>
            <w:tcW w:w="1343" w:type="dxa"/>
            <w:tcBorders>
              <w:top w:val="single" w:sz="4" w:space="0" w:color="585858"/>
              <w:bottom w:val="single" w:sz="4" w:space="0" w:color="585858"/>
            </w:tcBorders>
          </w:tcPr>
          <w:p>
            <w:pPr>
              <w:pStyle w:val="TableParagraph"/>
              <w:ind w:left="230"/>
              <w:rPr>
                <w:sz w:val="18"/>
              </w:rPr>
            </w:pPr>
            <w:r>
              <w:rPr>
                <w:sz w:val="18"/>
              </w:rPr>
              <w:t>63.7</w:t>
            </w:r>
          </w:p>
        </w:tc>
        <w:tc>
          <w:tcPr>
            <w:tcW w:w="817" w:type="dxa"/>
            <w:tcBorders>
              <w:top w:val="single" w:sz="4" w:space="0" w:color="585858"/>
              <w:bottom w:val="single" w:sz="4" w:space="0" w:color="585858"/>
            </w:tcBorders>
          </w:tcPr>
          <w:p>
            <w:pPr>
              <w:pStyle w:val="TableParagraph"/>
              <w:ind w:right="134"/>
              <w:jc w:val="right"/>
              <w:rPr>
                <w:sz w:val="18"/>
              </w:rPr>
            </w:pPr>
            <w:r>
              <w:rPr>
                <w:sz w:val="18"/>
              </w:rPr>
              <w:t>45</w:t>
            </w:r>
          </w:p>
        </w:tc>
        <w:tc>
          <w:tcPr>
            <w:tcW w:w="1404" w:type="dxa"/>
            <w:tcBorders>
              <w:top w:val="single" w:sz="4" w:space="0" w:color="585858"/>
              <w:bottom w:val="single" w:sz="4" w:space="0" w:color="585858"/>
            </w:tcBorders>
          </w:tcPr>
          <w:p>
            <w:pPr>
              <w:pStyle w:val="TableParagraph"/>
              <w:ind w:left="227"/>
              <w:rPr>
                <w:sz w:val="18"/>
              </w:rPr>
            </w:pPr>
            <w:r>
              <w:rPr>
                <w:sz w:val="18"/>
              </w:rPr>
              <w:t>86.5</w:t>
            </w:r>
          </w:p>
        </w:tc>
      </w:tr>
      <w:tr>
        <w:trPr>
          <w:trHeight w:val="286" w:hRule="atLeast"/>
        </w:trPr>
        <w:tc>
          <w:tcPr>
            <w:tcW w:w="2949" w:type="dxa"/>
            <w:tcBorders>
              <w:top w:val="single" w:sz="4" w:space="0" w:color="585858"/>
              <w:bottom w:val="single" w:sz="4" w:space="0" w:color="585858"/>
            </w:tcBorders>
            <w:shd w:val="clear" w:color="auto" w:fill="D9E1F3"/>
          </w:tcPr>
          <w:p>
            <w:pPr>
              <w:pStyle w:val="TableParagraph"/>
              <w:spacing w:before="42"/>
              <w:ind w:left="114"/>
              <w:rPr>
                <w:sz w:val="18"/>
              </w:rPr>
            </w:pPr>
            <w:r>
              <w:rPr>
                <w:sz w:val="18"/>
              </w:rPr>
              <w:t>Sexual orientation</w:t>
            </w:r>
          </w:p>
        </w:tc>
        <w:tc>
          <w:tcPr>
            <w:tcW w:w="700"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1"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343"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817"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c>
          <w:tcPr>
            <w:tcW w:w="1404"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289"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Straight/Heterosexual</w:t>
            </w:r>
          </w:p>
        </w:tc>
        <w:tc>
          <w:tcPr>
            <w:tcW w:w="700" w:type="dxa"/>
            <w:tcBorders>
              <w:top w:val="single" w:sz="4" w:space="0" w:color="585858"/>
              <w:bottom w:val="single" w:sz="4" w:space="0" w:color="585858"/>
            </w:tcBorders>
          </w:tcPr>
          <w:p>
            <w:pPr>
              <w:pStyle w:val="TableParagraph"/>
              <w:spacing w:before="42"/>
              <w:ind w:right="133"/>
              <w:jc w:val="right"/>
              <w:rPr>
                <w:sz w:val="18"/>
              </w:rPr>
            </w:pPr>
            <w:r>
              <w:rPr>
                <w:sz w:val="18"/>
              </w:rPr>
              <w:t>381</w:t>
            </w:r>
          </w:p>
        </w:tc>
        <w:tc>
          <w:tcPr>
            <w:tcW w:w="1341" w:type="dxa"/>
            <w:tcBorders>
              <w:top w:val="single" w:sz="4" w:space="0" w:color="585858"/>
              <w:bottom w:val="single" w:sz="4" w:space="0" w:color="585858"/>
            </w:tcBorders>
          </w:tcPr>
          <w:p>
            <w:pPr>
              <w:pStyle w:val="TableParagraph"/>
              <w:tabs>
                <w:tab w:pos="567" w:val="left" w:leader="none"/>
              </w:tabs>
              <w:spacing w:before="42"/>
              <w:ind w:right="377"/>
              <w:jc w:val="right"/>
              <w:rPr>
                <w:sz w:val="18"/>
              </w:rPr>
            </w:pPr>
            <w:r>
              <w:rPr>
                <w:sz w:val="18"/>
              </w:rPr>
              <w:t>73.0</w:t>
              <w:tab/>
              <w:t>%</w:t>
            </w:r>
          </w:p>
        </w:tc>
        <w:tc>
          <w:tcPr>
            <w:tcW w:w="817" w:type="dxa"/>
            <w:tcBorders>
              <w:top w:val="single" w:sz="4" w:space="0" w:color="585858"/>
              <w:bottom w:val="single" w:sz="4" w:space="0" w:color="585858"/>
            </w:tcBorders>
          </w:tcPr>
          <w:p>
            <w:pPr>
              <w:pStyle w:val="TableParagraph"/>
              <w:spacing w:before="42"/>
              <w:ind w:right="135"/>
              <w:jc w:val="right"/>
              <w:rPr>
                <w:sz w:val="18"/>
              </w:rPr>
            </w:pPr>
            <w:r>
              <w:rPr>
                <w:sz w:val="18"/>
              </w:rPr>
              <w:t>252</w:t>
            </w:r>
          </w:p>
        </w:tc>
        <w:tc>
          <w:tcPr>
            <w:tcW w:w="1343" w:type="dxa"/>
            <w:tcBorders>
              <w:top w:val="single" w:sz="4" w:space="0" w:color="585858"/>
              <w:bottom w:val="single" w:sz="4" w:space="0" w:color="585858"/>
            </w:tcBorders>
          </w:tcPr>
          <w:p>
            <w:pPr>
              <w:pStyle w:val="TableParagraph"/>
              <w:tabs>
                <w:tab w:pos="567" w:val="left" w:leader="none"/>
              </w:tabs>
              <w:spacing w:before="42"/>
              <w:ind w:right="381"/>
              <w:jc w:val="right"/>
              <w:rPr>
                <w:sz w:val="18"/>
              </w:rPr>
            </w:pPr>
            <w:r>
              <w:rPr>
                <w:sz w:val="18"/>
              </w:rPr>
              <w:t>80.3</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567" w:val="left" w:leader="none"/>
              </w:tabs>
              <w:spacing w:before="42"/>
              <w:ind w:right="396"/>
              <w:jc w:val="right"/>
              <w:rPr>
                <w:sz w:val="18"/>
              </w:rPr>
            </w:pPr>
            <w:r>
              <w:rPr>
                <w:sz w:val="18"/>
              </w:rPr>
              <w:t>11.5</w:t>
              <w:tab/>
            </w:r>
            <w:r>
              <w:rPr>
                <w:spacing w:val="-1"/>
                <w:sz w:val="18"/>
              </w:rPr>
              <w:t>%!</w:t>
            </w:r>
          </w:p>
        </w:tc>
      </w:tr>
      <w:tr>
        <w:trPr>
          <w:trHeight w:val="494" w:hRule="atLeast"/>
        </w:trPr>
        <w:tc>
          <w:tcPr>
            <w:tcW w:w="2949" w:type="dxa"/>
            <w:tcBorders>
              <w:top w:val="single" w:sz="4" w:space="0" w:color="585858"/>
              <w:bottom w:val="single" w:sz="4" w:space="0" w:color="585858"/>
            </w:tcBorders>
          </w:tcPr>
          <w:p>
            <w:pPr>
              <w:pStyle w:val="TableParagraph"/>
              <w:ind w:left="474" w:right="704"/>
              <w:rPr>
                <w:sz w:val="18"/>
              </w:rPr>
            </w:pPr>
            <w:r>
              <w:rPr>
                <w:sz w:val="18"/>
              </w:rPr>
              <w:t>Gay, lesbian, or same gender loving</w:t>
            </w:r>
          </w:p>
        </w:tc>
        <w:tc>
          <w:tcPr>
            <w:tcW w:w="700" w:type="dxa"/>
            <w:tcBorders>
              <w:top w:val="single" w:sz="4" w:space="0" w:color="585858"/>
              <w:bottom w:val="single" w:sz="4" w:space="0" w:color="585858"/>
            </w:tcBorders>
          </w:tcPr>
          <w:p>
            <w:pPr>
              <w:pStyle w:val="TableParagraph"/>
              <w:ind w:right="132"/>
              <w:jc w:val="right"/>
              <w:rPr>
                <w:sz w:val="18"/>
              </w:rPr>
            </w:pPr>
            <w:r>
              <w:rPr>
                <w:sz w:val="18"/>
              </w:rPr>
              <w:t>&lt;10</w:t>
            </w:r>
          </w:p>
        </w:tc>
        <w:tc>
          <w:tcPr>
            <w:tcW w:w="1341" w:type="dxa"/>
            <w:tcBorders>
              <w:top w:val="single" w:sz="4" w:space="0" w:color="585858"/>
              <w:bottom w:val="single" w:sz="4" w:space="0" w:color="585858"/>
            </w:tcBorders>
          </w:tcPr>
          <w:p>
            <w:pPr>
              <w:pStyle w:val="TableParagraph"/>
              <w:tabs>
                <w:tab w:pos="800" w:val="left" w:leader="none"/>
              </w:tabs>
              <w:ind w:left="333"/>
              <w:rPr>
                <w:sz w:val="18"/>
              </w:rPr>
            </w:pPr>
            <w:r>
              <w:rPr>
                <w:sz w:val="18"/>
              </w:rPr>
              <w:t>1.5</w:t>
              <w:tab/>
              <w:t>!</w:t>
            </w:r>
          </w:p>
        </w:tc>
        <w:tc>
          <w:tcPr>
            <w:tcW w:w="817" w:type="dxa"/>
            <w:tcBorders>
              <w:top w:val="single" w:sz="4" w:space="0" w:color="585858"/>
              <w:bottom w:val="single" w:sz="4" w:space="0" w:color="585858"/>
            </w:tcBorders>
          </w:tcPr>
          <w:p>
            <w:pPr>
              <w:pStyle w:val="TableParagraph"/>
              <w:ind w:right="134"/>
              <w:jc w:val="right"/>
              <w:rPr>
                <w:sz w:val="18"/>
              </w:rPr>
            </w:pPr>
            <w:r>
              <w:rPr>
                <w:sz w:val="18"/>
              </w:rPr>
              <w:t>19</w:t>
            </w:r>
          </w:p>
        </w:tc>
        <w:tc>
          <w:tcPr>
            <w:tcW w:w="1343" w:type="dxa"/>
            <w:tcBorders>
              <w:top w:val="single" w:sz="4" w:space="0" w:color="585858"/>
              <w:bottom w:val="single" w:sz="4" w:space="0" w:color="585858"/>
            </w:tcBorders>
          </w:tcPr>
          <w:p>
            <w:pPr>
              <w:pStyle w:val="TableParagraph"/>
              <w:ind w:left="331"/>
              <w:rPr>
                <w:sz w:val="18"/>
              </w:rPr>
            </w:pPr>
            <w:r>
              <w:rPr>
                <w:sz w:val="18"/>
              </w:rPr>
              <w:t>6.1</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ind w:left="227"/>
              <w:rPr>
                <w:sz w:val="18"/>
              </w:rPr>
            </w:pPr>
            <w:r>
              <w:rPr>
                <w:sz w:val="18"/>
              </w:rPr>
              <w:t>11.5</w:t>
              <w:tab/>
              <w:t>!</w:t>
            </w:r>
          </w:p>
        </w:tc>
      </w:tr>
      <w:tr>
        <w:trPr>
          <w:trHeight w:val="285" w:hRule="atLeast"/>
        </w:trPr>
        <w:tc>
          <w:tcPr>
            <w:tcW w:w="2949" w:type="dxa"/>
            <w:tcBorders>
              <w:top w:val="single" w:sz="4" w:space="0" w:color="585858"/>
              <w:bottom w:val="single" w:sz="4" w:space="0" w:color="585858"/>
            </w:tcBorders>
          </w:tcPr>
          <w:p>
            <w:pPr>
              <w:pStyle w:val="TableParagraph"/>
              <w:ind w:left="474"/>
              <w:rPr>
                <w:sz w:val="18"/>
              </w:rPr>
            </w:pPr>
            <w:r>
              <w:rPr>
                <w:sz w:val="18"/>
              </w:rPr>
              <w:t>Bisexual or pansexual</w:t>
            </w:r>
          </w:p>
        </w:tc>
        <w:tc>
          <w:tcPr>
            <w:tcW w:w="700" w:type="dxa"/>
            <w:tcBorders>
              <w:top w:val="single" w:sz="4" w:space="0" w:color="585858"/>
              <w:bottom w:val="single" w:sz="4" w:space="0" w:color="585858"/>
            </w:tcBorders>
          </w:tcPr>
          <w:p>
            <w:pPr>
              <w:pStyle w:val="TableParagraph"/>
              <w:ind w:right="132"/>
              <w:jc w:val="right"/>
              <w:rPr>
                <w:sz w:val="18"/>
              </w:rPr>
            </w:pPr>
            <w:r>
              <w:rPr>
                <w:sz w:val="18"/>
              </w:rPr>
              <w:t>57</w:t>
            </w:r>
          </w:p>
        </w:tc>
        <w:tc>
          <w:tcPr>
            <w:tcW w:w="1341" w:type="dxa"/>
            <w:tcBorders>
              <w:top w:val="single" w:sz="4" w:space="0" w:color="585858"/>
              <w:bottom w:val="single" w:sz="4" w:space="0" w:color="585858"/>
            </w:tcBorders>
          </w:tcPr>
          <w:p>
            <w:pPr>
              <w:pStyle w:val="TableParagraph"/>
              <w:ind w:left="233"/>
              <w:rPr>
                <w:sz w:val="18"/>
              </w:rPr>
            </w:pPr>
            <w:r>
              <w:rPr>
                <w:sz w:val="18"/>
              </w:rPr>
              <w:t>10.9</w:t>
            </w:r>
          </w:p>
        </w:tc>
        <w:tc>
          <w:tcPr>
            <w:tcW w:w="817" w:type="dxa"/>
            <w:tcBorders>
              <w:top w:val="single" w:sz="4" w:space="0" w:color="585858"/>
              <w:bottom w:val="single" w:sz="4" w:space="0" w:color="585858"/>
            </w:tcBorders>
          </w:tcPr>
          <w:p>
            <w:pPr>
              <w:pStyle w:val="TableParagraph"/>
              <w:ind w:right="134"/>
              <w:jc w:val="right"/>
              <w:rPr>
                <w:sz w:val="18"/>
              </w:rPr>
            </w:pPr>
            <w:r>
              <w:rPr>
                <w:sz w:val="18"/>
              </w:rPr>
              <w:t>13</w:t>
            </w:r>
          </w:p>
        </w:tc>
        <w:tc>
          <w:tcPr>
            <w:tcW w:w="1343" w:type="dxa"/>
            <w:tcBorders>
              <w:top w:val="single" w:sz="4" w:space="0" w:color="585858"/>
              <w:bottom w:val="single" w:sz="4" w:space="0" w:color="585858"/>
            </w:tcBorders>
          </w:tcPr>
          <w:p>
            <w:pPr>
              <w:pStyle w:val="TableParagraph"/>
              <w:ind w:left="331"/>
              <w:rPr>
                <w:sz w:val="18"/>
              </w:rPr>
            </w:pPr>
            <w:r>
              <w:rPr>
                <w:sz w:val="18"/>
              </w:rPr>
              <w:t>4.1</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ind w:left="227"/>
              <w:rPr>
                <w:sz w:val="18"/>
              </w:rPr>
            </w:pPr>
            <w:r>
              <w:rPr>
                <w:sz w:val="18"/>
              </w:rPr>
              <w:t>11.5</w:t>
              <w:tab/>
              <w:t>!</w:t>
            </w: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Asexual</w:t>
            </w:r>
          </w:p>
        </w:tc>
        <w:tc>
          <w:tcPr>
            <w:tcW w:w="700" w:type="dxa"/>
            <w:tcBorders>
              <w:top w:val="single" w:sz="4" w:space="0" w:color="585858"/>
              <w:bottom w:val="single" w:sz="4" w:space="0" w:color="585858"/>
            </w:tcBorders>
          </w:tcPr>
          <w:p>
            <w:pPr>
              <w:pStyle w:val="TableParagraph"/>
              <w:ind w:right="132"/>
              <w:jc w:val="right"/>
              <w:rPr>
                <w:sz w:val="18"/>
              </w:rPr>
            </w:pPr>
            <w:r>
              <w:rPr>
                <w:sz w:val="18"/>
              </w:rPr>
              <w:t>13</w:t>
            </w:r>
          </w:p>
        </w:tc>
        <w:tc>
          <w:tcPr>
            <w:tcW w:w="1341" w:type="dxa"/>
            <w:tcBorders>
              <w:top w:val="single" w:sz="4" w:space="0" w:color="585858"/>
              <w:bottom w:val="single" w:sz="4" w:space="0" w:color="585858"/>
            </w:tcBorders>
          </w:tcPr>
          <w:p>
            <w:pPr>
              <w:pStyle w:val="TableParagraph"/>
              <w:ind w:left="333"/>
              <w:rPr>
                <w:sz w:val="18"/>
              </w:rPr>
            </w:pPr>
            <w:r>
              <w:rPr>
                <w:sz w:val="18"/>
              </w:rPr>
              <w:t>2.5</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343" w:type="dxa"/>
            <w:tcBorders>
              <w:top w:val="single" w:sz="4" w:space="0" w:color="585858"/>
              <w:bottom w:val="single" w:sz="4" w:space="0" w:color="585858"/>
            </w:tcBorders>
          </w:tcPr>
          <w:p>
            <w:pPr>
              <w:pStyle w:val="TableParagraph"/>
              <w:tabs>
                <w:tab w:pos="798" w:val="left" w:leader="none"/>
              </w:tabs>
              <w:ind w:left="331"/>
              <w:rPr>
                <w:sz w:val="18"/>
              </w:rPr>
            </w:pPr>
            <w:r>
              <w:rPr>
                <w:sz w:val="18"/>
              </w:rPr>
              <w:t>1.0</w:t>
              <w:tab/>
              <w:t>!</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ind w:left="327"/>
              <w:rPr>
                <w:sz w:val="18"/>
              </w:rPr>
            </w:pPr>
            <w:r>
              <w:rPr>
                <w:sz w:val="18"/>
              </w:rPr>
              <w:t>1.9</w:t>
              <w:tab/>
              <w:t>!</w:t>
            </w:r>
          </w:p>
        </w:tc>
      </w:tr>
      <w:tr>
        <w:trPr>
          <w:trHeight w:val="286"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Queer</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34</w:t>
            </w:r>
          </w:p>
        </w:tc>
        <w:tc>
          <w:tcPr>
            <w:tcW w:w="1341" w:type="dxa"/>
            <w:tcBorders>
              <w:top w:val="single" w:sz="4" w:space="0" w:color="585858"/>
              <w:bottom w:val="single" w:sz="4" w:space="0" w:color="585858"/>
            </w:tcBorders>
          </w:tcPr>
          <w:p>
            <w:pPr>
              <w:pStyle w:val="TableParagraph"/>
              <w:spacing w:before="42"/>
              <w:ind w:left="333"/>
              <w:rPr>
                <w:sz w:val="18"/>
              </w:rPr>
            </w:pPr>
            <w:r>
              <w:rPr>
                <w:sz w:val="18"/>
              </w:rPr>
              <w:t>6.5</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343" w:type="dxa"/>
            <w:tcBorders>
              <w:top w:val="single" w:sz="4" w:space="0" w:color="585858"/>
              <w:bottom w:val="single" w:sz="4" w:space="0" w:color="585858"/>
            </w:tcBorders>
          </w:tcPr>
          <w:p>
            <w:pPr>
              <w:pStyle w:val="TableParagraph"/>
              <w:tabs>
                <w:tab w:pos="798" w:val="left" w:leader="none"/>
              </w:tabs>
              <w:spacing w:before="42"/>
              <w:ind w:left="331"/>
              <w:rPr>
                <w:sz w:val="18"/>
              </w:rPr>
            </w:pPr>
            <w:r>
              <w:rPr>
                <w:sz w:val="18"/>
              </w:rPr>
              <w:t>1.9</w:t>
              <w:tab/>
              <w:t>!</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26</w:t>
            </w:r>
          </w:p>
        </w:tc>
        <w:tc>
          <w:tcPr>
            <w:tcW w:w="1404" w:type="dxa"/>
            <w:tcBorders>
              <w:top w:val="single" w:sz="4" w:space="0" w:color="585858"/>
              <w:bottom w:val="single" w:sz="4" w:space="0" w:color="585858"/>
            </w:tcBorders>
          </w:tcPr>
          <w:p>
            <w:pPr>
              <w:pStyle w:val="TableParagraph"/>
              <w:spacing w:before="42"/>
              <w:ind w:left="227"/>
              <w:rPr>
                <w:sz w:val="18"/>
              </w:rPr>
            </w:pPr>
            <w:r>
              <w:rPr>
                <w:sz w:val="18"/>
              </w:rPr>
              <w:t>50.0</w:t>
            </w:r>
          </w:p>
        </w:tc>
      </w:tr>
      <w:tr>
        <w:trPr>
          <w:trHeight w:val="290" w:hRule="atLeast"/>
        </w:trPr>
        <w:tc>
          <w:tcPr>
            <w:tcW w:w="2949" w:type="dxa"/>
            <w:tcBorders>
              <w:top w:val="single" w:sz="4" w:space="0" w:color="585858"/>
              <w:bottom w:val="single" w:sz="4" w:space="0" w:color="585858"/>
            </w:tcBorders>
          </w:tcPr>
          <w:p>
            <w:pPr>
              <w:pStyle w:val="TableParagraph"/>
              <w:spacing w:before="42"/>
              <w:ind w:left="114"/>
              <w:rPr>
                <w:sz w:val="18"/>
              </w:rPr>
            </w:pPr>
            <w:r>
              <w:rPr>
                <w:sz w:val="18"/>
              </w:rPr>
              <w:t>Gender Identity</w:t>
            </w:r>
          </w:p>
        </w:tc>
        <w:tc>
          <w:tcPr>
            <w:tcW w:w="700" w:type="dxa"/>
            <w:tcBorders>
              <w:top w:val="single" w:sz="4" w:space="0" w:color="585858"/>
              <w:bottom w:val="single" w:sz="4" w:space="0" w:color="585858"/>
            </w:tcBorders>
          </w:tcPr>
          <w:p>
            <w:pPr>
              <w:pStyle w:val="TableParagraph"/>
              <w:spacing w:before="0"/>
              <w:rPr>
                <w:rFonts w:ascii="Times New Roman"/>
                <w:sz w:val="18"/>
              </w:rPr>
            </w:pPr>
          </w:p>
        </w:tc>
        <w:tc>
          <w:tcPr>
            <w:tcW w:w="1341" w:type="dxa"/>
            <w:tcBorders>
              <w:top w:val="single" w:sz="4" w:space="0" w:color="585858"/>
              <w:bottom w:val="single" w:sz="4" w:space="0" w:color="585858"/>
            </w:tcBorders>
          </w:tcPr>
          <w:p>
            <w:pPr>
              <w:pStyle w:val="TableParagraph"/>
              <w:spacing w:before="0"/>
              <w:rPr>
                <w:rFonts w:ascii="Times New Roman"/>
                <w:sz w:val="18"/>
              </w:rPr>
            </w:pPr>
          </w:p>
        </w:tc>
        <w:tc>
          <w:tcPr>
            <w:tcW w:w="817" w:type="dxa"/>
            <w:tcBorders>
              <w:top w:val="single" w:sz="4" w:space="0" w:color="585858"/>
              <w:bottom w:val="single" w:sz="4" w:space="0" w:color="585858"/>
            </w:tcBorders>
          </w:tcPr>
          <w:p>
            <w:pPr>
              <w:pStyle w:val="TableParagraph"/>
              <w:spacing w:before="0"/>
              <w:rPr>
                <w:rFonts w:ascii="Times New Roman"/>
                <w:sz w:val="18"/>
              </w:rPr>
            </w:pPr>
          </w:p>
        </w:tc>
        <w:tc>
          <w:tcPr>
            <w:tcW w:w="1343" w:type="dxa"/>
            <w:tcBorders>
              <w:top w:val="single" w:sz="4" w:space="0" w:color="585858"/>
              <w:bottom w:val="single" w:sz="4" w:space="0" w:color="585858"/>
            </w:tcBorders>
          </w:tcPr>
          <w:p>
            <w:pPr>
              <w:pStyle w:val="TableParagraph"/>
              <w:spacing w:before="0"/>
              <w:rPr>
                <w:rFonts w:ascii="Times New Roman"/>
                <w:sz w:val="18"/>
              </w:rPr>
            </w:pPr>
          </w:p>
        </w:tc>
        <w:tc>
          <w:tcPr>
            <w:tcW w:w="817" w:type="dxa"/>
            <w:tcBorders>
              <w:top w:val="single" w:sz="4" w:space="0" w:color="585858"/>
              <w:bottom w:val="single" w:sz="4" w:space="0" w:color="585858"/>
            </w:tcBorders>
          </w:tcPr>
          <w:p>
            <w:pPr>
              <w:pStyle w:val="TableParagraph"/>
              <w:spacing w:before="0"/>
              <w:rPr>
                <w:rFonts w:ascii="Times New Roman"/>
                <w:sz w:val="18"/>
              </w:rPr>
            </w:pPr>
          </w:p>
        </w:tc>
        <w:tc>
          <w:tcPr>
            <w:tcW w:w="1404"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Woman</w:t>
            </w:r>
          </w:p>
        </w:tc>
        <w:tc>
          <w:tcPr>
            <w:tcW w:w="700" w:type="dxa"/>
            <w:tcBorders>
              <w:top w:val="single" w:sz="4" w:space="0" w:color="585858"/>
              <w:bottom w:val="single" w:sz="4" w:space="0" w:color="585858"/>
            </w:tcBorders>
          </w:tcPr>
          <w:p>
            <w:pPr>
              <w:pStyle w:val="TableParagraph"/>
              <w:ind w:right="133"/>
              <w:jc w:val="right"/>
              <w:rPr>
                <w:sz w:val="18"/>
              </w:rPr>
            </w:pPr>
            <w:r>
              <w:rPr>
                <w:sz w:val="18"/>
              </w:rPr>
              <w:t>522</w:t>
            </w:r>
          </w:p>
        </w:tc>
        <w:tc>
          <w:tcPr>
            <w:tcW w:w="1341" w:type="dxa"/>
            <w:tcBorders>
              <w:top w:val="single" w:sz="4" w:space="0" w:color="585858"/>
              <w:bottom w:val="single" w:sz="4" w:space="0" w:color="585858"/>
            </w:tcBorders>
          </w:tcPr>
          <w:p>
            <w:pPr>
              <w:pStyle w:val="TableParagraph"/>
              <w:tabs>
                <w:tab w:pos="800" w:val="left" w:leader="none"/>
              </w:tabs>
              <w:ind w:left="133"/>
              <w:rPr>
                <w:sz w:val="18"/>
              </w:rPr>
            </w:pPr>
            <w:r>
              <w:rPr>
                <w:sz w:val="18"/>
              </w:rPr>
              <w:t>100.0</w:t>
              <w:tab/>
              <w:t>%</w:t>
            </w:r>
          </w:p>
        </w:tc>
        <w:tc>
          <w:tcPr>
            <w:tcW w:w="817" w:type="dxa"/>
            <w:tcBorders>
              <w:top w:val="single" w:sz="4" w:space="0" w:color="585858"/>
              <w:bottom w:val="single" w:sz="4" w:space="0" w:color="585858"/>
            </w:tcBorders>
          </w:tcPr>
          <w:p>
            <w:pPr>
              <w:pStyle w:val="TableParagraph"/>
              <w:ind w:right="134"/>
              <w:jc w:val="right"/>
              <w:rPr>
                <w:sz w:val="18"/>
              </w:rPr>
            </w:pPr>
            <w:r>
              <w:rPr>
                <w:sz w:val="18"/>
              </w:rPr>
              <w:t>n/a</w:t>
            </w:r>
          </w:p>
        </w:tc>
        <w:tc>
          <w:tcPr>
            <w:tcW w:w="1343" w:type="dxa"/>
            <w:tcBorders>
              <w:top w:val="single" w:sz="4" w:space="0" w:color="585858"/>
              <w:bottom w:val="single" w:sz="4" w:space="0" w:color="585858"/>
            </w:tcBorders>
          </w:tcPr>
          <w:p>
            <w:pPr>
              <w:pStyle w:val="TableParagraph"/>
              <w:tabs>
                <w:tab w:pos="467" w:val="left" w:leader="none"/>
              </w:tabs>
              <w:ind w:right="381"/>
              <w:jc w:val="right"/>
              <w:rPr>
                <w:sz w:val="18"/>
              </w:rPr>
            </w:pPr>
            <w:r>
              <w:rPr>
                <w:sz w:val="18"/>
              </w:rPr>
              <w:t>n/a</w:t>
              <w:tab/>
              <w:t>%</w:t>
            </w:r>
          </w:p>
        </w:tc>
        <w:tc>
          <w:tcPr>
            <w:tcW w:w="817" w:type="dxa"/>
            <w:tcBorders>
              <w:top w:val="single" w:sz="4" w:space="0" w:color="585858"/>
              <w:bottom w:val="single" w:sz="4" w:space="0" w:color="585858"/>
            </w:tcBorders>
          </w:tcPr>
          <w:p>
            <w:pPr>
              <w:pStyle w:val="TableParagraph"/>
              <w:ind w:right="134"/>
              <w:jc w:val="right"/>
              <w:rPr>
                <w:sz w:val="18"/>
              </w:rPr>
            </w:pPr>
            <w:r>
              <w:rPr>
                <w:sz w:val="18"/>
              </w:rPr>
              <w:t>n/a</w:t>
            </w:r>
          </w:p>
        </w:tc>
        <w:tc>
          <w:tcPr>
            <w:tcW w:w="1404" w:type="dxa"/>
            <w:tcBorders>
              <w:top w:val="single" w:sz="4" w:space="0" w:color="585858"/>
              <w:bottom w:val="single" w:sz="4" w:space="0" w:color="585858"/>
            </w:tcBorders>
          </w:tcPr>
          <w:p>
            <w:pPr>
              <w:pStyle w:val="TableParagraph"/>
              <w:tabs>
                <w:tab w:pos="795" w:val="left" w:leader="none"/>
              </w:tabs>
              <w:ind w:left="327"/>
              <w:rPr>
                <w:sz w:val="18"/>
              </w:rPr>
            </w:pPr>
            <w:r>
              <w:rPr>
                <w:sz w:val="18"/>
              </w:rPr>
              <w:t>n/a</w:t>
              <w:tab/>
              <w:t>%</w:t>
            </w: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Man</w:t>
            </w:r>
          </w:p>
        </w:tc>
        <w:tc>
          <w:tcPr>
            <w:tcW w:w="700" w:type="dxa"/>
            <w:tcBorders>
              <w:top w:val="single" w:sz="4" w:space="0" w:color="585858"/>
              <w:bottom w:val="single" w:sz="4" w:space="0" w:color="585858"/>
            </w:tcBorders>
          </w:tcPr>
          <w:p>
            <w:pPr>
              <w:pStyle w:val="TableParagraph"/>
              <w:ind w:right="132"/>
              <w:jc w:val="right"/>
              <w:rPr>
                <w:sz w:val="18"/>
              </w:rPr>
            </w:pPr>
            <w:r>
              <w:rPr>
                <w:sz w:val="18"/>
              </w:rPr>
              <w:t>n/a</w:t>
            </w:r>
          </w:p>
        </w:tc>
        <w:tc>
          <w:tcPr>
            <w:tcW w:w="1341" w:type="dxa"/>
            <w:tcBorders>
              <w:top w:val="single" w:sz="4" w:space="0" w:color="585858"/>
              <w:bottom w:val="single" w:sz="4" w:space="0" w:color="585858"/>
            </w:tcBorders>
          </w:tcPr>
          <w:p>
            <w:pPr>
              <w:pStyle w:val="TableParagraph"/>
              <w:ind w:left="333"/>
              <w:rPr>
                <w:sz w:val="18"/>
              </w:rPr>
            </w:pPr>
            <w:r>
              <w:rPr>
                <w:sz w:val="18"/>
              </w:rPr>
              <w:t>n/a</w:t>
            </w:r>
          </w:p>
        </w:tc>
        <w:tc>
          <w:tcPr>
            <w:tcW w:w="817" w:type="dxa"/>
            <w:tcBorders>
              <w:top w:val="single" w:sz="4" w:space="0" w:color="585858"/>
              <w:bottom w:val="single" w:sz="4" w:space="0" w:color="585858"/>
            </w:tcBorders>
          </w:tcPr>
          <w:p>
            <w:pPr>
              <w:pStyle w:val="TableParagraph"/>
              <w:ind w:right="135"/>
              <w:jc w:val="right"/>
              <w:rPr>
                <w:sz w:val="18"/>
              </w:rPr>
            </w:pPr>
            <w:r>
              <w:rPr>
                <w:sz w:val="18"/>
              </w:rPr>
              <w:t>314</w:t>
            </w:r>
          </w:p>
        </w:tc>
        <w:tc>
          <w:tcPr>
            <w:tcW w:w="1343" w:type="dxa"/>
            <w:tcBorders>
              <w:top w:val="single" w:sz="4" w:space="0" w:color="585858"/>
              <w:bottom w:val="single" w:sz="4" w:space="0" w:color="585858"/>
            </w:tcBorders>
          </w:tcPr>
          <w:p>
            <w:pPr>
              <w:pStyle w:val="TableParagraph"/>
              <w:ind w:left="131"/>
              <w:rPr>
                <w:sz w:val="18"/>
              </w:rPr>
            </w:pPr>
            <w:r>
              <w:rPr>
                <w:sz w:val="18"/>
              </w:rPr>
              <w:t>100.0</w:t>
            </w:r>
          </w:p>
        </w:tc>
        <w:tc>
          <w:tcPr>
            <w:tcW w:w="817" w:type="dxa"/>
            <w:tcBorders>
              <w:top w:val="single" w:sz="4" w:space="0" w:color="585858"/>
              <w:bottom w:val="single" w:sz="4" w:space="0" w:color="585858"/>
            </w:tcBorders>
          </w:tcPr>
          <w:p>
            <w:pPr>
              <w:pStyle w:val="TableParagraph"/>
              <w:ind w:right="134"/>
              <w:jc w:val="right"/>
              <w:rPr>
                <w:sz w:val="18"/>
              </w:rPr>
            </w:pPr>
            <w:r>
              <w:rPr>
                <w:sz w:val="18"/>
              </w:rPr>
              <w:t>n/a</w:t>
            </w:r>
          </w:p>
        </w:tc>
        <w:tc>
          <w:tcPr>
            <w:tcW w:w="1404" w:type="dxa"/>
            <w:tcBorders>
              <w:top w:val="single" w:sz="4" w:space="0" w:color="585858"/>
              <w:bottom w:val="single" w:sz="4" w:space="0" w:color="585858"/>
            </w:tcBorders>
          </w:tcPr>
          <w:p>
            <w:pPr>
              <w:pStyle w:val="TableParagraph"/>
              <w:ind w:left="327"/>
              <w:rPr>
                <w:sz w:val="18"/>
              </w:rPr>
            </w:pPr>
            <w:r>
              <w:rPr>
                <w:sz w:val="18"/>
              </w:rPr>
              <w:t>n/a</w:t>
            </w:r>
          </w:p>
        </w:tc>
      </w:tr>
      <w:tr>
        <w:trPr>
          <w:trHeight w:val="285"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Nonbinary</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n/a</w:t>
            </w:r>
          </w:p>
        </w:tc>
        <w:tc>
          <w:tcPr>
            <w:tcW w:w="1341" w:type="dxa"/>
            <w:tcBorders>
              <w:top w:val="single" w:sz="4" w:space="0" w:color="585858"/>
              <w:bottom w:val="single" w:sz="4" w:space="0" w:color="585858"/>
            </w:tcBorders>
          </w:tcPr>
          <w:p>
            <w:pPr>
              <w:pStyle w:val="TableParagraph"/>
              <w:spacing w:before="42"/>
              <w:ind w:left="333"/>
              <w:rPr>
                <w:sz w:val="18"/>
              </w:rPr>
            </w:pPr>
            <w:r>
              <w:rPr>
                <w:sz w:val="18"/>
              </w:rPr>
              <w:t>n/a</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n/a</w:t>
            </w:r>
          </w:p>
        </w:tc>
        <w:tc>
          <w:tcPr>
            <w:tcW w:w="1343" w:type="dxa"/>
            <w:tcBorders>
              <w:top w:val="single" w:sz="4" w:space="0" w:color="585858"/>
              <w:bottom w:val="single" w:sz="4" w:space="0" w:color="585858"/>
            </w:tcBorders>
          </w:tcPr>
          <w:p>
            <w:pPr>
              <w:pStyle w:val="TableParagraph"/>
              <w:spacing w:before="42"/>
              <w:ind w:left="331"/>
              <w:rPr>
                <w:sz w:val="18"/>
              </w:rPr>
            </w:pPr>
            <w:r>
              <w:rPr>
                <w:sz w:val="18"/>
              </w:rPr>
              <w:t>n/a</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29</w:t>
            </w:r>
          </w:p>
        </w:tc>
        <w:tc>
          <w:tcPr>
            <w:tcW w:w="1404" w:type="dxa"/>
            <w:tcBorders>
              <w:top w:val="single" w:sz="4" w:space="0" w:color="585858"/>
              <w:bottom w:val="single" w:sz="4" w:space="0" w:color="585858"/>
            </w:tcBorders>
          </w:tcPr>
          <w:p>
            <w:pPr>
              <w:pStyle w:val="TableParagraph"/>
              <w:spacing w:before="42"/>
              <w:ind w:left="227"/>
              <w:rPr>
                <w:sz w:val="18"/>
              </w:rPr>
            </w:pPr>
            <w:r>
              <w:rPr>
                <w:sz w:val="18"/>
              </w:rPr>
              <w:t>55.8</w:t>
            </w:r>
          </w:p>
        </w:tc>
      </w:tr>
      <w:tr>
        <w:trPr>
          <w:trHeight w:val="290" w:hRule="atLeast"/>
        </w:trPr>
        <w:tc>
          <w:tcPr>
            <w:tcW w:w="2949" w:type="dxa"/>
            <w:tcBorders>
              <w:top w:val="single" w:sz="4" w:space="0" w:color="585858"/>
              <w:bottom w:val="single" w:sz="4" w:space="0" w:color="585858"/>
            </w:tcBorders>
          </w:tcPr>
          <w:p>
            <w:pPr>
              <w:pStyle w:val="TableParagraph"/>
              <w:spacing w:before="42"/>
              <w:ind w:left="474"/>
              <w:rPr>
                <w:sz w:val="18"/>
              </w:rPr>
            </w:pPr>
            <w:r>
              <w:rPr>
                <w:sz w:val="18"/>
              </w:rPr>
              <w:t>Transgender woman</w:t>
            </w:r>
          </w:p>
        </w:tc>
        <w:tc>
          <w:tcPr>
            <w:tcW w:w="700" w:type="dxa"/>
            <w:tcBorders>
              <w:top w:val="single" w:sz="4" w:space="0" w:color="585858"/>
              <w:bottom w:val="single" w:sz="4" w:space="0" w:color="585858"/>
            </w:tcBorders>
          </w:tcPr>
          <w:p>
            <w:pPr>
              <w:pStyle w:val="TableParagraph"/>
              <w:spacing w:before="42"/>
              <w:ind w:right="132"/>
              <w:jc w:val="right"/>
              <w:rPr>
                <w:sz w:val="18"/>
              </w:rPr>
            </w:pPr>
            <w:r>
              <w:rPr>
                <w:sz w:val="18"/>
              </w:rPr>
              <w:t>n/a</w:t>
            </w:r>
          </w:p>
        </w:tc>
        <w:tc>
          <w:tcPr>
            <w:tcW w:w="1341" w:type="dxa"/>
            <w:tcBorders>
              <w:top w:val="single" w:sz="4" w:space="0" w:color="585858"/>
              <w:bottom w:val="single" w:sz="4" w:space="0" w:color="585858"/>
            </w:tcBorders>
          </w:tcPr>
          <w:p>
            <w:pPr>
              <w:pStyle w:val="TableParagraph"/>
              <w:spacing w:before="42"/>
              <w:ind w:left="333"/>
              <w:rPr>
                <w:sz w:val="18"/>
              </w:rPr>
            </w:pPr>
            <w:r>
              <w:rPr>
                <w:sz w:val="18"/>
              </w:rPr>
              <w:t>n/a</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n/a</w:t>
            </w:r>
          </w:p>
        </w:tc>
        <w:tc>
          <w:tcPr>
            <w:tcW w:w="1343" w:type="dxa"/>
            <w:tcBorders>
              <w:top w:val="single" w:sz="4" w:space="0" w:color="585858"/>
              <w:bottom w:val="single" w:sz="4" w:space="0" w:color="585858"/>
            </w:tcBorders>
          </w:tcPr>
          <w:p>
            <w:pPr>
              <w:pStyle w:val="TableParagraph"/>
              <w:spacing w:before="42"/>
              <w:ind w:left="331"/>
              <w:rPr>
                <w:sz w:val="18"/>
              </w:rPr>
            </w:pPr>
            <w:r>
              <w:rPr>
                <w:sz w:val="18"/>
              </w:rPr>
              <w:t>n/a</w:t>
            </w:r>
          </w:p>
        </w:tc>
        <w:tc>
          <w:tcPr>
            <w:tcW w:w="817" w:type="dxa"/>
            <w:tcBorders>
              <w:top w:val="single" w:sz="4" w:space="0" w:color="585858"/>
              <w:bottom w:val="single" w:sz="4" w:space="0" w:color="585858"/>
            </w:tcBorders>
          </w:tcPr>
          <w:p>
            <w:pPr>
              <w:pStyle w:val="TableParagraph"/>
              <w:spacing w:before="42"/>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spacing w:before="42"/>
              <w:ind w:left="327"/>
              <w:rPr>
                <w:sz w:val="18"/>
              </w:rPr>
            </w:pPr>
            <w:r>
              <w:rPr>
                <w:sz w:val="18"/>
              </w:rPr>
              <w:t>7.7</w:t>
              <w:tab/>
              <w:t>!</w:t>
            </w:r>
          </w:p>
        </w:tc>
      </w:tr>
      <w:tr>
        <w:trPr>
          <w:trHeight w:val="286" w:hRule="atLeast"/>
        </w:trPr>
        <w:tc>
          <w:tcPr>
            <w:tcW w:w="2949" w:type="dxa"/>
            <w:tcBorders>
              <w:top w:val="single" w:sz="4" w:space="0" w:color="585858"/>
              <w:bottom w:val="single" w:sz="4" w:space="0" w:color="585858"/>
            </w:tcBorders>
          </w:tcPr>
          <w:p>
            <w:pPr>
              <w:pStyle w:val="TableParagraph"/>
              <w:ind w:left="474"/>
              <w:rPr>
                <w:sz w:val="18"/>
              </w:rPr>
            </w:pPr>
            <w:r>
              <w:rPr>
                <w:sz w:val="18"/>
              </w:rPr>
              <w:t>Transgender man</w:t>
            </w:r>
          </w:p>
        </w:tc>
        <w:tc>
          <w:tcPr>
            <w:tcW w:w="700" w:type="dxa"/>
            <w:tcBorders>
              <w:top w:val="single" w:sz="4" w:space="0" w:color="585858"/>
              <w:bottom w:val="single" w:sz="4" w:space="0" w:color="585858"/>
            </w:tcBorders>
          </w:tcPr>
          <w:p>
            <w:pPr>
              <w:pStyle w:val="TableParagraph"/>
              <w:ind w:right="132"/>
              <w:jc w:val="right"/>
              <w:rPr>
                <w:sz w:val="18"/>
              </w:rPr>
            </w:pPr>
            <w:r>
              <w:rPr>
                <w:sz w:val="18"/>
              </w:rPr>
              <w:t>n/a</w:t>
            </w:r>
          </w:p>
        </w:tc>
        <w:tc>
          <w:tcPr>
            <w:tcW w:w="1341" w:type="dxa"/>
            <w:tcBorders>
              <w:top w:val="single" w:sz="4" w:space="0" w:color="585858"/>
              <w:bottom w:val="single" w:sz="4" w:space="0" w:color="585858"/>
            </w:tcBorders>
          </w:tcPr>
          <w:p>
            <w:pPr>
              <w:pStyle w:val="TableParagraph"/>
              <w:ind w:left="333"/>
              <w:rPr>
                <w:sz w:val="18"/>
              </w:rPr>
            </w:pPr>
            <w:r>
              <w:rPr>
                <w:sz w:val="18"/>
              </w:rPr>
              <w:t>n/a</w:t>
            </w:r>
          </w:p>
        </w:tc>
        <w:tc>
          <w:tcPr>
            <w:tcW w:w="817" w:type="dxa"/>
            <w:tcBorders>
              <w:top w:val="single" w:sz="4" w:space="0" w:color="585858"/>
              <w:bottom w:val="single" w:sz="4" w:space="0" w:color="585858"/>
            </w:tcBorders>
          </w:tcPr>
          <w:p>
            <w:pPr>
              <w:pStyle w:val="TableParagraph"/>
              <w:ind w:right="134"/>
              <w:jc w:val="right"/>
              <w:rPr>
                <w:sz w:val="18"/>
              </w:rPr>
            </w:pPr>
            <w:r>
              <w:rPr>
                <w:sz w:val="18"/>
              </w:rPr>
              <w:t>n/a</w:t>
            </w:r>
          </w:p>
        </w:tc>
        <w:tc>
          <w:tcPr>
            <w:tcW w:w="1343" w:type="dxa"/>
            <w:tcBorders>
              <w:top w:val="single" w:sz="4" w:space="0" w:color="585858"/>
              <w:bottom w:val="single" w:sz="4" w:space="0" w:color="585858"/>
            </w:tcBorders>
          </w:tcPr>
          <w:p>
            <w:pPr>
              <w:pStyle w:val="TableParagraph"/>
              <w:ind w:left="331"/>
              <w:rPr>
                <w:sz w:val="18"/>
              </w:rPr>
            </w:pPr>
            <w:r>
              <w:rPr>
                <w:sz w:val="18"/>
              </w:rPr>
              <w:t>n/a</w:t>
            </w:r>
          </w:p>
        </w:tc>
        <w:tc>
          <w:tcPr>
            <w:tcW w:w="817" w:type="dxa"/>
            <w:tcBorders>
              <w:top w:val="single" w:sz="4" w:space="0" w:color="585858"/>
              <w:bottom w:val="single" w:sz="4" w:space="0" w:color="585858"/>
            </w:tcBorders>
          </w:tcPr>
          <w:p>
            <w:pPr>
              <w:pStyle w:val="TableParagraph"/>
              <w:ind w:right="134"/>
              <w:jc w:val="right"/>
              <w:rPr>
                <w:sz w:val="18"/>
              </w:rPr>
            </w:pPr>
            <w:r>
              <w:rPr>
                <w:sz w:val="18"/>
              </w:rPr>
              <w:t>&lt;10</w:t>
            </w:r>
          </w:p>
        </w:tc>
        <w:tc>
          <w:tcPr>
            <w:tcW w:w="1404" w:type="dxa"/>
            <w:tcBorders>
              <w:top w:val="single" w:sz="4" w:space="0" w:color="585858"/>
              <w:bottom w:val="single" w:sz="4" w:space="0" w:color="585858"/>
            </w:tcBorders>
          </w:tcPr>
          <w:p>
            <w:pPr>
              <w:pStyle w:val="TableParagraph"/>
              <w:tabs>
                <w:tab w:pos="795" w:val="left" w:leader="none"/>
              </w:tabs>
              <w:ind w:left="327"/>
              <w:rPr>
                <w:sz w:val="18"/>
              </w:rPr>
            </w:pPr>
            <w:r>
              <w:rPr>
                <w:sz w:val="18"/>
              </w:rPr>
              <w:t>3.8</w:t>
              <w:tab/>
              <w:t>!</w:t>
            </w:r>
          </w:p>
        </w:tc>
      </w:tr>
      <w:tr>
        <w:trPr>
          <w:trHeight w:val="493" w:hRule="atLeast"/>
        </w:trPr>
        <w:tc>
          <w:tcPr>
            <w:tcW w:w="2949" w:type="dxa"/>
            <w:tcBorders>
              <w:top w:val="single" w:sz="4" w:space="0" w:color="585858"/>
              <w:bottom w:val="single" w:sz="4" w:space="0" w:color="000000"/>
            </w:tcBorders>
          </w:tcPr>
          <w:p>
            <w:pPr>
              <w:pStyle w:val="TableParagraph"/>
              <w:ind w:left="474" w:right="243"/>
              <w:rPr>
                <w:sz w:val="18"/>
              </w:rPr>
            </w:pPr>
            <w:r>
              <w:rPr>
                <w:sz w:val="18"/>
              </w:rPr>
              <w:t>Transgender and nonbinary or trans only</w:t>
            </w:r>
          </w:p>
        </w:tc>
        <w:tc>
          <w:tcPr>
            <w:tcW w:w="700" w:type="dxa"/>
            <w:tcBorders>
              <w:top w:val="single" w:sz="4" w:space="0" w:color="585858"/>
              <w:bottom w:val="single" w:sz="4" w:space="0" w:color="000000"/>
            </w:tcBorders>
          </w:tcPr>
          <w:p>
            <w:pPr>
              <w:pStyle w:val="TableParagraph"/>
              <w:ind w:right="132"/>
              <w:jc w:val="right"/>
              <w:rPr>
                <w:sz w:val="18"/>
              </w:rPr>
            </w:pPr>
            <w:r>
              <w:rPr>
                <w:sz w:val="18"/>
              </w:rPr>
              <w:t>n/a</w:t>
            </w:r>
          </w:p>
        </w:tc>
        <w:tc>
          <w:tcPr>
            <w:tcW w:w="1341" w:type="dxa"/>
            <w:tcBorders>
              <w:top w:val="single" w:sz="4" w:space="0" w:color="585858"/>
              <w:bottom w:val="single" w:sz="4" w:space="0" w:color="000000"/>
            </w:tcBorders>
          </w:tcPr>
          <w:p>
            <w:pPr>
              <w:pStyle w:val="TableParagraph"/>
              <w:ind w:left="333"/>
              <w:rPr>
                <w:sz w:val="18"/>
              </w:rPr>
            </w:pPr>
            <w:r>
              <w:rPr>
                <w:sz w:val="18"/>
              </w:rPr>
              <w:t>n/a</w:t>
            </w:r>
          </w:p>
        </w:tc>
        <w:tc>
          <w:tcPr>
            <w:tcW w:w="817" w:type="dxa"/>
            <w:tcBorders>
              <w:top w:val="single" w:sz="4" w:space="0" w:color="585858"/>
              <w:bottom w:val="single" w:sz="4" w:space="0" w:color="000000"/>
            </w:tcBorders>
          </w:tcPr>
          <w:p>
            <w:pPr>
              <w:pStyle w:val="TableParagraph"/>
              <w:ind w:right="134"/>
              <w:jc w:val="right"/>
              <w:rPr>
                <w:sz w:val="18"/>
              </w:rPr>
            </w:pPr>
            <w:r>
              <w:rPr>
                <w:sz w:val="18"/>
              </w:rPr>
              <w:t>n/a</w:t>
            </w:r>
          </w:p>
        </w:tc>
        <w:tc>
          <w:tcPr>
            <w:tcW w:w="1343" w:type="dxa"/>
            <w:tcBorders>
              <w:top w:val="single" w:sz="4" w:space="0" w:color="585858"/>
              <w:bottom w:val="single" w:sz="4" w:space="0" w:color="000000"/>
            </w:tcBorders>
          </w:tcPr>
          <w:p>
            <w:pPr>
              <w:pStyle w:val="TableParagraph"/>
              <w:ind w:left="331"/>
              <w:rPr>
                <w:sz w:val="18"/>
              </w:rPr>
            </w:pPr>
            <w:r>
              <w:rPr>
                <w:sz w:val="18"/>
              </w:rPr>
              <w:t>n/a</w:t>
            </w:r>
          </w:p>
        </w:tc>
        <w:tc>
          <w:tcPr>
            <w:tcW w:w="817" w:type="dxa"/>
            <w:tcBorders>
              <w:top w:val="single" w:sz="4" w:space="0" w:color="585858"/>
              <w:bottom w:val="single" w:sz="4" w:space="0" w:color="000000"/>
            </w:tcBorders>
          </w:tcPr>
          <w:p>
            <w:pPr>
              <w:pStyle w:val="TableParagraph"/>
              <w:ind w:right="134"/>
              <w:jc w:val="right"/>
              <w:rPr>
                <w:sz w:val="18"/>
              </w:rPr>
            </w:pPr>
            <w:r>
              <w:rPr>
                <w:sz w:val="18"/>
              </w:rPr>
              <w:t>14</w:t>
            </w:r>
          </w:p>
        </w:tc>
        <w:tc>
          <w:tcPr>
            <w:tcW w:w="1404" w:type="dxa"/>
            <w:tcBorders>
              <w:top w:val="single" w:sz="4" w:space="0" w:color="585858"/>
              <w:bottom w:val="single" w:sz="4" w:space="0" w:color="000000"/>
            </w:tcBorders>
          </w:tcPr>
          <w:p>
            <w:pPr>
              <w:pStyle w:val="TableParagraph"/>
              <w:ind w:left="227"/>
              <w:rPr>
                <w:sz w:val="18"/>
              </w:rPr>
            </w:pPr>
            <w:r>
              <w:rPr>
                <w:sz w:val="18"/>
              </w:rPr>
              <w:t>26.9</w:t>
            </w:r>
          </w:p>
        </w:tc>
      </w:tr>
    </w:tbl>
    <w:p>
      <w:pPr>
        <w:spacing w:line="206" w:lineRule="exact" w:before="0"/>
        <w:ind w:left="0" w:right="114" w:firstLine="0"/>
        <w:jc w:val="right"/>
        <w:rPr>
          <w:sz w:val="18"/>
        </w:rPr>
      </w:pPr>
      <w:r>
        <w:rPr>
          <w:sz w:val="18"/>
        </w:rPr>
        <w:t>(continued)</w:t>
      </w:r>
    </w:p>
    <w:p>
      <w:pPr>
        <w:spacing w:after="0" w:line="206" w:lineRule="exact"/>
        <w:jc w:val="right"/>
        <w:rPr>
          <w:sz w:val="18"/>
        </w:rPr>
        <w:sectPr>
          <w:headerReference w:type="default" r:id="rId39"/>
          <w:footerReference w:type="default" r:id="rId40"/>
          <w:pgSz w:w="12240" w:h="15840"/>
          <w:pgMar w:header="0" w:footer="592" w:top="1020" w:bottom="780" w:left="1320" w:right="1320"/>
          <w:pgNumType w:start="8"/>
        </w:sectPr>
      </w:pPr>
    </w:p>
    <w:p>
      <w:pPr>
        <w:pStyle w:val="BodyText"/>
      </w:pPr>
      <w:r>
        <w:rPr/>
        <w:pict>
          <v:group style="position:absolute;margin-left:72pt;margin-top:73.400002pt;width:468pt;height:54.8pt;mso-position-horizontal-relative:page;mso-position-vertical-relative:page;z-index:-261084160" coordorigin="1440,1468" coordsize="9360,1096">
            <v:shape style="position:absolute;left:1440;top:1468;width:9360;height:792" coordorigin="1440,1468" coordsize="9360,792" path="m10800,1468l10800,1468,4336,1468,1440,1468,1440,2260,1548,2260,4228,2260,10800,2260,10800,1972,4336,1972,4336,1964,10800,1964,10800,1468e" filled="true" fillcolor="#09357d" stroked="false">
              <v:path arrowok="t"/>
              <v:fill type="solid"/>
            </v:shape>
            <v:line style="position:absolute" from="4336,1974" to="5056,1974" stroked="true" strokeweight=".2pt" strokecolor="#09357d">
              <v:stroke dashstyle="solid"/>
            </v:line>
            <v:rect style="position:absolute;left:5056;top:1972;width:8;height:4" filled="true" fillcolor="#09357d" stroked="false">
              <v:fill type="solid"/>
            </v:rect>
            <v:line style="position:absolute" from="5064,1974" to="5776,1974" stroked="true" strokeweight=".2pt" strokecolor="#09357d">
              <v:stroke dashstyle="solid"/>
            </v:line>
            <v:rect style="position:absolute;left:5776;top:1972;width:8;height:4" filled="true" fillcolor="#09357d" stroked="false">
              <v:fill type="solid"/>
            </v:rect>
            <v:line style="position:absolute" from="5784,1974" to="6496,1974" stroked="true" strokeweight=".2pt" strokecolor="#09357d">
              <v:stroke dashstyle="solid"/>
            </v:line>
            <v:rect style="position:absolute;left:6496;top:1972;width:8;height:4" filled="true" fillcolor="#09357d" stroked="false">
              <v:fill type="solid"/>
            </v:rect>
            <v:line style="position:absolute" from="6504,1974" to="7212,1974" stroked="true" strokeweight=".2pt" strokecolor="#09357d">
              <v:stroke dashstyle="solid"/>
            </v:line>
            <v:rect style="position:absolute;left:7212;top:1972;width:8;height:4" filled="true" fillcolor="#09357d" stroked="false">
              <v:fill type="solid"/>
            </v:rect>
            <v:line style="position:absolute" from="7220,1974" to="7932,1974" stroked="true" strokeweight=".2pt" strokecolor="#09357d">
              <v:stroke dashstyle="solid"/>
            </v:line>
            <v:rect style="position:absolute;left:7932;top:1972;width:8;height:4" filled="true" fillcolor="#09357d" stroked="false">
              <v:fill type="solid"/>
            </v:rect>
            <v:line style="position:absolute" from="7940,1974" to="8652,1974" stroked="true" strokeweight=".2pt" strokecolor="#09357d">
              <v:stroke dashstyle="solid"/>
            </v:line>
            <v:rect style="position:absolute;left:8652;top:1972;width:8;height:4" filled="true" fillcolor="#09357d" stroked="false">
              <v:fill type="solid"/>
            </v:rect>
            <v:line style="position:absolute" from="8660,1974" to="9372,1974" stroked="true" strokeweight=".2pt" strokecolor="#09357d">
              <v:stroke dashstyle="solid"/>
            </v:line>
            <v:rect style="position:absolute;left:9372;top:1972;width:8;height:4" filled="true" fillcolor="#09357d" stroked="false">
              <v:fill type="solid"/>
            </v:rect>
            <v:line style="position:absolute" from="9380,1974" to="10088,1974" stroked="true" strokeweight=".2pt" strokecolor="#09357d">
              <v:stroke dashstyle="solid"/>
            </v:line>
            <v:rect style="position:absolute;left:10088;top:1972;width:9;height:4" filled="true" fillcolor="#09357d" stroked="false">
              <v:fill type="solid"/>
            </v:rect>
            <v:line style="position:absolute" from="10096,1974" to="10800,1974" stroked="true" strokeweight=".2pt" strokecolor="#09357d">
              <v:stroke dashstyle="solid"/>
            </v:line>
            <v:rect style="position:absolute;left:1440;top:2272;width:9360;height:284" filled="true" fillcolor="#d9e1f3" stroked="false">
              <v:fill type="solid"/>
            </v:rect>
            <v:line style="position:absolute" from="1440,2264" to="4336,2264" stroked="true" strokeweight=".4pt" strokecolor="#585858">
              <v:stroke dashstyle="solid"/>
            </v:line>
            <v:line style="position:absolute" from="1440,2270" to="4336,2270" stroked="true" strokeweight=".2pt" strokecolor="#d9e1f3">
              <v:stroke dashstyle="solid"/>
            </v:line>
            <v:rect style="position:absolute;left:4336;top:2268;width:8;height:4" filled="true" fillcolor="#d9e1f3" stroked="false">
              <v:fill type="solid"/>
            </v:rect>
            <v:rect style="position:absolute;left:4336;top:2260;width:8;height:8" filled="true" fillcolor="#585858" stroked="false">
              <v:fill type="solid"/>
            </v:rect>
            <v:line style="position:absolute" from="4344,2264" to="5056,2264" stroked="true" strokeweight=".4pt" strokecolor="#585858">
              <v:stroke dashstyle="solid"/>
            </v:line>
            <v:line style="position:absolute" from="4344,2270" to="5056,2270" stroked="true" strokeweight=".2pt" strokecolor="#d9e1f3">
              <v:stroke dashstyle="solid"/>
            </v:line>
            <v:rect style="position:absolute;left:5056;top:2268;width:8;height:4" filled="true" fillcolor="#d9e1f3" stroked="false">
              <v:fill type="solid"/>
            </v:rect>
            <v:rect style="position:absolute;left:5056;top:2260;width:8;height:8" filled="true" fillcolor="#585858" stroked="false">
              <v:fill type="solid"/>
            </v:rect>
            <v:line style="position:absolute" from="5064,2264" to="5776,2264" stroked="true" strokeweight=".4pt" strokecolor="#585858">
              <v:stroke dashstyle="solid"/>
            </v:line>
            <v:line style="position:absolute" from="5064,2270" to="5776,2270" stroked="true" strokeweight=".2pt" strokecolor="#d9e1f3">
              <v:stroke dashstyle="solid"/>
            </v:line>
            <v:rect style="position:absolute;left:5776;top:2268;width:8;height:4" filled="true" fillcolor="#d9e1f3" stroked="false">
              <v:fill type="solid"/>
            </v:rect>
            <v:rect style="position:absolute;left:5776;top:2260;width:8;height:8" filled="true" fillcolor="#585858" stroked="false">
              <v:fill type="solid"/>
            </v:rect>
            <v:line style="position:absolute" from="5784,2264" to="6496,2264" stroked="true" strokeweight=".4pt" strokecolor="#585858">
              <v:stroke dashstyle="solid"/>
            </v:line>
            <v:line style="position:absolute" from="5784,2270" to="6496,2270" stroked="true" strokeweight=".2pt" strokecolor="#d9e1f3">
              <v:stroke dashstyle="solid"/>
            </v:line>
            <v:rect style="position:absolute;left:6496;top:2268;width:8;height:4" filled="true" fillcolor="#d9e1f3" stroked="false">
              <v:fill type="solid"/>
            </v:rect>
            <v:rect style="position:absolute;left:6496;top:2260;width:8;height:8" filled="true" fillcolor="#585858" stroked="false">
              <v:fill type="solid"/>
            </v:rect>
            <v:line style="position:absolute" from="6504,2264" to="7212,2264" stroked="true" strokeweight=".4pt" strokecolor="#585858">
              <v:stroke dashstyle="solid"/>
            </v:line>
            <v:line style="position:absolute" from="6504,2270" to="7212,2270" stroked="true" strokeweight=".2pt" strokecolor="#d9e1f3">
              <v:stroke dashstyle="solid"/>
            </v:line>
            <v:rect style="position:absolute;left:7212;top:2268;width:8;height:4" filled="true" fillcolor="#d9e1f3" stroked="false">
              <v:fill type="solid"/>
            </v:rect>
            <v:rect style="position:absolute;left:7212;top:2260;width:8;height:8" filled="true" fillcolor="#585858" stroked="false">
              <v:fill type="solid"/>
            </v:rect>
            <v:line style="position:absolute" from="7220,2264" to="7932,2264" stroked="true" strokeweight=".4pt" strokecolor="#585858">
              <v:stroke dashstyle="solid"/>
            </v:line>
            <v:line style="position:absolute" from="7220,2270" to="7932,2270" stroked="true" strokeweight=".2pt" strokecolor="#d9e1f3">
              <v:stroke dashstyle="solid"/>
            </v:line>
            <v:rect style="position:absolute;left:7932;top:2268;width:8;height:4" filled="true" fillcolor="#d9e1f3" stroked="false">
              <v:fill type="solid"/>
            </v:rect>
            <v:rect style="position:absolute;left:7932;top:2260;width:8;height:8" filled="true" fillcolor="#585858" stroked="false">
              <v:fill type="solid"/>
            </v:rect>
            <v:line style="position:absolute" from="7940,2264" to="8652,2264" stroked="true" strokeweight=".4pt" strokecolor="#585858">
              <v:stroke dashstyle="solid"/>
            </v:line>
            <v:line style="position:absolute" from="7940,2270" to="8652,2270" stroked="true" strokeweight=".2pt" strokecolor="#d9e1f3">
              <v:stroke dashstyle="solid"/>
            </v:line>
            <v:rect style="position:absolute;left:8652;top:2268;width:8;height:4" filled="true" fillcolor="#d9e1f3" stroked="false">
              <v:fill type="solid"/>
            </v:rect>
            <v:rect style="position:absolute;left:8652;top:2260;width:8;height:8" filled="true" fillcolor="#585858" stroked="false">
              <v:fill type="solid"/>
            </v:rect>
            <v:line style="position:absolute" from="8660,2264" to="9372,2264" stroked="true" strokeweight=".4pt" strokecolor="#585858">
              <v:stroke dashstyle="solid"/>
            </v:line>
            <v:line style="position:absolute" from="8660,2270" to="9372,2270" stroked="true" strokeweight=".2pt" strokecolor="#d9e1f3">
              <v:stroke dashstyle="solid"/>
            </v:line>
            <v:rect style="position:absolute;left:9372;top:2268;width:8;height:4" filled="true" fillcolor="#d9e1f3" stroked="false">
              <v:fill type="solid"/>
            </v:rect>
            <v:rect style="position:absolute;left:9372;top:2260;width:8;height:8" filled="true" fillcolor="#585858" stroked="false">
              <v:fill type="solid"/>
            </v:rect>
            <v:line style="position:absolute" from="9380,2264" to="10088,2264" stroked="true" strokeweight=".4pt" strokecolor="#585858">
              <v:stroke dashstyle="solid"/>
            </v:line>
            <v:line style="position:absolute" from="9380,2270" to="10088,2270" stroked="true" strokeweight=".2pt" strokecolor="#d9e1f3">
              <v:stroke dashstyle="solid"/>
            </v:line>
            <v:rect style="position:absolute;left:10088;top:2268;width:9;height:4" filled="true" fillcolor="#d9e1f3" stroked="false">
              <v:fill type="solid"/>
            </v:rect>
            <v:rect style="position:absolute;left:10088;top:2260;width:9;height:8" filled="true" fillcolor="#585858" stroked="false">
              <v:fill type="solid"/>
            </v:rect>
            <v:line style="position:absolute" from="10096,2264" to="10800,2264" stroked="true" strokeweight=".4pt" strokecolor="#585858">
              <v:stroke dashstyle="solid"/>
            </v:line>
            <v:line style="position:absolute" from="10096,2270" to="10800,2270" stroked="true" strokeweight=".2pt" strokecolor="#d9e1f3">
              <v:stroke dashstyle="solid"/>
            </v:line>
            <v:line style="position:absolute" from="1440,2560" to="1800,2560" stroked="true" strokeweight=".4pt" strokecolor="#585858">
              <v:stroke dashstyle="solid"/>
            </v:line>
            <v:rect style="position:absolute;left:1800;top:2556;width:8;height:8" filled="true" fillcolor="#585858" stroked="false">
              <v:fill type="solid"/>
            </v:rect>
            <v:line style="position:absolute" from="1808,2560" to="4336,2560" stroked="true" strokeweight=".4pt" strokecolor="#585858">
              <v:stroke dashstyle="solid"/>
            </v:line>
            <v:rect style="position:absolute;left:4336;top:2556;width:8;height:8" filled="true" fillcolor="#585858" stroked="false">
              <v:fill type="solid"/>
            </v:rect>
            <v:line style="position:absolute" from="4344,2560" to="5056,2560" stroked="true" strokeweight=".4pt" strokecolor="#585858">
              <v:stroke dashstyle="solid"/>
            </v:line>
            <v:rect style="position:absolute;left:5056;top:2556;width:8;height:8" filled="true" fillcolor="#585858" stroked="false">
              <v:fill type="solid"/>
            </v:rect>
            <v:line style="position:absolute" from="5064,2560" to="5776,2560" stroked="true" strokeweight=".4pt" strokecolor="#585858">
              <v:stroke dashstyle="solid"/>
            </v:line>
            <v:rect style="position:absolute;left:5776;top:2556;width:8;height:8" filled="true" fillcolor="#585858" stroked="false">
              <v:fill type="solid"/>
            </v:rect>
            <v:line style="position:absolute" from="5784,2560" to="6496,2560" stroked="true" strokeweight=".4pt" strokecolor="#585858">
              <v:stroke dashstyle="solid"/>
            </v:line>
            <v:rect style="position:absolute;left:6496;top:2556;width:8;height:8" filled="true" fillcolor="#585858" stroked="false">
              <v:fill type="solid"/>
            </v:rect>
            <v:line style="position:absolute" from="6504,2560" to="7212,2560" stroked="true" strokeweight=".4pt" strokecolor="#585858">
              <v:stroke dashstyle="solid"/>
            </v:line>
            <v:rect style="position:absolute;left:7212;top:2556;width:8;height:8" filled="true" fillcolor="#585858" stroked="false">
              <v:fill type="solid"/>
            </v:rect>
            <v:line style="position:absolute" from="7220,2560" to="7932,2560" stroked="true" strokeweight=".4pt" strokecolor="#585858">
              <v:stroke dashstyle="solid"/>
            </v:line>
            <v:rect style="position:absolute;left:7932;top:2556;width:8;height:8" filled="true" fillcolor="#585858" stroked="false">
              <v:fill type="solid"/>
            </v:rect>
            <v:line style="position:absolute" from="7940,2560" to="8652,2560" stroked="true" strokeweight=".4pt" strokecolor="#585858">
              <v:stroke dashstyle="solid"/>
            </v:line>
            <v:rect style="position:absolute;left:8652;top:2556;width:8;height:8" filled="true" fillcolor="#585858" stroked="false">
              <v:fill type="solid"/>
            </v:rect>
            <v:line style="position:absolute" from="8660,2560" to="9372,2560" stroked="true" strokeweight=".4pt" strokecolor="#585858">
              <v:stroke dashstyle="solid"/>
            </v:line>
            <v:rect style="position:absolute;left:9372;top:2556;width:8;height:8" filled="true" fillcolor="#585858" stroked="false">
              <v:fill type="solid"/>
            </v:rect>
            <v:line style="position:absolute" from="9380,2560" to="10088,2560" stroked="true" strokeweight=".4pt" strokecolor="#585858">
              <v:stroke dashstyle="solid"/>
            </v:line>
            <v:rect style="position:absolute;left:10088;top:2556;width:9;height:8" filled="true" fillcolor="#585858" stroked="false">
              <v:fill type="solid"/>
            </v:rect>
            <v:line style="position:absolute" from="10096,2560" to="10800,2560" stroked="true" strokeweight=".4pt" strokecolor="#585858">
              <v:stroke dashstyle="solid"/>
            </v:line>
            <w10:wrap type="none"/>
          </v:group>
        </w:pict>
      </w:r>
    </w:p>
    <w:p>
      <w:pPr>
        <w:pStyle w:val="BodyText"/>
        <w:spacing w:before="5"/>
        <w:rPr>
          <w:sz w:val="1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9"/>
        <w:gridCol w:w="759"/>
        <w:gridCol w:w="1315"/>
        <w:gridCol w:w="841"/>
        <w:gridCol w:w="1317"/>
        <w:gridCol w:w="841"/>
        <w:gridCol w:w="1354"/>
      </w:tblGrid>
      <w:tr>
        <w:trPr>
          <w:trHeight w:val="1091" w:hRule="atLeast"/>
        </w:trPr>
        <w:tc>
          <w:tcPr>
            <w:tcW w:w="2939" w:type="dxa"/>
          </w:tcPr>
          <w:p>
            <w:pPr>
              <w:pStyle w:val="TableParagraph"/>
              <w:spacing w:before="0"/>
              <w:rPr>
                <w:sz w:val="20"/>
              </w:rPr>
            </w:pPr>
          </w:p>
          <w:p>
            <w:pPr>
              <w:pStyle w:val="TableParagraph"/>
              <w:spacing w:before="2"/>
              <w:rPr>
                <w:sz w:val="27"/>
              </w:rPr>
            </w:pPr>
          </w:p>
          <w:p>
            <w:pPr>
              <w:pStyle w:val="TableParagraph"/>
              <w:spacing w:before="0"/>
              <w:ind w:left="854"/>
              <w:rPr>
                <w:b/>
                <w:sz w:val="18"/>
              </w:rPr>
            </w:pPr>
            <w:r>
              <w:rPr>
                <w:b/>
                <w:color w:val="FFFFFF"/>
                <w:sz w:val="18"/>
              </w:rPr>
              <w:t>Characteristic</w:t>
            </w:r>
          </w:p>
          <w:p>
            <w:pPr>
              <w:pStyle w:val="TableParagraph"/>
              <w:spacing w:before="93"/>
              <w:ind w:left="114"/>
              <w:rPr>
                <w:sz w:val="12"/>
              </w:rPr>
            </w:pPr>
            <w:r>
              <w:rPr>
                <w:sz w:val="18"/>
              </w:rPr>
              <w:t>Disability Status </w:t>
            </w:r>
            <w:r>
              <w:rPr>
                <w:position w:val="5"/>
                <w:sz w:val="12"/>
              </w:rPr>
              <w:t>b</w:t>
            </w:r>
          </w:p>
        </w:tc>
        <w:tc>
          <w:tcPr>
            <w:tcW w:w="759" w:type="dxa"/>
          </w:tcPr>
          <w:p>
            <w:pPr>
              <w:pStyle w:val="TableParagraph"/>
              <w:spacing w:line="583" w:lineRule="auto" w:before="39"/>
              <w:ind w:left="271" w:right="-151" w:hanging="92"/>
              <w:rPr>
                <w:b/>
                <w:sz w:val="18"/>
              </w:rPr>
            </w:pPr>
            <w:r>
              <w:rPr>
                <w:b/>
                <w:color w:val="FFFFFF"/>
                <w:sz w:val="18"/>
              </w:rPr>
              <w:t>Cisgend #</w:t>
            </w:r>
          </w:p>
        </w:tc>
        <w:tc>
          <w:tcPr>
            <w:tcW w:w="1315" w:type="dxa"/>
          </w:tcPr>
          <w:p>
            <w:pPr>
              <w:pStyle w:val="TableParagraph"/>
              <w:spacing w:before="39"/>
              <w:ind w:left="-44" w:right="149" w:firstLine="179"/>
              <w:rPr>
                <w:b/>
                <w:sz w:val="18"/>
              </w:rPr>
            </w:pPr>
            <w:r>
              <w:rPr>
                <w:b/>
                <w:color w:val="FFFFFF"/>
                <w:sz w:val="18"/>
              </w:rPr>
              <w:t>er Graduate Women</w:t>
            </w:r>
          </w:p>
          <w:p>
            <w:pPr>
              <w:pStyle w:val="TableParagraph"/>
              <w:spacing w:before="90"/>
              <w:ind w:left="204"/>
              <w:rPr>
                <w:b/>
                <w:sz w:val="18"/>
              </w:rPr>
            </w:pPr>
            <w:r>
              <w:rPr>
                <w:b/>
                <w:color w:val="FFFFFF"/>
                <w:sz w:val="18"/>
              </w:rPr>
              <w:t>%</w:t>
            </w:r>
          </w:p>
        </w:tc>
        <w:tc>
          <w:tcPr>
            <w:tcW w:w="841" w:type="dxa"/>
          </w:tcPr>
          <w:p>
            <w:pPr>
              <w:pStyle w:val="TableParagraph"/>
              <w:spacing w:line="583" w:lineRule="auto" w:before="39"/>
              <w:ind w:left="353" w:right="-151" w:hanging="92"/>
              <w:rPr>
                <w:b/>
                <w:sz w:val="18"/>
              </w:rPr>
            </w:pPr>
            <w:r>
              <w:rPr>
                <w:b/>
                <w:color w:val="FFFFFF"/>
                <w:sz w:val="18"/>
              </w:rPr>
              <w:t>Cisgend #</w:t>
            </w:r>
          </w:p>
        </w:tc>
        <w:tc>
          <w:tcPr>
            <w:tcW w:w="1317" w:type="dxa"/>
          </w:tcPr>
          <w:p>
            <w:pPr>
              <w:pStyle w:val="TableParagraph"/>
              <w:spacing w:before="39"/>
              <w:ind w:left="100" w:right="151" w:firstLine="35"/>
              <w:rPr>
                <w:b/>
                <w:sz w:val="18"/>
              </w:rPr>
            </w:pPr>
            <w:r>
              <w:rPr>
                <w:b/>
                <w:color w:val="FFFFFF"/>
                <w:sz w:val="18"/>
              </w:rPr>
              <w:t>er Graduate Men</w:t>
            </w:r>
          </w:p>
          <w:p>
            <w:pPr>
              <w:pStyle w:val="TableParagraph"/>
              <w:spacing w:before="90"/>
              <w:ind w:left="204"/>
              <w:rPr>
                <w:b/>
                <w:sz w:val="18"/>
              </w:rPr>
            </w:pPr>
            <w:r>
              <w:rPr>
                <w:b/>
                <w:color w:val="FFFFFF"/>
                <w:sz w:val="18"/>
              </w:rPr>
              <w:t>%</w:t>
            </w:r>
          </w:p>
        </w:tc>
        <w:tc>
          <w:tcPr>
            <w:tcW w:w="841" w:type="dxa"/>
          </w:tcPr>
          <w:p>
            <w:pPr>
              <w:pStyle w:val="TableParagraph"/>
              <w:spacing w:before="39"/>
              <w:ind w:left="275" w:right="-144"/>
              <w:rPr>
                <w:b/>
                <w:sz w:val="18"/>
              </w:rPr>
            </w:pPr>
            <w:r>
              <w:rPr>
                <w:b/>
                <w:color w:val="FFFFFF"/>
                <w:sz w:val="18"/>
              </w:rPr>
              <w:t>Transge</w:t>
            </w:r>
          </w:p>
          <w:p>
            <w:pPr>
              <w:pStyle w:val="TableParagraph"/>
              <w:spacing w:before="1"/>
              <w:ind w:right="-29"/>
              <w:jc w:val="right"/>
              <w:rPr>
                <w:b/>
                <w:sz w:val="18"/>
              </w:rPr>
            </w:pPr>
            <w:r>
              <w:rPr>
                <w:b/>
                <w:color w:val="FFFFFF"/>
                <w:sz w:val="18"/>
              </w:rPr>
              <w:t>G</w:t>
            </w:r>
          </w:p>
          <w:p>
            <w:pPr>
              <w:pStyle w:val="TableParagraph"/>
              <w:spacing w:before="89"/>
              <w:ind w:left="355"/>
              <w:rPr>
                <w:b/>
                <w:sz w:val="18"/>
              </w:rPr>
            </w:pPr>
            <w:r>
              <w:rPr>
                <w:b/>
                <w:color w:val="FFFFFF"/>
                <w:sz w:val="18"/>
              </w:rPr>
              <w:t>#</w:t>
            </w:r>
          </w:p>
        </w:tc>
        <w:tc>
          <w:tcPr>
            <w:tcW w:w="1354" w:type="dxa"/>
          </w:tcPr>
          <w:p>
            <w:pPr>
              <w:pStyle w:val="TableParagraph"/>
              <w:spacing w:before="39"/>
              <w:ind w:left="22" w:right="205" w:firstLine="116"/>
              <w:rPr>
                <w:b/>
                <w:sz w:val="18"/>
              </w:rPr>
            </w:pPr>
            <w:r>
              <w:rPr>
                <w:b/>
                <w:color w:val="FFFFFF"/>
                <w:sz w:val="18"/>
              </w:rPr>
              <w:t>nder and/or raduate</w:t>
            </w:r>
          </w:p>
          <w:p>
            <w:pPr>
              <w:pStyle w:val="TableParagraph"/>
              <w:spacing w:before="90"/>
              <w:ind w:left="202"/>
              <w:rPr>
                <w:b/>
                <w:sz w:val="18"/>
              </w:rPr>
            </w:pPr>
            <w:r>
              <w:rPr>
                <w:b/>
                <w:color w:val="FFFFFF"/>
                <w:sz w:val="18"/>
              </w:rPr>
              <w:t>%</w:t>
            </w:r>
          </w:p>
        </w:tc>
      </w:tr>
      <w:tr>
        <w:trPr>
          <w:trHeight w:val="295" w:hRule="atLeast"/>
        </w:trPr>
        <w:tc>
          <w:tcPr>
            <w:tcW w:w="2939" w:type="dxa"/>
            <w:tcBorders>
              <w:bottom w:val="single" w:sz="4" w:space="0" w:color="585858"/>
            </w:tcBorders>
          </w:tcPr>
          <w:p>
            <w:pPr>
              <w:pStyle w:val="TableParagraph"/>
              <w:spacing w:before="47"/>
              <w:ind w:left="474"/>
              <w:rPr>
                <w:sz w:val="18"/>
              </w:rPr>
            </w:pPr>
            <w:r>
              <w:rPr>
                <w:sz w:val="18"/>
              </w:rPr>
              <w:t>Yes</w:t>
            </w:r>
          </w:p>
        </w:tc>
        <w:tc>
          <w:tcPr>
            <w:tcW w:w="759" w:type="dxa"/>
            <w:tcBorders>
              <w:bottom w:val="single" w:sz="4" w:space="0" w:color="585858"/>
            </w:tcBorders>
          </w:tcPr>
          <w:p>
            <w:pPr>
              <w:pStyle w:val="TableParagraph"/>
              <w:spacing w:before="47"/>
              <w:ind w:right="182"/>
              <w:jc w:val="right"/>
              <w:rPr>
                <w:sz w:val="18"/>
              </w:rPr>
            </w:pPr>
            <w:r>
              <w:rPr>
                <w:sz w:val="18"/>
              </w:rPr>
              <w:t>123</w:t>
            </w:r>
          </w:p>
        </w:tc>
        <w:tc>
          <w:tcPr>
            <w:tcW w:w="1315" w:type="dxa"/>
            <w:tcBorders>
              <w:bottom w:val="single" w:sz="4" w:space="0" w:color="585858"/>
            </w:tcBorders>
          </w:tcPr>
          <w:p>
            <w:pPr>
              <w:pStyle w:val="TableParagraph"/>
              <w:tabs>
                <w:tab w:pos="751" w:val="left" w:leader="none"/>
              </w:tabs>
              <w:spacing w:before="47"/>
              <w:ind w:left="183"/>
              <w:rPr>
                <w:sz w:val="18"/>
              </w:rPr>
            </w:pPr>
            <w:r>
              <w:rPr>
                <w:sz w:val="18"/>
              </w:rPr>
              <w:t>23.6</w:t>
              <w:tab/>
              <w:t>%</w:t>
            </w:r>
          </w:p>
        </w:tc>
        <w:tc>
          <w:tcPr>
            <w:tcW w:w="841" w:type="dxa"/>
            <w:tcBorders>
              <w:bottom w:val="single" w:sz="4" w:space="0" w:color="585858"/>
            </w:tcBorders>
          </w:tcPr>
          <w:p>
            <w:pPr>
              <w:pStyle w:val="TableParagraph"/>
              <w:spacing w:before="47"/>
              <w:ind w:right="181"/>
              <w:jc w:val="right"/>
              <w:rPr>
                <w:sz w:val="18"/>
              </w:rPr>
            </w:pPr>
            <w:r>
              <w:rPr>
                <w:sz w:val="18"/>
              </w:rPr>
              <w:t>35</w:t>
            </w:r>
          </w:p>
        </w:tc>
        <w:tc>
          <w:tcPr>
            <w:tcW w:w="1317" w:type="dxa"/>
            <w:tcBorders>
              <w:bottom w:val="single" w:sz="4" w:space="0" w:color="585858"/>
            </w:tcBorders>
          </w:tcPr>
          <w:p>
            <w:pPr>
              <w:pStyle w:val="TableParagraph"/>
              <w:tabs>
                <w:tab w:pos="752" w:val="left" w:leader="none"/>
              </w:tabs>
              <w:spacing w:before="47"/>
              <w:ind w:left="184"/>
              <w:rPr>
                <w:sz w:val="18"/>
              </w:rPr>
            </w:pPr>
            <w:r>
              <w:rPr>
                <w:sz w:val="18"/>
              </w:rPr>
              <w:t>11.1</w:t>
              <w:tab/>
              <w:t>%</w:t>
            </w:r>
          </w:p>
        </w:tc>
        <w:tc>
          <w:tcPr>
            <w:tcW w:w="841" w:type="dxa"/>
            <w:tcBorders>
              <w:bottom w:val="single" w:sz="4" w:space="0" w:color="585858"/>
            </w:tcBorders>
          </w:tcPr>
          <w:p>
            <w:pPr>
              <w:pStyle w:val="TableParagraph"/>
              <w:spacing w:before="47"/>
              <w:ind w:right="179"/>
              <w:jc w:val="right"/>
              <w:rPr>
                <w:sz w:val="18"/>
              </w:rPr>
            </w:pPr>
            <w:r>
              <w:rPr>
                <w:sz w:val="18"/>
              </w:rPr>
              <w:t>26</w:t>
            </w:r>
          </w:p>
        </w:tc>
        <w:tc>
          <w:tcPr>
            <w:tcW w:w="1354" w:type="dxa"/>
            <w:tcBorders>
              <w:bottom w:val="single" w:sz="4" w:space="0" w:color="585858"/>
            </w:tcBorders>
          </w:tcPr>
          <w:p>
            <w:pPr>
              <w:pStyle w:val="TableParagraph"/>
              <w:tabs>
                <w:tab w:pos="750" w:val="left" w:leader="none"/>
              </w:tabs>
              <w:spacing w:before="47"/>
              <w:ind w:left="182"/>
              <w:rPr>
                <w:sz w:val="18"/>
              </w:rPr>
            </w:pPr>
            <w:r>
              <w:rPr>
                <w:sz w:val="18"/>
              </w:rPr>
              <w:t>50.0</w:t>
              <w:tab/>
              <w:t>%</w:t>
            </w:r>
          </w:p>
        </w:tc>
      </w:tr>
      <w:tr>
        <w:trPr>
          <w:trHeight w:val="285" w:hRule="atLeast"/>
        </w:trPr>
        <w:tc>
          <w:tcPr>
            <w:tcW w:w="2939" w:type="dxa"/>
            <w:tcBorders>
              <w:top w:val="single" w:sz="4" w:space="0" w:color="585858"/>
              <w:bottom w:val="single" w:sz="4" w:space="0" w:color="585858"/>
            </w:tcBorders>
          </w:tcPr>
          <w:p>
            <w:pPr>
              <w:pStyle w:val="TableParagraph"/>
              <w:ind w:left="474"/>
              <w:rPr>
                <w:sz w:val="18"/>
              </w:rPr>
            </w:pPr>
            <w:r>
              <w:rPr>
                <w:sz w:val="18"/>
              </w:rPr>
              <w:t>No</w:t>
            </w:r>
          </w:p>
        </w:tc>
        <w:tc>
          <w:tcPr>
            <w:tcW w:w="759" w:type="dxa"/>
            <w:tcBorders>
              <w:top w:val="single" w:sz="4" w:space="0" w:color="585858"/>
              <w:bottom w:val="single" w:sz="4" w:space="0" w:color="585858"/>
            </w:tcBorders>
          </w:tcPr>
          <w:p>
            <w:pPr>
              <w:pStyle w:val="TableParagraph"/>
              <w:ind w:right="182"/>
              <w:jc w:val="right"/>
              <w:rPr>
                <w:sz w:val="18"/>
              </w:rPr>
            </w:pPr>
            <w:r>
              <w:rPr>
                <w:sz w:val="18"/>
              </w:rPr>
              <w:t>395</w:t>
            </w:r>
          </w:p>
        </w:tc>
        <w:tc>
          <w:tcPr>
            <w:tcW w:w="1315" w:type="dxa"/>
            <w:tcBorders>
              <w:top w:val="single" w:sz="4" w:space="0" w:color="585858"/>
              <w:bottom w:val="single" w:sz="4" w:space="0" w:color="585858"/>
            </w:tcBorders>
          </w:tcPr>
          <w:p>
            <w:pPr>
              <w:pStyle w:val="TableParagraph"/>
              <w:ind w:left="183"/>
              <w:rPr>
                <w:sz w:val="18"/>
              </w:rPr>
            </w:pPr>
            <w:r>
              <w:rPr>
                <w:sz w:val="18"/>
              </w:rPr>
              <w:t>75.7</w:t>
            </w:r>
          </w:p>
        </w:tc>
        <w:tc>
          <w:tcPr>
            <w:tcW w:w="841" w:type="dxa"/>
            <w:tcBorders>
              <w:top w:val="single" w:sz="4" w:space="0" w:color="585858"/>
              <w:bottom w:val="single" w:sz="4" w:space="0" w:color="585858"/>
            </w:tcBorders>
          </w:tcPr>
          <w:p>
            <w:pPr>
              <w:pStyle w:val="TableParagraph"/>
              <w:ind w:right="182"/>
              <w:jc w:val="right"/>
              <w:rPr>
                <w:sz w:val="18"/>
              </w:rPr>
            </w:pPr>
            <w:r>
              <w:rPr>
                <w:sz w:val="18"/>
              </w:rPr>
              <w:t>278</w:t>
            </w:r>
          </w:p>
        </w:tc>
        <w:tc>
          <w:tcPr>
            <w:tcW w:w="1317" w:type="dxa"/>
            <w:tcBorders>
              <w:top w:val="single" w:sz="4" w:space="0" w:color="585858"/>
              <w:bottom w:val="single" w:sz="4" w:space="0" w:color="585858"/>
            </w:tcBorders>
          </w:tcPr>
          <w:p>
            <w:pPr>
              <w:pStyle w:val="TableParagraph"/>
              <w:ind w:left="183"/>
              <w:rPr>
                <w:sz w:val="18"/>
              </w:rPr>
            </w:pPr>
            <w:r>
              <w:rPr>
                <w:sz w:val="18"/>
              </w:rPr>
              <w:t>88.5</w:t>
            </w:r>
          </w:p>
        </w:tc>
        <w:tc>
          <w:tcPr>
            <w:tcW w:w="841" w:type="dxa"/>
            <w:tcBorders>
              <w:top w:val="single" w:sz="4" w:space="0" w:color="585858"/>
              <w:bottom w:val="single" w:sz="4" w:space="0" w:color="585858"/>
            </w:tcBorders>
          </w:tcPr>
          <w:p>
            <w:pPr>
              <w:pStyle w:val="TableParagraph"/>
              <w:ind w:right="179"/>
              <w:jc w:val="right"/>
              <w:rPr>
                <w:sz w:val="18"/>
              </w:rPr>
            </w:pPr>
            <w:r>
              <w:rPr>
                <w:sz w:val="18"/>
              </w:rPr>
              <w:t>25</w:t>
            </w:r>
          </w:p>
        </w:tc>
        <w:tc>
          <w:tcPr>
            <w:tcW w:w="1354" w:type="dxa"/>
            <w:tcBorders>
              <w:top w:val="single" w:sz="4" w:space="0" w:color="585858"/>
              <w:bottom w:val="single" w:sz="4" w:space="0" w:color="585858"/>
            </w:tcBorders>
          </w:tcPr>
          <w:p>
            <w:pPr>
              <w:pStyle w:val="TableParagraph"/>
              <w:ind w:left="182"/>
              <w:rPr>
                <w:sz w:val="18"/>
              </w:rPr>
            </w:pPr>
            <w:r>
              <w:rPr>
                <w:sz w:val="18"/>
              </w:rPr>
              <w:t>48.1</w:t>
            </w:r>
          </w:p>
        </w:tc>
      </w:tr>
      <w:tr>
        <w:trPr>
          <w:trHeight w:val="286" w:hRule="atLeast"/>
        </w:trPr>
        <w:tc>
          <w:tcPr>
            <w:tcW w:w="2939" w:type="dxa"/>
            <w:tcBorders>
              <w:top w:val="single" w:sz="4" w:space="0" w:color="585858"/>
              <w:bottom w:val="single" w:sz="4" w:space="0" w:color="585858"/>
            </w:tcBorders>
          </w:tcPr>
          <w:p>
            <w:pPr>
              <w:pStyle w:val="TableParagraph"/>
              <w:ind w:left="114"/>
              <w:rPr>
                <w:sz w:val="18"/>
              </w:rPr>
            </w:pPr>
            <w:r>
              <w:rPr>
                <w:sz w:val="18"/>
              </w:rPr>
              <w:t>Conditions or Disabilities</w:t>
            </w:r>
          </w:p>
        </w:tc>
        <w:tc>
          <w:tcPr>
            <w:tcW w:w="759" w:type="dxa"/>
            <w:tcBorders>
              <w:top w:val="single" w:sz="4" w:space="0" w:color="585858"/>
              <w:bottom w:val="single" w:sz="4" w:space="0" w:color="585858"/>
            </w:tcBorders>
          </w:tcPr>
          <w:p>
            <w:pPr>
              <w:pStyle w:val="TableParagraph"/>
              <w:spacing w:before="0"/>
              <w:rPr>
                <w:rFonts w:ascii="Times New Roman"/>
                <w:sz w:val="18"/>
              </w:rPr>
            </w:pPr>
          </w:p>
        </w:tc>
        <w:tc>
          <w:tcPr>
            <w:tcW w:w="1315" w:type="dxa"/>
            <w:tcBorders>
              <w:top w:val="single" w:sz="4" w:space="0" w:color="585858"/>
              <w:bottom w:val="single" w:sz="4" w:space="0" w:color="585858"/>
            </w:tcBorders>
          </w:tcPr>
          <w:p>
            <w:pPr>
              <w:pStyle w:val="TableParagraph"/>
              <w:spacing w:before="0"/>
              <w:rPr>
                <w:rFonts w:ascii="Times New Roman"/>
                <w:sz w:val="18"/>
              </w:rPr>
            </w:pPr>
          </w:p>
        </w:tc>
        <w:tc>
          <w:tcPr>
            <w:tcW w:w="841" w:type="dxa"/>
            <w:tcBorders>
              <w:top w:val="single" w:sz="4" w:space="0" w:color="585858"/>
              <w:bottom w:val="single" w:sz="4" w:space="0" w:color="585858"/>
            </w:tcBorders>
          </w:tcPr>
          <w:p>
            <w:pPr>
              <w:pStyle w:val="TableParagraph"/>
              <w:spacing w:before="0"/>
              <w:rPr>
                <w:rFonts w:ascii="Times New Roman"/>
                <w:sz w:val="18"/>
              </w:rPr>
            </w:pPr>
          </w:p>
        </w:tc>
        <w:tc>
          <w:tcPr>
            <w:tcW w:w="1317" w:type="dxa"/>
            <w:tcBorders>
              <w:top w:val="single" w:sz="4" w:space="0" w:color="585858"/>
              <w:bottom w:val="single" w:sz="4" w:space="0" w:color="585858"/>
            </w:tcBorders>
          </w:tcPr>
          <w:p>
            <w:pPr>
              <w:pStyle w:val="TableParagraph"/>
              <w:spacing w:before="0"/>
              <w:rPr>
                <w:rFonts w:ascii="Times New Roman"/>
                <w:sz w:val="18"/>
              </w:rPr>
            </w:pPr>
          </w:p>
        </w:tc>
        <w:tc>
          <w:tcPr>
            <w:tcW w:w="841" w:type="dxa"/>
            <w:tcBorders>
              <w:top w:val="single" w:sz="4" w:space="0" w:color="585858"/>
              <w:bottom w:val="single" w:sz="4" w:space="0" w:color="585858"/>
            </w:tcBorders>
          </w:tcPr>
          <w:p>
            <w:pPr>
              <w:pStyle w:val="TableParagraph"/>
              <w:spacing w:before="0"/>
              <w:rPr>
                <w:rFonts w:ascii="Times New Roman"/>
                <w:sz w:val="18"/>
              </w:rPr>
            </w:pPr>
          </w:p>
        </w:tc>
        <w:tc>
          <w:tcPr>
            <w:tcW w:w="1354" w:type="dxa"/>
            <w:tcBorders>
              <w:top w:val="single" w:sz="4" w:space="0" w:color="585858"/>
              <w:bottom w:val="single" w:sz="4" w:space="0" w:color="585858"/>
            </w:tcBorders>
          </w:tcPr>
          <w:p>
            <w:pPr>
              <w:pStyle w:val="TableParagraph"/>
              <w:spacing w:before="0"/>
              <w:rPr>
                <w:rFonts w:ascii="Times New Roman"/>
                <w:sz w:val="18"/>
              </w:rPr>
            </w:pPr>
          </w:p>
        </w:tc>
      </w:tr>
      <w:tr>
        <w:trPr>
          <w:trHeight w:val="286" w:hRule="atLeast"/>
        </w:trPr>
        <w:tc>
          <w:tcPr>
            <w:tcW w:w="2939" w:type="dxa"/>
            <w:tcBorders>
              <w:top w:val="single" w:sz="4" w:space="0" w:color="585858"/>
              <w:bottom w:val="single" w:sz="4" w:space="0" w:color="585858"/>
            </w:tcBorders>
          </w:tcPr>
          <w:p>
            <w:pPr>
              <w:pStyle w:val="TableParagraph"/>
              <w:spacing w:before="42"/>
              <w:ind w:left="474"/>
              <w:rPr>
                <w:sz w:val="18"/>
              </w:rPr>
            </w:pPr>
            <w:r>
              <w:rPr>
                <w:sz w:val="18"/>
              </w:rPr>
              <w:t>Autism Spectrum Disorders</w:t>
            </w:r>
          </w:p>
        </w:tc>
        <w:tc>
          <w:tcPr>
            <w:tcW w:w="759"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5"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0.6</w:t>
              <w:tab/>
              <w:t>%!</w:t>
            </w:r>
          </w:p>
        </w:tc>
        <w:tc>
          <w:tcPr>
            <w:tcW w:w="841"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7"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1.0</w:t>
              <w:tab/>
              <w:t>%!</w:t>
            </w:r>
          </w:p>
        </w:tc>
        <w:tc>
          <w:tcPr>
            <w:tcW w:w="841" w:type="dxa"/>
            <w:tcBorders>
              <w:top w:val="single" w:sz="4" w:space="0" w:color="585858"/>
              <w:bottom w:val="single" w:sz="4" w:space="0" w:color="585858"/>
            </w:tcBorders>
          </w:tcPr>
          <w:p>
            <w:pPr>
              <w:pStyle w:val="TableParagraph"/>
              <w:spacing w:before="42"/>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spacing w:before="42"/>
              <w:ind w:left="282"/>
              <w:rPr>
                <w:sz w:val="18"/>
              </w:rPr>
            </w:pPr>
            <w:r>
              <w:rPr>
                <w:sz w:val="18"/>
              </w:rPr>
              <w:t>9.6</w:t>
              <w:tab/>
              <w:t>%!</w:t>
            </w:r>
          </w:p>
        </w:tc>
      </w:tr>
      <w:tr>
        <w:trPr>
          <w:trHeight w:val="493" w:hRule="atLeast"/>
        </w:trPr>
        <w:tc>
          <w:tcPr>
            <w:tcW w:w="2939" w:type="dxa"/>
            <w:tcBorders>
              <w:top w:val="single" w:sz="4" w:space="0" w:color="585858"/>
              <w:bottom w:val="single" w:sz="4" w:space="0" w:color="585858"/>
            </w:tcBorders>
          </w:tcPr>
          <w:p>
            <w:pPr>
              <w:pStyle w:val="TableParagraph"/>
              <w:spacing w:before="42"/>
              <w:ind w:left="474" w:right="954"/>
              <w:rPr>
                <w:sz w:val="18"/>
              </w:rPr>
            </w:pPr>
            <w:r>
              <w:rPr>
                <w:sz w:val="18"/>
              </w:rPr>
              <w:t>Blindness of visual impairment</w:t>
            </w:r>
          </w:p>
        </w:tc>
        <w:tc>
          <w:tcPr>
            <w:tcW w:w="759"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5"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0.6</w:t>
              <w:tab/>
              <w:t>!</w:t>
            </w:r>
          </w:p>
        </w:tc>
        <w:tc>
          <w:tcPr>
            <w:tcW w:w="841"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7"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0.6</w:t>
              <w:tab/>
              <w:t>!</w:t>
            </w:r>
          </w:p>
        </w:tc>
        <w:tc>
          <w:tcPr>
            <w:tcW w:w="841" w:type="dxa"/>
            <w:tcBorders>
              <w:top w:val="single" w:sz="4" w:space="0" w:color="585858"/>
              <w:bottom w:val="single" w:sz="4" w:space="0" w:color="585858"/>
            </w:tcBorders>
          </w:tcPr>
          <w:p>
            <w:pPr>
              <w:pStyle w:val="TableParagraph"/>
              <w:spacing w:before="42"/>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spacing w:before="42"/>
              <w:ind w:left="282"/>
              <w:rPr>
                <w:sz w:val="18"/>
              </w:rPr>
            </w:pPr>
            <w:r>
              <w:rPr>
                <w:sz w:val="18"/>
              </w:rPr>
              <w:t>0.0</w:t>
              <w:tab/>
              <w:t>!</w:t>
            </w:r>
          </w:p>
        </w:tc>
      </w:tr>
      <w:tr>
        <w:trPr>
          <w:trHeight w:val="290" w:hRule="atLeast"/>
        </w:trPr>
        <w:tc>
          <w:tcPr>
            <w:tcW w:w="2939" w:type="dxa"/>
            <w:tcBorders>
              <w:top w:val="single" w:sz="4" w:space="0" w:color="585858"/>
              <w:bottom w:val="single" w:sz="4" w:space="0" w:color="585858"/>
            </w:tcBorders>
          </w:tcPr>
          <w:p>
            <w:pPr>
              <w:pStyle w:val="TableParagraph"/>
              <w:spacing w:before="42"/>
              <w:ind w:left="474"/>
              <w:rPr>
                <w:sz w:val="18"/>
              </w:rPr>
            </w:pPr>
            <w:r>
              <w:rPr>
                <w:sz w:val="18"/>
              </w:rPr>
              <w:t>Brain injury</w:t>
            </w:r>
          </w:p>
        </w:tc>
        <w:tc>
          <w:tcPr>
            <w:tcW w:w="759"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5"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0.6</w:t>
              <w:tab/>
              <w:t>!</w:t>
            </w:r>
          </w:p>
        </w:tc>
        <w:tc>
          <w:tcPr>
            <w:tcW w:w="841"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7"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0.6</w:t>
              <w:tab/>
              <w:t>!</w:t>
            </w:r>
          </w:p>
        </w:tc>
        <w:tc>
          <w:tcPr>
            <w:tcW w:w="841" w:type="dxa"/>
            <w:tcBorders>
              <w:top w:val="single" w:sz="4" w:space="0" w:color="585858"/>
              <w:bottom w:val="single" w:sz="4" w:space="0" w:color="585858"/>
            </w:tcBorders>
          </w:tcPr>
          <w:p>
            <w:pPr>
              <w:pStyle w:val="TableParagraph"/>
              <w:spacing w:before="42"/>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spacing w:before="42"/>
              <w:ind w:left="282"/>
              <w:rPr>
                <w:sz w:val="18"/>
              </w:rPr>
            </w:pPr>
            <w:r>
              <w:rPr>
                <w:sz w:val="18"/>
              </w:rPr>
              <w:t>7.7</w:t>
              <w:tab/>
              <w:t>!</w:t>
            </w:r>
          </w:p>
        </w:tc>
      </w:tr>
      <w:tr>
        <w:trPr>
          <w:trHeight w:val="285" w:hRule="atLeast"/>
        </w:trPr>
        <w:tc>
          <w:tcPr>
            <w:tcW w:w="2939" w:type="dxa"/>
            <w:tcBorders>
              <w:top w:val="single" w:sz="4" w:space="0" w:color="585858"/>
              <w:bottom w:val="single" w:sz="4" w:space="0" w:color="585858"/>
            </w:tcBorders>
          </w:tcPr>
          <w:p>
            <w:pPr>
              <w:pStyle w:val="TableParagraph"/>
              <w:ind w:left="474"/>
              <w:rPr>
                <w:sz w:val="18"/>
              </w:rPr>
            </w:pPr>
            <w:r>
              <w:rPr>
                <w:sz w:val="18"/>
              </w:rPr>
              <w:t>Chronic health conditions</w:t>
            </w:r>
          </w:p>
        </w:tc>
        <w:tc>
          <w:tcPr>
            <w:tcW w:w="759" w:type="dxa"/>
            <w:tcBorders>
              <w:top w:val="single" w:sz="4" w:space="0" w:color="585858"/>
              <w:bottom w:val="single" w:sz="4" w:space="0" w:color="585858"/>
            </w:tcBorders>
          </w:tcPr>
          <w:p>
            <w:pPr>
              <w:pStyle w:val="TableParagraph"/>
              <w:ind w:right="181"/>
              <w:jc w:val="right"/>
              <w:rPr>
                <w:sz w:val="18"/>
              </w:rPr>
            </w:pPr>
            <w:r>
              <w:rPr>
                <w:sz w:val="18"/>
              </w:rPr>
              <w:t>48</w:t>
            </w:r>
          </w:p>
        </w:tc>
        <w:tc>
          <w:tcPr>
            <w:tcW w:w="1315" w:type="dxa"/>
            <w:tcBorders>
              <w:top w:val="single" w:sz="4" w:space="0" w:color="585858"/>
              <w:bottom w:val="single" w:sz="4" w:space="0" w:color="585858"/>
            </w:tcBorders>
          </w:tcPr>
          <w:p>
            <w:pPr>
              <w:pStyle w:val="TableParagraph"/>
              <w:ind w:left="284"/>
              <w:rPr>
                <w:sz w:val="18"/>
              </w:rPr>
            </w:pPr>
            <w:r>
              <w:rPr>
                <w:sz w:val="18"/>
              </w:rPr>
              <w:t>9.2</w:t>
            </w:r>
          </w:p>
        </w:tc>
        <w:tc>
          <w:tcPr>
            <w:tcW w:w="841" w:type="dxa"/>
            <w:tcBorders>
              <w:top w:val="single" w:sz="4" w:space="0" w:color="585858"/>
              <w:bottom w:val="single" w:sz="4" w:space="0" w:color="585858"/>
            </w:tcBorders>
          </w:tcPr>
          <w:p>
            <w:pPr>
              <w:pStyle w:val="TableParagraph"/>
              <w:ind w:right="181"/>
              <w:jc w:val="right"/>
              <w:rPr>
                <w:sz w:val="18"/>
              </w:rPr>
            </w:pPr>
            <w:r>
              <w:rPr>
                <w:sz w:val="18"/>
              </w:rPr>
              <w:t>13</w:t>
            </w:r>
          </w:p>
        </w:tc>
        <w:tc>
          <w:tcPr>
            <w:tcW w:w="1317" w:type="dxa"/>
            <w:tcBorders>
              <w:top w:val="single" w:sz="4" w:space="0" w:color="585858"/>
              <w:bottom w:val="single" w:sz="4" w:space="0" w:color="585858"/>
            </w:tcBorders>
          </w:tcPr>
          <w:p>
            <w:pPr>
              <w:pStyle w:val="TableParagraph"/>
              <w:ind w:left="284"/>
              <w:rPr>
                <w:sz w:val="18"/>
              </w:rPr>
            </w:pPr>
            <w:r>
              <w:rPr>
                <w:sz w:val="18"/>
              </w:rPr>
              <w:t>4.1</w:t>
            </w:r>
          </w:p>
        </w:tc>
        <w:tc>
          <w:tcPr>
            <w:tcW w:w="841" w:type="dxa"/>
            <w:tcBorders>
              <w:top w:val="single" w:sz="4" w:space="0" w:color="585858"/>
              <w:bottom w:val="single" w:sz="4" w:space="0" w:color="585858"/>
            </w:tcBorders>
          </w:tcPr>
          <w:p>
            <w:pPr>
              <w:pStyle w:val="TableParagraph"/>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ind w:left="182"/>
              <w:rPr>
                <w:sz w:val="18"/>
              </w:rPr>
            </w:pPr>
            <w:r>
              <w:rPr>
                <w:sz w:val="18"/>
              </w:rPr>
              <w:t>17.3</w:t>
              <w:tab/>
              <w:t>!</w:t>
            </w:r>
          </w:p>
        </w:tc>
      </w:tr>
      <w:tr>
        <w:trPr>
          <w:trHeight w:val="286" w:hRule="atLeast"/>
        </w:trPr>
        <w:tc>
          <w:tcPr>
            <w:tcW w:w="2939" w:type="dxa"/>
            <w:tcBorders>
              <w:top w:val="single" w:sz="4" w:space="0" w:color="585858"/>
              <w:bottom w:val="single" w:sz="4" w:space="0" w:color="585858"/>
            </w:tcBorders>
          </w:tcPr>
          <w:p>
            <w:pPr>
              <w:pStyle w:val="TableParagraph"/>
              <w:ind w:left="474"/>
              <w:rPr>
                <w:sz w:val="18"/>
              </w:rPr>
            </w:pPr>
            <w:r>
              <w:rPr>
                <w:sz w:val="18"/>
              </w:rPr>
              <w:t>Deaf/Hard of hearing</w:t>
            </w:r>
          </w:p>
        </w:tc>
        <w:tc>
          <w:tcPr>
            <w:tcW w:w="759" w:type="dxa"/>
            <w:tcBorders>
              <w:top w:val="single" w:sz="4" w:space="0" w:color="585858"/>
              <w:bottom w:val="single" w:sz="4" w:space="0" w:color="585858"/>
            </w:tcBorders>
          </w:tcPr>
          <w:p>
            <w:pPr>
              <w:pStyle w:val="TableParagraph"/>
              <w:ind w:right="181"/>
              <w:jc w:val="right"/>
              <w:rPr>
                <w:sz w:val="18"/>
              </w:rPr>
            </w:pPr>
            <w:r>
              <w:rPr>
                <w:sz w:val="18"/>
              </w:rPr>
              <w:t>&lt;10</w:t>
            </w:r>
          </w:p>
        </w:tc>
        <w:tc>
          <w:tcPr>
            <w:tcW w:w="1315" w:type="dxa"/>
            <w:tcBorders>
              <w:top w:val="single" w:sz="4" w:space="0" w:color="585858"/>
              <w:bottom w:val="single" w:sz="4" w:space="0" w:color="585858"/>
            </w:tcBorders>
          </w:tcPr>
          <w:p>
            <w:pPr>
              <w:pStyle w:val="TableParagraph"/>
              <w:tabs>
                <w:tab w:pos="751" w:val="left" w:leader="none"/>
              </w:tabs>
              <w:ind w:left="284"/>
              <w:rPr>
                <w:sz w:val="18"/>
              </w:rPr>
            </w:pPr>
            <w:r>
              <w:rPr>
                <w:sz w:val="18"/>
              </w:rPr>
              <w:t>0.2</w:t>
              <w:tab/>
              <w:t>!</w:t>
            </w:r>
          </w:p>
        </w:tc>
        <w:tc>
          <w:tcPr>
            <w:tcW w:w="841" w:type="dxa"/>
            <w:tcBorders>
              <w:top w:val="single" w:sz="4" w:space="0" w:color="585858"/>
              <w:bottom w:val="single" w:sz="4" w:space="0" w:color="585858"/>
            </w:tcBorders>
          </w:tcPr>
          <w:p>
            <w:pPr>
              <w:pStyle w:val="TableParagraph"/>
              <w:ind w:right="181"/>
              <w:jc w:val="right"/>
              <w:rPr>
                <w:sz w:val="18"/>
              </w:rPr>
            </w:pPr>
            <w:r>
              <w:rPr>
                <w:sz w:val="18"/>
              </w:rPr>
              <w:t>&lt;10</w:t>
            </w:r>
          </w:p>
        </w:tc>
        <w:tc>
          <w:tcPr>
            <w:tcW w:w="1317" w:type="dxa"/>
            <w:tcBorders>
              <w:top w:val="single" w:sz="4" w:space="0" w:color="585858"/>
              <w:bottom w:val="single" w:sz="4" w:space="0" w:color="585858"/>
            </w:tcBorders>
          </w:tcPr>
          <w:p>
            <w:pPr>
              <w:pStyle w:val="TableParagraph"/>
              <w:tabs>
                <w:tab w:pos="751" w:val="left" w:leader="none"/>
              </w:tabs>
              <w:ind w:left="284"/>
              <w:rPr>
                <w:sz w:val="18"/>
              </w:rPr>
            </w:pPr>
            <w:r>
              <w:rPr>
                <w:sz w:val="18"/>
              </w:rPr>
              <w:t>0.6</w:t>
              <w:tab/>
              <w:t>!</w:t>
            </w:r>
          </w:p>
        </w:tc>
        <w:tc>
          <w:tcPr>
            <w:tcW w:w="841" w:type="dxa"/>
            <w:tcBorders>
              <w:top w:val="single" w:sz="4" w:space="0" w:color="585858"/>
              <w:bottom w:val="single" w:sz="4" w:space="0" w:color="585858"/>
            </w:tcBorders>
          </w:tcPr>
          <w:p>
            <w:pPr>
              <w:pStyle w:val="TableParagraph"/>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ind w:left="282"/>
              <w:rPr>
                <w:sz w:val="18"/>
              </w:rPr>
            </w:pPr>
            <w:r>
              <w:rPr>
                <w:sz w:val="18"/>
              </w:rPr>
              <w:t>3.8</w:t>
              <w:tab/>
              <w:t>!</w:t>
            </w:r>
          </w:p>
        </w:tc>
      </w:tr>
      <w:tr>
        <w:trPr>
          <w:trHeight w:val="493" w:hRule="atLeast"/>
        </w:trPr>
        <w:tc>
          <w:tcPr>
            <w:tcW w:w="2939" w:type="dxa"/>
            <w:tcBorders>
              <w:top w:val="single" w:sz="4" w:space="0" w:color="585858"/>
              <w:bottom w:val="single" w:sz="4" w:space="0" w:color="585858"/>
            </w:tcBorders>
          </w:tcPr>
          <w:p>
            <w:pPr>
              <w:pStyle w:val="TableParagraph"/>
              <w:ind w:left="474" w:right="653"/>
              <w:rPr>
                <w:sz w:val="18"/>
              </w:rPr>
            </w:pPr>
            <w:r>
              <w:rPr>
                <w:sz w:val="18"/>
              </w:rPr>
              <w:t>Learning disabilities or attention deficit</w:t>
            </w:r>
          </w:p>
        </w:tc>
        <w:tc>
          <w:tcPr>
            <w:tcW w:w="759" w:type="dxa"/>
            <w:tcBorders>
              <w:top w:val="single" w:sz="4" w:space="0" w:color="585858"/>
              <w:bottom w:val="single" w:sz="4" w:space="0" w:color="585858"/>
            </w:tcBorders>
          </w:tcPr>
          <w:p>
            <w:pPr>
              <w:pStyle w:val="TableParagraph"/>
              <w:spacing w:before="42"/>
              <w:ind w:right="182"/>
              <w:jc w:val="right"/>
              <w:rPr>
                <w:sz w:val="18"/>
              </w:rPr>
            </w:pPr>
            <w:r>
              <w:rPr>
                <w:sz w:val="18"/>
              </w:rPr>
              <w:t>51</w:t>
            </w:r>
          </w:p>
        </w:tc>
        <w:tc>
          <w:tcPr>
            <w:tcW w:w="1315" w:type="dxa"/>
            <w:tcBorders>
              <w:top w:val="single" w:sz="4" w:space="0" w:color="585858"/>
              <w:bottom w:val="single" w:sz="4" w:space="0" w:color="585858"/>
            </w:tcBorders>
          </w:tcPr>
          <w:p>
            <w:pPr>
              <w:pStyle w:val="TableParagraph"/>
              <w:spacing w:before="42"/>
              <w:ind w:left="283"/>
              <w:rPr>
                <w:sz w:val="18"/>
              </w:rPr>
            </w:pPr>
            <w:r>
              <w:rPr>
                <w:sz w:val="18"/>
              </w:rPr>
              <w:t>9.8</w:t>
            </w:r>
          </w:p>
        </w:tc>
        <w:tc>
          <w:tcPr>
            <w:tcW w:w="841" w:type="dxa"/>
            <w:tcBorders>
              <w:top w:val="single" w:sz="4" w:space="0" w:color="585858"/>
              <w:bottom w:val="single" w:sz="4" w:space="0" w:color="585858"/>
            </w:tcBorders>
          </w:tcPr>
          <w:p>
            <w:pPr>
              <w:pStyle w:val="TableParagraph"/>
              <w:spacing w:before="42"/>
              <w:ind w:right="181"/>
              <w:jc w:val="right"/>
              <w:rPr>
                <w:sz w:val="18"/>
              </w:rPr>
            </w:pPr>
            <w:r>
              <w:rPr>
                <w:sz w:val="18"/>
              </w:rPr>
              <w:t>18</w:t>
            </w:r>
          </w:p>
        </w:tc>
        <w:tc>
          <w:tcPr>
            <w:tcW w:w="1317" w:type="dxa"/>
            <w:tcBorders>
              <w:top w:val="single" w:sz="4" w:space="0" w:color="585858"/>
              <w:bottom w:val="single" w:sz="4" w:space="0" w:color="585858"/>
            </w:tcBorders>
          </w:tcPr>
          <w:p>
            <w:pPr>
              <w:pStyle w:val="TableParagraph"/>
              <w:spacing w:before="42"/>
              <w:ind w:left="283"/>
              <w:rPr>
                <w:sz w:val="18"/>
              </w:rPr>
            </w:pPr>
            <w:r>
              <w:rPr>
                <w:sz w:val="18"/>
              </w:rPr>
              <w:t>5.7</w:t>
            </w:r>
          </w:p>
        </w:tc>
        <w:tc>
          <w:tcPr>
            <w:tcW w:w="841" w:type="dxa"/>
            <w:tcBorders>
              <w:top w:val="single" w:sz="4" w:space="0" w:color="585858"/>
              <w:bottom w:val="single" w:sz="4" w:space="0" w:color="585858"/>
            </w:tcBorders>
          </w:tcPr>
          <w:p>
            <w:pPr>
              <w:pStyle w:val="TableParagraph"/>
              <w:spacing w:before="42"/>
              <w:ind w:right="179"/>
              <w:jc w:val="right"/>
              <w:rPr>
                <w:sz w:val="18"/>
              </w:rPr>
            </w:pPr>
            <w:r>
              <w:rPr>
                <w:sz w:val="18"/>
              </w:rPr>
              <w:t>18</w:t>
            </w:r>
          </w:p>
        </w:tc>
        <w:tc>
          <w:tcPr>
            <w:tcW w:w="1354" w:type="dxa"/>
            <w:tcBorders>
              <w:top w:val="single" w:sz="4" w:space="0" w:color="585858"/>
              <w:bottom w:val="single" w:sz="4" w:space="0" w:color="585858"/>
            </w:tcBorders>
          </w:tcPr>
          <w:p>
            <w:pPr>
              <w:pStyle w:val="TableParagraph"/>
              <w:spacing w:before="42"/>
              <w:ind w:left="181"/>
              <w:rPr>
                <w:sz w:val="18"/>
              </w:rPr>
            </w:pPr>
            <w:r>
              <w:rPr>
                <w:sz w:val="18"/>
              </w:rPr>
              <w:t>34.6</w:t>
            </w:r>
          </w:p>
        </w:tc>
      </w:tr>
      <w:tr>
        <w:trPr>
          <w:trHeight w:val="285" w:hRule="atLeast"/>
        </w:trPr>
        <w:tc>
          <w:tcPr>
            <w:tcW w:w="2939" w:type="dxa"/>
            <w:tcBorders>
              <w:top w:val="single" w:sz="4" w:space="0" w:color="585858"/>
              <w:bottom w:val="single" w:sz="4" w:space="0" w:color="585858"/>
            </w:tcBorders>
          </w:tcPr>
          <w:p>
            <w:pPr>
              <w:pStyle w:val="TableParagraph"/>
              <w:spacing w:before="42"/>
              <w:ind w:left="474"/>
              <w:rPr>
                <w:sz w:val="18"/>
              </w:rPr>
            </w:pPr>
            <w:r>
              <w:rPr>
                <w:sz w:val="18"/>
              </w:rPr>
              <w:t>Mobility conditions</w:t>
            </w:r>
          </w:p>
        </w:tc>
        <w:tc>
          <w:tcPr>
            <w:tcW w:w="759"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5"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0.8</w:t>
              <w:tab/>
              <w:t>!</w:t>
            </w:r>
          </w:p>
        </w:tc>
        <w:tc>
          <w:tcPr>
            <w:tcW w:w="841" w:type="dxa"/>
            <w:tcBorders>
              <w:top w:val="single" w:sz="4" w:space="0" w:color="585858"/>
              <w:bottom w:val="single" w:sz="4" w:space="0" w:color="585858"/>
            </w:tcBorders>
          </w:tcPr>
          <w:p>
            <w:pPr>
              <w:pStyle w:val="TableParagraph"/>
              <w:spacing w:before="42"/>
              <w:ind w:right="181"/>
              <w:jc w:val="right"/>
              <w:rPr>
                <w:sz w:val="18"/>
              </w:rPr>
            </w:pPr>
            <w:r>
              <w:rPr>
                <w:sz w:val="18"/>
              </w:rPr>
              <w:t>&lt;10</w:t>
            </w:r>
          </w:p>
        </w:tc>
        <w:tc>
          <w:tcPr>
            <w:tcW w:w="1317" w:type="dxa"/>
            <w:tcBorders>
              <w:top w:val="single" w:sz="4" w:space="0" w:color="585858"/>
              <w:bottom w:val="single" w:sz="4" w:space="0" w:color="585858"/>
            </w:tcBorders>
          </w:tcPr>
          <w:p>
            <w:pPr>
              <w:pStyle w:val="TableParagraph"/>
              <w:tabs>
                <w:tab w:pos="751" w:val="left" w:leader="none"/>
              </w:tabs>
              <w:spacing w:before="42"/>
              <w:ind w:left="284"/>
              <w:rPr>
                <w:sz w:val="18"/>
              </w:rPr>
            </w:pPr>
            <w:r>
              <w:rPr>
                <w:sz w:val="18"/>
              </w:rPr>
              <w:t>1.0</w:t>
              <w:tab/>
              <w:t>!</w:t>
            </w:r>
          </w:p>
        </w:tc>
        <w:tc>
          <w:tcPr>
            <w:tcW w:w="841" w:type="dxa"/>
            <w:tcBorders>
              <w:top w:val="single" w:sz="4" w:space="0" w:color="585858"/>
              <w:bottom w:val="single" w:sz="4" w:space="0" w:color="585858"/>
            </w:tcBorders>
          </w:tcPr>
          <w:p>
            <w:pPr>
              <w:pStyle w:val="TableParagraph"/>
              <w:spacing w:before="42"/>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spacing w:before="42"/>
              <w:ind w:left="282"/>
              <w:rPr>
                <w:sz w:val="18"/>
              </w:rPr>
            </w:pPr>
            <w:r>
              <w:rPr>
                <w:sz w:val="18"/>
              </w:rPr>
              <w:t>3.8</w:t>
              <w:tab/>
              <w:t>!</w:t>
            </w:r>
          </w:p>
        </w:tc>
      </w:tr>
      <w:tr>
        <w:trPr>
          <w:trHeight w:val="290" w:hRule="atLeast"/>
        </w:trPr>
        <w:tc>
          <w:tcPr>
            <w:tcW w:w="2939" w:type="dxa"/>
            <w:tcBorders>
              <w:top w:val="single" w:sz="4" w:space="0" w:color="585858"/>
              <w:bottom w:val="single" w:sz="4" w:space="0" w:color="585858"/>
            </w:tcBorders>
          </w:tcPr>
          <w:p>
            <w:pPr>
              <w:pStyle w:val="TableParagraph"/>
              <w:spacing w:before="42"/>
              <w:ind w:left="474"/>
              <w:rPr>
                <w:sz w:val="18"/>
              </w:rPr>
            </w:pPr>
            <w:r>
              <w:rPr>
                <w:sz w:val="18"/>
              </w:rPr>
              <w:t>Psychiatric conditions</w:t>
            </w:r>
          </w:p>
        </w:tc>
        <w:tc>
          <w:tcPr>
            <w:tcW w:w="759" w:type="dxa"/>
            <w:tcBorders>
              <w:top w:val="single" w:sz="4" w:space="0" w:color="585858"/>
              <w:bottom w:val="single" w:sz="4" w:space="0" w:color="585858"/>
            </w:tcBorders>
          </w:tcPr>
          <w:p>
            <w:pPr>
              <w:pStyle w:val="TableParagraph"/>
              <w:spacing w:before="42"/>
              <w:ind w:right="182"/>
              <w:jc w:val="right"/>
              <w:rPr>
                <w:sz w:val="18"/>
              </w:rPr>
            </w:pPr>
            <w:r>
              <w:rPr>
                <w:sz w:val="18"/>
              </w:rPr>
              <w:t>150</w:t>
            </w:r>
          </w:p>
        </w:tc>
        <w:tc>
          <w:tcPr>
            <w:tcW w:w="1315" w:type="dxa"/>
            <w:tcBorders>
              <w:top w:val="single" w:sz="4" w:space="0" w:color="585858"/>
              <w:bottom w:val="single" w:sz="4" w:space="0" w:color="585858"/>
            </w:tcBorders>
          </w:tcPr>
          <w:p>
            <w:pPr>
              <w:pStyle w:val="TableParagraph"/>
              <w:spacing w:before="42"/>
              <w:ind w:left="183"/>
              <w:rPr>
                <w:sz w:val="18"/>
              </w:rPr>
            </w:pPr>
            <w:r>
              <w:rPr>
                <w:sz w:val="18"/>
              </w:rPr>
              <w:t>28.7</w:t>
            </w:r>
          </w:p>
        </w:tc>
        <w:tc>
          <w:tcPr>
            <w:tcW w:w="841" w:type="dxa"/>
            <w:tcBorders>
              <w:top w:val="single" w:sz="4" w:space="0" w:color="585858"/>
              <w:bottom w:val="single" w:sz="4" w:space="0" w:color="585858"/>
            </w:tcBorders>
          </w:tcPr>
          <w:p>
            <w:pPr>
              <w:pStyle w:val="TableParagraph"/>
              <w:spacing w:before="42"/>
              <w:ind w:right="181"/>
              <w:jc w:val="right"/>
              <w:rPr>
                <w:sz w:val="18"/>
              </w:rPr>
            </w:pPr>
            <w:r>
              <w:rPr>
                <w:sz w:val="18"/>
              </w:rPr>
              <w:t>45</w:t>
            </w:r>
          </w:p>
        </w:tc>
        <w:tc>
          <w:tcPr>
            <w:tcW w:w="1317" w:type="dxa"/>
            <w:tcBorders>
              <w:top w:val="single" w:sz="4" w:space="0" w:color="585858"/>
              <w:bottom w:val="single" w:sz="4" w:space="0" w:color="585858"/>
            </w:tcBorders>
          </w:tcPr>
          <w:p>
            <w:pPr>
              <w:pStyle w:val="TableParagraph"/>
              <w:spacing w:before="42"/>
              <w:ind w:left="184"/>
              <w:rPr>
                <w:sz w:val="18"/>
              </w:rPr>
            </w:pPr>
            <w:r>
              <w:rPr>
                <w:sz w:val="18"/>
              </w:rPr>
              <w:t>14.3</w:t>
            </w:r>
          </w:p>
        </w:tc>
        <w:tc>
          <w:tcPr>
            <w:tcW w:w="841" w:type="dxa"/>
            <w:tcBorders>
              <w:top w:val="single" w:sz="4" w:space="0" w:color="585858"/>
              <w:bottom w:val="single" w:sz="4" w:space="0" w:color="585858"/>
            </w:tcBorders>
          </w:tcPr>
          <w:p>
            <w:pPr>
              <w:pStyle w:val="TableParagraph"/>
              <w:spacing w:before="42"/>
              <w:ind w:right="179"/>
              <w:jc w:val="right"/>
              <w:rPr>
                <w:sz w:val="18"/>
              </w:rPr>
            </w:pPr>
            <w:r>
              <w:rPr>
                <w:sz w:val="18"/>
              </w:rPr>
              <w:t>29</w:t>
            </w:r>
          </w:p>
        </w:tc>
        <w:tc>
          <w:tcPr>
            <w:tcW w:w="1354" w:type="dxa"/>
            <w:tcBorders>
              <w:top w:val="single" w:sz="4" w:space="0" w:color="585858"/>
              <w:bottom w:val="single" w:sz="4" w:space="0" w:color="585858"/>
            </w:tcBorders>
          </w:tcPr>
          <w:p>
            <w:pPr>
              <w:pStyle w:val="TableParagraph"/>
              <w:spacing w:before="42"/>
              <w:ind w:left="182"/>
              <w:rPr>
                <w:sz w:val="18"/>
              </w:rPr>
            </w:pPr>
            <w:r>
              <w:rPr>
                <w:sz w:val="18"/>
              </w:rPr>
              <w:t>55.8</w:t>
            </w:r>
          </w:p>
        </w:tc>
      </w:tr>
      <w:tr>
        <w:trPr>
          <w:trHeight w:val="494" w:hRule="atLeast"/>
        </w:trPr>
        <w:tc>
          <w:tcPr>
            <w:tcW w:w="2939" w:type="dxa"/>
            <w:tcBorders>
              <w:top w:val="single" w:sz="4" w:space="0" w:color="585858"/>
              <w:bottom w:val="single" w:sz="4" w:space="0" w:color="585858"/>
            </w:tcBorders>
          </w:tcPr>
          <w:p>
            <w:pPr>
              <w:pStyle w:val="TableParagraph"/>
              <w:ind w:left="474" w:right="433"/>
              <w:rPr>
                <w:sz w:val="18"/>
              </w:rPr>
            </w:pPr>
            <w:r>
              <w:rPr>
                <w:sz w:val="18"/>
              </w:rPr>
              <w:t>Something else not listed here</w:t>
            </w:r>
          </w:p>
        </w:tc>
        <w:tc>
          <w:tcPr>
            <w:tcW w:w="759" w:type="dxa"/>
            <w:tcBorders>
              <w:top w:val="single" w:sz="4" w:space="0" w:color="585858"/>
              <w:bottom w:val="single" w:sz="4" w:space="0" w:color="585858"/>
            </w:tcBorders>
          </w:tcPr>
          <w:p>
            <w:pPr>
              <w:pStyle w:val="TableParagraph"/>
              <w:ind w:right="181"/>
              <w:jc w:val="right"/>
              <w:rPr>
                <w:sz w:val="18"/>
              </w:rPr>
            </w:pPr>
            <w:r>
              <w:rPr>
                <w:sz w:val="18"/>
              </w:rPr>
              <w:t>12</w:t>
            </w:r>
          </w:p>
        </w:tc>
        <w:tc>
          <w:tcPr>
            <w:tcW w:w="1315" w:type="dxa"/>
            <w:tcBorders>
              <w:top w:val="single" w:sz="4" w:space="0" w:color="585858"/>
              <w:bottom w:val="single" w:sz="4" w:space="0" w:color="585858"/>
            </w:tcBorders>
          </w:tcPr>
          <w:p>
            <w:pPr>
              <w:pStyle w:val="TableParagraph"/>
              <w:ind w:left="284"/>
              <w:rPr>
                <w:sz w:val="18"/>
              </w:rPr>
            </w:pPr>
            <w:r>
              <w:rPr>
                <w:sz w:val="18"/>
              </w:rPr>
              <w:t>2.3</w:t>
            </w:r>
          </w:p>
        </w:tc>
        <w:tc>
          <w:tcPr>
            <w:tcW w:w="841" w:type="dxa"/>
            <w:tcBorders>
              <w:top w:val="single" w:sz="4" w:space="0" w:color="585858"/>
              <w:bottom w:val="single" w:sz="4" w:space="0" w:color="585858"/>
            </w:tcBorders>
          </w:tcPr>
          <w:p>
            <w:pPr>
              <w:pStyle w:val="TableParagraph"/>
              <w:ind w:right="181"/>
              <w:jc w:val="right"/>
              <w:rPr>
                <w:sz w:val="18"/>
              </w:rPr>
            </w:pPr>
            <w:r>
              <w:rPr>
                <w:sz w:val="18"/>
              </w:rPr>
              <w:t>&lt;10</w:t>
            </w:r>
          </w:p>
        </w:tc>
        <w:tc>
          <w:tcPr>
            <w:tcW w:w="1317" w:type="dxa"/>
            <w:tcBorders>
              <w:top w:val="single" w:sz="4" w:space="0" w:color="585858"/>
              <w:bottom w:val="single" w:sz="4" w:space="0" w:color="585858"/>
            </w:tcBorders>
          </w:tcPr>
          <w:p>
            <w:pPr>
              <w:pStyle w:val="TableParagraph"/>
              <w:tabs>
                <w:tab w:pos="751" w:val="left" w:leader="none"/>
              </w:tabs>
              <w:ind w:left="284"/>
              <w:rPr>
                <w:sz w:val="18"/>
              </w:rPr>
            </w:pPr>
            <w:r>
              <w:rPr>
                <w:sz w:val="18"/>
              </w:rPr>
              <w:t>1.0</w:t>
              <w:tab/>
              <w:t>!</w:t>
            </w:r>
          </w:p>
        </w:tc>
        <w:tc>
          <w:tcPr>
            <w:tcW w:w="841" w:type="dxa"/>
            <w:tcBorders>
              <w:top w:val="single" w:sz="4" w:space="0" w:color="585858"/>
              <w:bottom w:val="single" w:sz="4" w:space="0" w:color="585858"/>
            </w:tcBorders>
          </w:tcPr>
          <w:p>
            <w:pPr>
              <w:pStyle w:val="TableParagraph"/>
              <w:ind w:right="179"/>
              <w:jc w:val="right"/>
              <w:rPr>
                <w:sz w:val="18"/>
              </w:rPr>
            </w:pPr>
            <w:r>
              <w:rPr>
                <w:sz w:val="18"/>
              </w:rPr>
              <w:t>&lt;10</w:t>
            </w:r>
          </w:p>
        </w:tc>
        <w:tc>
          <w:tcPr>
            <w:tcW w:w="1354" w:type="dxa"/>
            <w:tcBorders>
              <w:top w:val="single" w:sz="4" w:space="0" w:color="585858"/>
              <w:bottom w:val="single" w:sz="4" w:space="0" w:color="585858"/>
            </w:tcBorders>
          </w:tcPr>
          <w:p>
            <w:pPr>
              <w:pStyle w:val="TableParagraph"/>
              <w:tabs>
                <w:tab w:pos="750" w:val="left" w:leader="none"/>
              </w:tabs>
              <w:ind w:left="282"/>
              <w:rPr>
                <w:sz w:val="18"/>
              </w:rPr>
            </w:pPr>
            <w:r>
              <w:rPr>
                <w:sz w:val="18"/>
              </w:rPr>
              <w:t>9.6</w:t>
              <w:tab/>
              <w:t>!</w:t>
            </w:r>
          </w:p>
        </w:tc>
      </w:tr>
      <w:tr>
        <w:trPr>
          <w:trHeight w:val="285" w:hRule="atLeast"/>
        </w:trPr>
        <w:tc>
          <w:tcPr>
            <w:tcW w:w="2939" w:type="dxa"/>
            <w:tcBorders>
              <w:top w:val="single" w:sz="4" w:space="0" w:color="585858"/>
              <w:bottom w:val="single" w:sz="4" w:space="0" w:color="585858"/>
            </w:tcBorders>
          </w:tcPr>
          <w:p>
            <w:pPr>
              <w:pStyle w:val="TableParagraph"/>
              <w:ind w:left="474"/>
              <w:rPr>
                <w:sz w:val="18"/>
              </w:rPr>
            </w:pPr>
            <w:r>
              <w:rPr>
                <w:sz w:val="18"/>
              </w:rPr>
              <w:t>None</w:t>
            </w:r>
          </w:p>
        </w:tc>
        <w:tc>
          <w:tcPr>
            <w:tcW w:w="759" w:type="dxa"/>
            <w:tcBorders>
              <w:top w:val="single" w:sz="4" w:space="0" w:color="585858"/>
              <w:bottom w:val="single" w:sz="4" w:space="0" w:color="585858"/>
            </w:tcBorders>
          </w:tcPr>
          <w:p>
            <w:pPr>
              <w:pStyle w:val="TableParagraph"/>
              <w:ind w:right="182"/>
              <w:jc w:val="right"/>
              <w:rPr>
                <w:sz w:val="18"/>
              </w:rPr>
            </w:pPr>
            <w:r>
              <w:rPr>
                <w:sz w:val="18"/>
              </w:rPr>
              <w:t>264</w:t>
            </w:r>
          </w:p>
        </w:tc>
        <w:tc>
          <w:tcPr>
            <w:tcW w:w="1315" w:type="dxa"/>
            <w:tcBorders>
              <w:top w:val="single" w:sz="4" w:space="0" w:color="585858"/>
              <w:bottom w:val="single" w:sz="4" w:space="0" w:color="585858"/>
            </w:tcBorders>
          </w:tcPr>
          <w:p>
            <w:pPr>
              <w:pStyle w:val="TableParagraph"/>
              <w:ind w:left="183"/>
              <w:rPr>
                <w:sz w:val="18"/>
              </w:rPr>
            </w:pPr>
            <w:r>
              <w:rPr>
                <w:sz w:val="18"/>
              </w:rPr>
              <w:t>50.6</w:t>
            </w:r>
          </w:p>
        </w:tc>
        <w:tc>
          <w:tcPr>
            <w:tcW w:w="841" w:type="dxa"/>
            <w:tcBorders>
              <w:top w:val="single" w:sz="4" w:space="0" w:color="585858"/>
              <w:bottom w:val="single" w:sz="4" w:space="0" w:color="585858"/>
            </w:tcBorders>
          </w:tcPr>
          <w:p>
            <w:pPr>
              <w:pStyle w:val="TableParagraph"/>
              <w:ind w:right="182"/>
              <w:jc w:val="right"/>
              <w:rPr>
                <w:sz w:val="18"/>
              </w:rPr>
            </w:pPr>
            <w:r>
              <w:rPr>
                <w:sz w:val="18"/>
              </w:rPr>
              <w:t>218</w:t>
            </w:r>
          </w:p>
        </w:tc>
        <w:tc>
          <w:tcPr>
            <w:tcW w:w="1317" w:type="dxa"/>
            <w:tcBorders>
              <w:top w:val="single" w:sz="4" w:space="0" w:color="585858"/>
              <w:bottom w:val="single" w:sz="4" w:space="0" w:color="585858"/>
            </w:tcBorders>
          </w:tcPr>
          <w:p>
            <w:pPr>
              <w:pStyle w:val="TableParagraph"/>
              <w:ind w:left="183"/>
              <w:rPr>
                <w:sz w:val="18"/>
              </w:rPr>
            </w:pPr>
            <w:r>
              <w:rPr>
                <w:sz w:val="18"/>
              </w:rPr>
              <w:t>69.4</w:t>
            </w:r>
          </w:p>
        </w:tc>
        <w:tc>
          <w:tcPr>
            <w:tcW w:w="841" w:type="dxa"/>
            <w:tcBorders>
              <w:top w:val="single" w:sz="4" w:space="0" w:color="585858"/>
              <w:bottom w:val="single" w:sz="4" w:space="0" w:color="585858"/>
            </w:tcBorders>
          </w:tcPr>
          <w:p>
            <w:pPr>
              <w:pStyle w:val="TableParagraph"/>
              <w:ind w:right="179"/>
              <w:jc w:val="right"/>
              <w:rPr>
                <w:sz w:val="18"/>
              </w:rPr>
            </w:pPr>
            <w:r>
              <w:rPr>
                <w:sz w:val="18"/>
              </w:rPr>
              <w:t>11</w:t>
            </w:r>
          </w:p>
        </w:tc>
        <w:tc>
          <w:tcPr>
            <w:tcW w:w="1354" w:type="dxa"/>
            <w:tcBorders>
              <w:top w:val="single" w:sz="4" w:space="0" w:color="585858"/>
              <w:bottom w:val="single" w:sz="4" w:space="0" w:color="585858"/>
            </w:tcBorders>
          </w:tcPr>
          <w:p>
            <w:pPr>
              <w:pStyle w:val="TableParagraph"/>
              <w:ind w:left="182"/>
              <w:rPr>
                <w:sz w:val="18"/>
              </w:rPr>
            </w:pPr>
            <w:r>
              <w:rPr>
                <w:sz w:val="18"/>
              </w:rPr>
              <w:t>21.2</w:t>
            </w:r>
          </w:p>
        </w:tc>
      </w:tr>
    </w:tbl>
    <w:p>
      <w:pPr>
        <w:spacing w:before="59"/>
        <w:ind w:left="120" w:right="0" w:firstLine="0"/>
        <w:jc w:val="left"/>
        <w:rPr>
          <w:sz w:val="18"/>
        </w:rPr>
      </w:pPr>
      <w:r>
        <w:rPr>
          <w:sz w:val="18"/>
        </w:rPr>
        <w:t>Notes: Percentages may not sum to 100% because of nonresponse in the survey item.</w:t>
      </w:r>
    </w:p>
    <w:p>
      <w:pPr>
        <w:spacing w:before="61"/>
        <w:ind w:left="120" w:right="0" w:firstLine="0"/>
        <w:jc w:val="left"/>
        <w:rPr>
          <w:sz w:val="18"/>
        </w:rPr>
      </w:pPr>
      <w:r>
        <w:rPr>
          <w:position w:val="5"/>
          <w:sz w:val="12"/>
        </w:rPr>
        <w:t>a </w:t>
      </w:r>
      <w:r>
        <w:rPr>
          <w:sz w:val="18"/>
        </w:rPr>
        <w:t>Among students who selected more than one race, the most common pattern was Asian and White.</w:t>
      </w:r>
    </w:p>
    <w:p>
      <w:pPr>
        <w:spacing w:before="61"/>
        <w:ind w:left="120" w:right="0" w:firstLine="0"/>
        <w:jc w:val="left"/>
        <w:rPr>
          <w:sz w:val="18"/>
        </w:rPr>
      </w:pPr>
      <w:r>
        <w:rPr>
          <w:position w:val="5"/>
          <w:sz w:val="12"/>
        </w:rPr>
        <w:t>b </w:t>
      </w:r>
      <w:r>
        <w:rPr>
          <w:sz w:val="18"/>
        </w:rPr>
        <w:t>Students were asked if they had a diagnosed or documented disability.</w:t>
      </w:r>
    </w:p>
    <w:p>
      <w:pPr>
        <w:spacing w:before="57"/>
        <w:ind w:left="307" w:right="295" w:hanging="188"/>
        <w:jc w:val="left"/>
        <w:rPr>
          <w:sz w:val="18"/>
        </w:rPr>
      </w:pPr>
      <w:r>
        <w:rPr>
          <w:sz w:val="18"/>
        </w:rPr>
        <w:t>! Estimate is considered not statistically reliable because it is either based on fewer than 10 people or has a relative standard error greater than 30%. &lt; 10 indicates that 0–10 students in the school are in this category. The exact number is suppressed to protect the identity of the students.</w:t>
      </w:r>
    </w:p>
    <w:p>
      <w:pPr>
        <w:spacing w:after="0"/>
        <w:jc w:val="left"/>
        <w:rPr>
          <w:sz w:val="18"/>
        </w:rPr>
        <w:sectPr>
          <w:pgSz w:w="12240" w:h="15840"/>
          <w:pgMar w:header="0" w:footer="592" w:top="1020" w:bottom="780" w:left="1320" w:right="1320"/>
        </w:sectPr>
      </w:pPr>
    </w:p>
    <w:p>
      <w:pPr>
        <w:pStyle w:val="Heading5"/>
        <w:tabs>
          <w:tab w:pos="1199" w:val="left" w:leader="none"/>
        </w:tabs>
        <w:spacing w:before="83"/>
        <w:ind w:left="120" w:firstLine="0"/>
      </w:pPr>
      <w:r>
        <w:rPr/>
        <w:t>Table</w:t>
      </w:r>
      <w:r>
        <w:rPr>
          <w:spacing w:val="-3"/>
        </w:rPr>
        <w:t> </w:t>
      </w:r>
      <w:r>
        <w:rPr/>
        <w:t>4.</w:t>
        <w:tab/>
        <w:t>Distribution of Respondents, Faculty and</w:t>
      </w:r>
      <w:r>
        <w:rPr>
          <w:spacing w:val="-10"/>
        </w:rPr>
        <w:t> </w:t>
      </w:r>
      <w:r>
        <w:rPr/>
        <w:t>Staff</w:t>
      </w:r>
    </w:p>
    <w:p>
      <w:pPr>
        <w:pStyle w:val="BodyText"/>
        <w:spacing w:before="1"/>
        <w:rPr>
          <w:b/>
          <w:sz w:val="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76"/>
        <w:gridCol w:w="619"/>
        <w:gridCol w:w="1230"/>
        <w:gridCol w:w="788"/>
        <w:gridCol w:w="1333"/>
        <w:gridCol w:w="686"/>
        <w:gridCol w:w="1279"/>
        <w:gridCol w:w="737"/>
        <w:gridCol w:w="1311"/>
        <w:gridCol w:w="704"/>
        <w:gridCol w:w="1309"/>
      </w:tblGrid>
      <w:tr>
        <w:trPr>
          <w:trHeight w:val="629" w:hRule="atLeast"/>
        </w:trPr>
        <w:tc>
          <w:tcPr>
            <w:tcW w:w="4825" w:type="dxa"/>
            <w:gridSpan w:val="3"/>
            <w:shd w:val="clear" w:color="auto" w:fill="09357D"/>
          </w:tcPr>
          <w:p>
            <w:pPr>
              <w:pStyle w:val="TableParagraph"/>
              <w:spacing w:before="7"/>
              <w:rPr>
                <w:b/>
                <w:sz w:val="19"/>
              </w:rPr>
            </w:pPr>
          </w:p>
          <w:p>
            <w:pPr>
              <w:pStyle w:val="TableParagraph"/>
              <w:spacing w:before="0"/>
              <w:ind w:left="3622" w:hanging="420"/>
              <w:rPr>
                <w:b/>
                <w:sz w:val="16"/>
              </w:rPr>
            </w:pPr>
            <w:r>
              <w:rPr>
                <w:b/>
                <w:color w:val="FFFFFF"/>
                <w:sz w:val="16"/>
              </w:rPr>
              <w:t>Cisgender Women Faculty</w:t>
            </w:r>
          </w:p>
        </w:tc>
        <w:tc>
          <w:tcPr>
            <w:tcW w:w="2121" w:type="dxa"/>
            <w:gridSpan w:val="2"/>
            <w:shd w:val="clear" w:color="auto" w:fill="09357D"/>
          </w:tcPr>
          <w:p>
            <w:pPr>
              <w:pStyle w:val="TableParagraph"/>
              <w:spacing w:before="0"/>
              <w:rPr>
                <w:b/>
                <w:sz w:val="18"/>
              </w:rPr>
            </w:pPr>
          </w:p>
          <w:p>
            <w:pPr>
              <w:pStyle w:val="TableParagraph"/>
              <w:spacing w:before="7"/>
              <w:rPr>
                <w:b/>
                <w:sz w:val="17"/>
              </w:rPr>
            </w:pPr>
          </w:p>
          <w:p>
            <w:pPr>
              <w:pStyle w:val="TableParagraph"/>
              <w:spacing w:before="0"/>
              <w:ind w:left="217"/>
              <w:rPr>
                <w:b/>
                <w:sz w:val="16"/>
              </w:rPr>
            </w:pPr>
            <w:r>
              <w:rPr>
                <w:b/>
                <w:color w:val="FFFFFF"/>
                <w:sz w:val="16"/>
              </w:rPr>
              <w:t>Cisgender Men Faculty</w:t>
            </w:r>
          </w:p>
        </w:tc>
        <w:tc>
          <w:tcPr>
            <w:tcW w:w="1965" w:type="dxa"/>
            <w:gridSpan w:val="2"/>
            <w:shd w:val="clear" w:color="auto" w:fill="09357D"/>
          </w:tcPr>
          <w:p>
            <w:pPr>
              <w:pStyle w:val="TableParagraph"/>
              <w:spacing w:before="7"/>
              <w:rPr>
                <w:b/>
                <w:sz w:val="19"/>
              </w:rPr>
            </w:pPr>
          </w:p>
          <w:p>
            <w:pPr>
              <w:pStyle w:val="TableParagraph"/>
              <w:spacing w:before="0"/>
              <w:ind w:left="812" w:hanging="520"/>
              <w:rPr>
                <w:b/>
                <w:sz w:val="16"/>
              </w:rPr>
            </w:pPr>
            <w:r>
              <w:rPr>
                <w:b/>
                <w:color w:val="FFFFFF"/>
                <w:sz w:val="16"/>
              </w:rPr>
              <w:t>Cisgender Women Staff</w:t>
            </w:r>
          </w:p>
        </w:tc>
        <w:tc>
          <w:tcPr>
            <w:tcW w:w="2048" w:type="dxa"/>
            <w:gridSpan w:val="2"/>
            <w:shd w:val="clear" w:color="auto" w:fill="09357D"/>
          </w:tcPr>
          <w:p>
            <w:pPr>
              <w:pStyle w:val="TableParagraph"/>
              <w:spacing w:before="0"/>
              <w:rPr>
                <w:b/>
                <w:sz w:val="18"/>
              </w:rPr>
            </w:pPr>
          </w:p>
          <w:p>
            <w:pPr>
              <w:pStyle w:val="TableParagraph"/>
              <w:spacing w:before="7"/>
              <w:rPr>
                <w:b/>
                <w:sz w:val="17"/>
              </w:rPr>
            </w:pPr>
          </w:p>
          <w:p>
            <w:pPr>
              <w:pStyle w:val="TableParagraph"/>
              <w:spacing w:before="0"/>
              <w:ind w:left="263"/>
              <w:rPr>
                <w:b/>
                <w:sz w:val="16"/>
              </w:rPr>
            </w:pPr>
            <w:r>
              <w:rPr>
                <w:b/>
                <w:color w:val="FFFFFF"/>
                <w:sz w:val="16"/>
              </w:rPr>
              <w:t>Cisgender Men Staff</w:t>
            </w:r>
          </w:p>
        </w:tc>
        <w:tc>
          <w:tcPr>
            <w:tcW w:w="2013" w:type="dxa"/>
            <w:gridSpan w:val="2"/>
            <w:shd w:val="clear" w:color="auto" w:fill="09357D"/>
          </w:tcPr>
          <w:p>
            <w:pPr>
              <w:pStyle w:val="TableParagraph"/>
              <w:spacing w:before="42"/>
              <w:ind w:left="210" w:right="218"/>
              <w:jc w:val="center"/>
              <w:rPr>
                <w:b/>
                <w:sz w:val="16"/>
              </w:rPr>
            </w:pPr>
            <w:r>
              <w:rPr>
                <w:b/>
                <w:color w:val="FFFFFF"/>
                <w:sz w:val="16"/>
              </w:rPr>
              <w:t>Transgender and/ or Nonbinary Faculty/Staff</w:t>
            </w:r>
          </w:p>
        </w:tc>
      </w:tr>
      <w:tr>
        <w:trPr>
          <w:trHeight w:val="273" w:hRule="atLeast"/>
        </w:trPr>
        <w:tc>
          <w:tcPr>
            <w:tcW w:w="2976" w:type="dxa"/>
            <w:tcBorders>
              <w:bottom w:val="single" w:sz="4" w:space="0" w:color="585858"/>
            </w:tcBorders>
            <w:shd w:val="clear" w:color="auto" w:fill="09357D"/>
          </w:tcPr>
          <w:p>
            <w:pPr>
              <w:pStyle w:val="TableParagraph"/>
              <w:spacing w:before="29"/>
              <w:ind w:left="850"/>
              <w:rPr>
                <w:b/>
                <w:sz w:val="18"/>
              </w:rPr>
            </w:pPr>
            <w:r>
              <w:rPr>
                <w:b/>
                <w:color w:val="FFFFFF"/>
                <w:sz w:val="18"/>
              </w:rPr>
              <w:t>Characteristic</w:t>
            </w:r>
          </w:p>
        </w:tc>
        <w:tc>
          <w:tcPr>
            <w:tcW w:w="619" w:type="dxa"/>
            <w:tcBorders>
              <w:bottom w:val="single" w:sz="4" w:space="0" w:color="585858"/>
            </w:tcBorders>
            <w:shd w:val="clear" w:color="auto" w:fill="09357D"/>
          </w:tcPr>
          <w:p>
            <w:pPr>
              <w:pStyle w:val="TableParagraph"/>
              <w:spacing w:before="52"/>
              <w:ind w:right="108"/>
              <w:jc w:val="center"/>
              <w:rPr>
                <w:b/>
                <w:sz w:val="16"/>
              </w:rPr>
            </w:pPr>
            <w:r>
              <w:rPr>
                <w:b/>
                <w:color w:val="FFFFFF"/>
                <w:sz w:val="16"/>
              </w:rPr>
              <w:t>#</w:t>
            </w:r>
          </w:p>
        </w:tc>
        <w:tc>
          <w:tcPr>
            <w:tcW w:w="1230" w:type="dxa"/>
            <w:tcBorders>
              <w:bottom w:val="single" w:sz="4" w:space="0" w:color="585858"/>
            </w:tcBorders>
            <w:shd w:val="clear" w:color="auto" w:fill="09357D"/>
          </w:tcPr>
          <w:p>
            <w:pPr>
              <w:pStyle w:val="TableParagraph"/>
              <w:spacing w:before="52"/>
              <w:ind w:left="235"/>
              <w:rPr>
                <w:b/>
                <w:sz w:val="16"/>
              </w:rPr>
            </w:pPr>
            <w:r>
              <w:rPr>
                <w:b/>
                <w:color w:val="FFFFFF"/>
                <w:sz w:val="16"/>
              </w:rPr>
              <w:t>%</w:t>
            </w:r>
          </w:p>
        </w:tc>
        <w:tc>
          <w:tcPr>
            <w:tcW w:w="788" w:type="dxa"/>
            <w:tcBorders>
              <w:bottom w:val="single" w:sz="4" w:space="0" w:color="585858"/>
            </w:tcBorders>
            <w:shd w:val="clear" w:color="auto" w:fill="09357D"/>
          </w:tcPr>
          <w:p>
            <w:pPr>
              <w:pStyle w:val="TableParagraph"/>
              <w:spacing w:before="52"/>
              <w:ind w:left="54"/>
              <w:jc w:val="center"/>
              <w:rPr>
                <w:b/>
                <w:sz w:val="16"/>
              </w:rPr>
            </w:pPr>
            <w:r>
              <w:rPr>
                <w:b/>
                <w:color w:val="FFFFFF"/>
                <w:sz w:val="16"/>
              </w:rPr>
              <w:t>#</w:t>
            </w:r>
          </w:p>
        </w:tc>
        <w:tc>
          <w:tcPr>
            <w:tcW w:w="1333" w:type="dxa"/>
            <w:tcBorders>
              <w:bottom w:val="single" w:sz="4" w:space="0" w:color="585858"/>
            </w:tcBorders>
            <w:shd w:val="clear" w:color="auto" w:fill="09357D"/>
          </w:tcPr>
          <w:p>
            <w:pPr>
              <w:pStyle w:val="TableParagraph"/>
              <w:spacing w:before="52"/>
              <w:ind w:left="233"/>
              <w:rPr>
                <w:b/>
                <w:sz w:val="16"/>
              </w:rPr>
            </w:pPr>
            <w:r>
              <w:rPr>
                <w:b/>
                <w:color w:val="FFFFFF"/>
                <w:sz w:val="16"/>
              </w:rPr>
              <w:t>%</w:t>
            </w:r>
          </w:p>
        </w:tc>
        <w:tc>
          <w:tcPr>
            <w:tcW w:w="686" w:type="dxa"/>
            <w:tcBorders>
              <w:bottom w:val="single" w:sz="4" w:space="0" w:color="585858"/>
            </w:tcBorders>
            <w:shd w:val="clear" w:color="auto" w:fill="09357D"/>
          </w:tcPr>
          <w:p>
            <w:pPr>
              <w:pStyle w:val="TableParagraph"/>
              <w:spacing w:before="52"/>
              <w:ind w:right="43"/>
              <w:jc w:val="center"/>
              <w:rPr>
                <w:b/>
                <w:sz w:val="16"/>
              </w:rPr>
            </w:pPr>
            <w:r>
              <w:rPr>
                <w:b/>
                <w:color w:val="FFFFFF"/>
                <w:sz w:val="16"/>
              </w:rPr>
              <w:t>#</w:t>
            </w:r>
          </w:p>
        </w:tc>
        <w:tc>
          <w:tcPr>
            <w:tcW w:w="1279" w:type="dxa"/>
            <w:tcBorders>
              <w:bottom w:val="single" w:sz="4" w:space="0" w:color="585858"/>
            </w:tcBorders>
            <w:shd w:val="clear" w:color="auto" w:fill="09357D"/>
          </w:tcPr>
          <w:p>
            <w:pPr>
              <w:pStyle w:val="TableParagraph"/>
              <w:spacing w:before="52"/>
              <w:ind w:left="230"/>
              <w:rPr>
                <w:b/>
                <w:sz w:val="16"/>
              </w:rPr>
            </w:pPr>
            <w:r>
              <w:rPr>
                <w:b/>
                <w:color w:val="FFFFFF"/>
                <w:sz w:val="16"/>
              </w:rPr>
              <w:t>%</w:t>
            </w:r>
          </w:p>
        </w:tc>
        <w:tc>
          <w:tcPr>
            <w:tcW w:w="737" w:type="dxa"/>
            <w:tcBorders>
              <w:bottom w:val="single" w:sz="4" w:space="0" w:color="585858"/>
            </w:tcBorders>
            <w:shd w:val="clear" w:color="auto" w:fill="09357D"/>
          </w:tcPr>
          <w:p>
            <w:pPr>
              <w:pStyle w:val="TableParagraph"/>
              <w:spacing w:before="52"/>
              <w:jc w:val="center"/>
              <w:rPr>
                <w:b/>
                <w:sz w:val="16"/>
              </w:rPr>
            </w:pPr>
            <w:r>
              <w:rPr>
                <w:b/>
                <w:color w:val="FFFFFF"/>
                <w:sz w:val="16"/>
              </w:rPr>
              <w:t>#</w:t>
            </w:r>
          </w:p>
        </w:tc>
        <w:tc>
          <w:tcPr>
            <w:tcW w:w="1311" w:type="dxa"/>
            <w:tcBorders>
              <w:bottom w:val="single" w:sz="4" w:space="0" w:color="585858"/>
            </w:tcBorders>
            <w:shd w:val="clear" w:color="auto" w:fill="09357D"/>
          </w:tcPr>
          <w:p>
            <w:pPr>
              <w:pStyle w:val="TableParagraph"/>
              <w:spacing w:before="52"/>
              <w:ind w:left="234"/>
              <w:rPr>
                <w:b/>
                <w:sz w:val="16"/>
              </w:rPr>
            </w:pPr>
            <w:r>
              <w:rPr>
                <w:b/>
                <w:color w:val="FFFFFF"/>
                <w:sz w:val="16"/>
              </w:rPr>
              <w:t>%</w:t>
            </w:r>
          </w:p>
        </w:tc>
        <w:tc>
          <w:tcPr>
            <w:tcW w:w="704" w:type="dxa"/>
            <w:tcBorders>
              <w:bottom w:val="single" w:sz="4" w:space="0" w:color="585858"/>
            </w:tcBorders>
            <w:shd w:val="clear" w:color="auto" w:fill="09357D"/>
          </w:tcPr>
          <w:p>
            <w:pPr>
              <w:pStyle w:val="TableParagraph"/>
              <w:spacing w:before="52"/>
              <w:ind w:right="31"/>
              <w:jc w:val="center"/>
              <w:rPr>
                <w:b/>
                <w:sz w:val="16"/>
              </w:rPr>
            </w:pPr>
            <w:r>
              <w:rPr>
                <w:b/>
                <w:color w:val="FFFFFF"/>
                <w:sz w:val="16"/>
              </w:rPr>
              <w:t>#</w:t>
            </w:r>
          </w:p>
        </w:tc>
        <w:tc>
          <w:tcPr>
            <w:tcW w:w="1309" w:type="dxa"/>
            <w:tcBorders>
              <w:bottom w:val="single" w:sz="4" w:space="0" w:color="585858"/>
            </w:tcBorders>
            <w:shd w:val="clear" w:color="auto" w:fill="09357D"/>
          </w:tcPr>
          <w:p>
            <w:pPr>
              <w:pStyle w:val="TableParagraph"/>
              <w:spacing w:before="52"/>
              <w:ind w:left="231"/>
              <w:rPr>
                <w:b/>
                <w:sz w:val="16"/>
              </w:rPr>
            </w:pPr>
            <w:r>
              <w:rPr>
                <w:b/>
                <w:color w:val="FFFFFF"/>
                <w:sz w:val="16"/>
              </w:rPr>
              <w:t>%</w:t>
            </w:r>
          </w:p>
        </w:tc>
      </w:tr>
      <w:tr>
        <w:trPr>
          <w:trHeight w:val="265" w:hRule="atLeast"/>
        </w:trPr>
        <w:tc>
          <w:tcPr>
            <w:tcW w:w="2976" w:type="dxa"/>
            <w:tcBorders>
              <w:top w:val="single" w:sz="4" w:space="0" w:color="585858"/>
              <w:bottom w:val="single" w:sz="4" w:space="0" w:color="585858"/>
            </w:tcBorders>
          </w:tcPr>
          <w:p>
            <w:pPr>
              <w:pStyle w:val="TableParagraph"/>
              <w:spacing w:before="45"/>
              <w:ind w:left="114"/>
              <w:rPr>
                <w:sz w:val="16"/>
              </w:rPr>
            </w:pPr>
            <w:r>
              <w:rPr>
                <w:sz w:val="16"/>
              </w:rPr>
              <w:t>All persons</w:t>
            </w:r>
          </w:p>
        </w:tc>
        <w:tc>
          <w:tcPr>
            <w:tcW w:w="619" w:type="dxa"/>
            <w:tcBorders>
              <w:top w:val="single" w:sz="4" w:space="0" w:color="585858"/>
              <w:bottom w:val="single" w:sz="4" w:space="0" w:color="585858"/>
            </w:tcBorders>
          </w:tcPr>
          <w:p>
            <w:pPr>
              <w:pStyle w:val="TableParagraph"/>
              <w:spacing w:before="45"/>
              <w:ind w:right="140"/>
              <w:jc w:val="right"/>
              <w:rPr>
                <w:sz w:val="16"/>
              </w:rPr>
            </w:pPr>
            <w:r>
              <w:rPr>
                <w:sz w:val="16"/>
              </w:rPr>
              <w:t>802</w:t>
            </w:r>
          </w:p>
        </w:tc>
        <w:tc>
          <w:tcPr>
            <w:tcW w:w="1230" w:type="dxa"/>
            <w:tcBorders>
              <w:top w:val="single" w:sz="4" w:space="0" w:color="585858"/>
              <w:bottom w:val="single" w:sz="4" w:space="0" w:color="585858"/>
            </w:tcBorders>
          </w:tcPr>
          <w:p>
            <w:pPr>
              <w:pStyle w:val="TableParagraph"/>
              <w:tabs>
                <w:tab w:pos="750" w:val="left" w:leader="none"/>
              </w:tabs>
              <w:spacing w:before="45"/>
              <w:ind w:left="135"/>
              <w:rPr>
                <w:sz w:val="16"/>
              </w:rPr>
            </w:pPr>
            <w:r>
              <w:rPr>
                <w:sz w:val="16"/>
              </w:rPr>
              <w:t>100.0</w:t>
              <w:tab/>
              <w:t>%</w:t>
            </w:r>
          </w:p>
        </w:tc>
        <w:tc>
          <w:tcPr>
            <w:tcW w:w="788" w:type="dxa"/>
            <w:tcBorders>
              <w:top w:val="single" w:sz="4" w:space="0" w:color="585858"/>
              <w:bottom w:val="single" w:sz="4" w:space="0" w:color="585858"/>
            </w:tcBorders>
          </w:tcPr>
          <w:p>
            <w:pPr>
              <w:pStyle w:val="TableParagraph"/>
              <w:spacing w:before="45"/>
              <w:ind w:right="142"/>
              <w:jc w:val="right"/>
              <w:rPr>
                <w:sz w:val="16"/>
              </w:rPr>
            </w:pPr>
            <w:r>
              <w:rPr>
                <w:sz w:val="16"/>
              </w:rPr>
              <w:t>636</w:t>
            </w:r>
          </w:p>
        </w:tc>
        <w:tc>
          <w:tcPr>
            <w:tcW w:w="1333" w:type="dxa"/>
            <w:tcBorders>
              <w:top w:val="single" w:sz="4" w:space="0" w:color="585858"/>
              <w:bottom w:val="single" w:sz="4" w:space="0" w:color="585858"/>
            </w:tcBorders>
          </w:tcPr>
          <w:p>
            <w:pPr>
              <w:pStyle w:val="TableParagraph"/>
              <w:tabs>
                <w:tab w:pos="752" w:val="left" w:leader="none"/>
              </w:tabs>
              <w:spacing w:before="45"/>
              <w:ind w:left="133"/>
              <w:rPr>
                <w:sz w:val="16"/>
              </w:rPr>
            </w:pPr>
            <w:r>
              <w:rPr>
                <w:sz w:val="16"/>
              </w:rPr>
              <w:t>100.0</w:t>
              <w:tab/>
              <w:t>%</w:t>
            </w:r>
          </w:p>
        </w:tc>
        <w:tc>
          <w:tcPr>
            <w:tcW w:w="686" w:type="dxa"/>
            <w:tcBorders>
              <w:top w:val="single" w:sz="4" w:space="0" w:color="585858"/>
              <w:bottom w:val="single" w:sz="4" w:space="0" w:color="585858"/>
            </w:tcBorders>
          </w:tcPr>
          <w:p>
            <w:pPr>
              <w:pStyle w:val="TableParagraph"/>
              <w:spacing w:before="45"/>
              <w:ind w:right="140"/>
              <w:jc w:val="right"/>
              <w:rPr>
                <w:sz w:val="16"/>
              </w:rPr>
            </w:pPr>
            <w:r>
              <w:rPr>
                <w:sz w:val="16"/>
              </w:rPr>
              <w:t>1,473</w:t>
            </w:r>
          </w:p>
        </w:tc>
        <w:tc>
          <w:tcPr>
            <w:tcW w:w="1279" w:type="dxa"/>
            <w:tcBorders>
              <w:top w:val="single" w:sz="4" w:space="0" w:color="585858"/>
              <w:bottom w:val="single" w:sz="4" w:space="0" w:color="585858"/>
            </w:tcBorders>
          </w:tcPr>
          <w:p>
            <w:pPr>
              <w:pStyle w:val="TableParagraph"/>
              <w:tabs>
                <w:tab w:pos="745" w:val="left" w:leader="none"/>
              </w:tabs>
              <w:spacing w:before="45"/>
              <w:ind w:left="130"/>
              <w:rPr>
                <w:sz w:val="16"/>
              </w:rPr>
            </w:pPr>
            <w:r>
              <w:rPr>
                <w:sz w:val="16"/>
              </w:rPr>
              <w:t>100.0</w:t>
              <w:tab/>
              <w:t>%</w:t>
            </w:r>
          </w:p>
        </w:tc>
        <w:tc>
          <w:tcPr>
            <w:tcW w:w="737" w:type="dxa"/>
            <w:tcBorders>
              <w:top w:val="single" w:sz="4" w:space="0" w:color="585858"/>
              <w:bottom w:val="single" w:sz="4" w:space="0" w:color="585858"/>
            </w:tcBorders>
          </w:tcPr>
          <w:p>
            <w:pPr>
              <w:pStyle w:val="TableParagraph"/>
              <w:spacing w:before="45"/>
              <w:ind w:right="145"/>
              <w:jc w:val="right"/>
              <w:rPr>
                <w:sz w:val="16"/>
              </w:rPr>
            </w:pPr>
            <w:r>
              <w:rPr>
                <w:sz w:val="16"/>
              </w:rPr>
              <w:t>687</w:t>
            </w:r>
          </w:p>
        </w:tc>
        <w:tc>
          <w:tcPr>
            <w:tcW w:w="1311" w:type="dxa"/>
            <w:tcBorders>
              <w:top w:val="single" w:sz="4" w:space="0" w:color="585858"/>
              <w:bottom w:val="single" w:sz="4" w:space="0" w:color="585858"/>
            </w:tcBorders>
          </w:tcPr>
          <w:p>
            <w:pPr>
              <w:pStyle w:val="TableParagraph"/>
              <w:tabs>
                <w:tab w:pos="749" w:val="left" w:leader="none"/>
              </w:tabs>
              <w:spacing w:before="45"/>
              <w:ind w:left="134"/>
              <w:rPr>
                <w:sz w:val="16"/>
              </w:rPr>
            </w:pPr>
            <w:r>
              <w:rPr>
                <w:sz w:val="16"/>
              </w:rPr>
              <w:t>100.0</w:t>
              <w:tab/>
              <w:t>%</w:t>
            </w:r>
          </w:p>
        </w:tc>
        <w:tc>
          <w:tcPr>
            <w:tcW w:w="704" w:type="dxa"/>
            <w:tcBorders>
              <w:top w:val="single" w:sz="4" w:space="0" w:color="585858"/>
              <w:bottom w:val="single" w:sz="4" w:space="0" w:color="585858"/>
            </w:tcBorders>
          </w:tcPr>
          <w:p>
            <w:pPr>
              <w:pStyle w:val="TableParagraph"/>
              <w:spacing w:before="45"/>
              <w:ind w:right="140"/>
              <w:jc w:val="right"/>
              <w:rPr>
                <w:sz w:val="16"/>
              </w:rPr>
            </w:pPr>
            <w:r>
              <w:rPr>
                <w:sz w:val="16"/>
              </w:rPr>
              <w:t>97</w:t>
            </w:r>
          </w:p>
        </w:tc>
        <w:tc>
          <w:tcPr>
            <w:tcW w:w="1309" w:type="dxa"/>
            <w:tcBorders>
              <w:top w:val="single" w:sz="4" w:space="0" w:color="585858"/>
              <w:bottom w:val="single" w:sz="4" w:space="0" w:color="585858"/>
            </w:tcBorders>
          </w:tcPr>
          <w:p>
            <w:pPr>
              <w:pStyle w:val="TableParagraph"/>
              <w:tabs>
                <w:tab w:pos="746" w:val="left" w:leader="none"/>
              </w:tabs>
              <w:spacing w:before="45"/>
              <w:ind w:left="131"/>
              <w:rPr>
                <w:sz w:val="16"/>
              </w:rPr>
            </w:pPr>
            <w:r>
              <w:rPr>
                <w:sz w:val="16"/>
              </w:rPr>
              <w:t>100.0</w:t>
              <w:tab/>
              <w:t>%</w:t>
            </w:r>
          </w:p>
        </w:tc>
      </w:tr>
      <w:tr>
        <w:trPr>
          <w:trHeight w:val="262" w:hRule="atLeast"/>
        </w:trPr>
        <w:tc>
          <w:tcPr>
            <w:tcW w:w="2976" w:type="dxa"/>
            <w:tcBorders>
              <w:top w:val="single" w:sz="4" w:space="0" w:color="585858"/>
              <w:bottom w:val="single" w:sz="4" w:space="0" w:color="585858"/>
            </w:tcBorders>
          </w:tcPr>
          <w:p>
            <w:pPr>
              <w:pStyle w:val="TableParagraph"/>
              <w:spacing w:before="37"/>
              <w:ind w:left="114"/>
              <w:rPr>
                <w:sz w:val="10"/>
              </w:rPr>
            </w:pPr>
            <w:r>
              <w:rPr>
                <w:sz w:val="16"/>
              </w:rPr>
              <w:t>Age </w:t>
            </w:r>
            <w:r>
              <w:rPr>
                <w:position w:val="6"/>
                <w:sz w:val="10"/>
              </w:rPr>
              <w:t>a</w:t>
            </w:r>
          </w:p>
        </w:tc>
        <w:tc>
          <w:tcPr>
            <w:tcW w:w="619" w:type="dxa"/>
            <w:tcBorders>
              <w:top w:val="single" w:sz="4" w:space="0" w:color="585858"/>
              <w:bottom w:val="single" w:sz="4" w:space="0" w:color="585858"/>
            </w:tcBorders>
          </w:tcPr>
          <w:p>
            <w:pPr>
              <w:pStyle w:val="TableParagraph"/>
              <w:spacing w:before="0"/>
              <w:rPr>
                <w:rFonts w:ascii="Times New Roman"/>
                <w:sz w:val="16"/>
              </w:rPr>
            </w:pPr>
          </w:p>
        </w:tc>
        <w:tc>
          <w:tcPr>
            <w:tcW w:w="1230" w:type="dxa"/>
            <w:tcBorders>
              <w:top w:val="single" w:sz="4" w:space="0" w:color="585858"/>
              <w:bottom w:val="single" w:sz="4" w:space="0" w:color="585858"/>
            </w:tcBorders>
          </w:tcPr>
          <w:p>
            <w:pPr>
              <w:pStyle w:val="TableParagraph"/>
              <w:spacing w:before="0"/>
              <w:rPr>
                <w:rFonts w:ascii="Times New Roman"/>
                <w:sz w:val="16"/>
              </w:rPr>
            </w:pPr>
          </w:p>
        </w:tc>
        <w:tc>
          <w:tcPr>
            <w:tcW w:w="788" w:type="dxa"/>
            <w:tcBorders>
              <w:top w:val="single" w:sz="4" w:space="0" w:color="585858"/>
              <w:bottom w:val="single" w:sz="4" w:space="0" w:color="585858"/>
            </w:tcBorders>
          </w:tcPr>
          <w:p>
            <w:pPr>
              <w:pStyle w:val="TableParagraph"/>
              <w:spacing w:before="0"/>
              <w:rPr>
                <w:rFonts w:ascii="Times New Roman"/>
                <w:sz w:val="16"/>
              </w:rPr>
            </w:pPr>
          </w:p>
        </w:tc>
        <w:tc>
          <w:tcPr>
            <w:tcW w:w="1333" w:type="dxa"/>
            <w:tcBorders>
              <w:top w:val="single" w:sz="4" w:space="0" w:color="585858"/>
              <w:bottom w:val="single" w:sz="4" w:space="0" w:color="585858"/>
            </w:tcBorders>
          </w:tcPr>
          <w:p>
            <w:pPr>
              <w:pStyle w:val="TableParagraph"/>
              <w:spacing w:before="0"/>
              <w:rPr>
                <w:rFonts w:ascii="Times New Roman"/>
                <w:sz w:val="16"/>
              </w:rPr>
            </w:pPr>
          </w:p>
        </w:tc>
        <w:tc>
          <w:tcPr>
            <w:tcW w:w="686" w:type="dxa"/>
            <w:tcBorders>
              <w:top w:val="single" w:sz="4" w:space="0" w:color="585858"/>
              <w:bottom w:val="single" w:sz="4" w:space="0" w:color="585858"/>
            </w:tcBorders>
          </w:tcPr>
          <w:p>
            <w:pPr>
              <w:pStyle w:val="TableParagraph"/>
              <w:spacing w:before="0"/>
              <w:rPr>
                <w:rFonts w:ascii="Times New Roman"/>
                <w:sz w:val="16"/>
              </w:rPr>
            </w:pPr>
          </w:p>
        </w:tc>
        <w:tc>
          <w:tcPr>
            <w:tcW w:w="1279" w:type="dxa"/>
            <w:tcBorders>
              <w:top w:val="single" w:sz="4" w:space="0" w:color="585858"/>
              <w:bottom w:val="single" w:sz="4" w:space="0" w:color="585858"/>
            </w:tcBorders>
          </w:tcPr>
          <w:p>
            <w:pPr>
              <w:pStyle w:val="TableParagraph"/>
              <w:spacing w:before="0"/>
              <w:rPr>
                <w:rFonts w:ascii="Times New Roman"/>
                <w:sz w:val="16"/>
              </w:rPr>
            </w:pPr>
          </w:p>
        </w:tc>
        <w:tc>
          <w:tcPr>
            <w:tcW w:w="737" w:type="dxa"/>
            <w:tcBorders>
              <w:top w:val="single" w:sz="4" w:space="0" w:color="585858"/>
              <w:bottom w:val="single" w:sz="4" w:space="0" w:color="585858"/>
            </w:tcBorders>
          </w:tcPr>
          <w:p>
            <w:pPr>
              <w:pStyle w:val="TableParagraph"/>
              <w:spacing w:before="0"/>
              <w:rPr>
                <w:rFonts w:ascii="Times New Roman"/>
                <w:sz w:val="16"/>
              </w:rPr>
            </w:pPr>
          </w:p>
        </w:tc>
        <w:tc>
          <w:tcPr>
            <w:tcW w:w="1311" w:type="dxa"/>
            <w:tcBorders>
              <w:top w:val="single" w:sz="4" w:space="0" w:color="585858"/>
              <w:bottom w:val="single" w:sz="4" w:space="0" w:color="585858"/>
            </w:tcBorders>
          </w:tcPr>
          <w:p>
            <w:pPr>
              <w:pStyle w:val="TableParagraph"/>
              <w:spacing w:before="0"/>
              <w:rPr>
                <w:rFonts w:ascii="Times New Roman"/>
                <w:sz w:val="16"/>
              </w:rPr>
            </w:pPr>
          </w:p>
        </w:tc>
        <w:tc>
          <w:tcPr>
            <w:tcW w:w="704" w:type="dxa"/>
            <w:tcBorders>
              <w:top w:val="single" w:sz="4" w:space="0" w:color="585858"/>
              <w:bottom w:val="single" w:sz="4" w:space="0" w:color="585858"/>
            </w:tcBorders>
          </w:tcPr>
          <w:p>
            <w:pPr>
              <w:pStyle w:val="TableParagraph"/>
              <w:spacing w:before="0"/>
              <w:rPr>
                <w:rFonts w:ascii="Times New Roman"/>
                <w:sz w:val="16"/>
              </w:rPr>
            </w:pPr>
          </w:p>
        </w:tc>
        <w:tc>
          <w:tcPr>
            <w:tcW w:w="1309" w:type="dxa"/>
            <w:tcBorders>
              <w:top w:val="single" w:sz="4" w:space="0" w:color="585858"/>
              <w:bottom w:val="single" w:sz="4" w:space="0" w:color="585858"/>
            </w:tcBorders>
          </w:tcPr>
          <w:p>
            <w:pPr>
              <w:pStyle w:val="TableParagraph"/>
              <w:spacing w:before="0"/>
              <w:rPr>
                <w:rFonts w:ascii="Times New Roman"/>
                <w:sz w:val="16"/>
              </w:rPr>
            </w:pPr>
          </w:p>
        </w:tc>
      </w:tr>
      <w:tr>
        <w:trPr>
          <w:trHeight w:val="266"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18–29</w:t>
            </w:r>
          </w:p>
        </w:tc>
        <w:tc>
          <w:tcPr>
            <w:tcW w:w="619" w:type="dxa"/>
            <w:tcBorders>
              <w:top w:val="single" w:sz="4" w:space="0" w:color="585858"/>
              <w:bottom w:val="single" w:sz="4" w:space="0" w:color="585858"/>
            </w:tcBorders>
          </w:tcPr>
          <w:p>
            <w:pPr>
              <w:pStyle w:val="TableParagraph"/>
              <w:spacing w:before="45"/>
              <w:ind w:right="136"/>
              <w:jc w:val="right"/>
              <w:rPr>
                <w:sz w:val="16"/>
              </w:rPr>
            </w:pPr>
            <w:r>
              <w:rPr>
                <w:sz w:val="16"/>
              </w:rPr>
              <w:t>16</w:t>
            </w:r>
          </w:p>
        </w:tc>
        <w:tc>
          <w:tcPr>
            <w:tcW w:w="1230" w:type="dxa"/>
            <w:tcBorders>
              <w:top w:val="single" w:sz="4" w:space="0" w:color="585858"/>
              <w:bottom w:val="single" w:sz="4" w:space="0" w:color="585858"/>
            </w:tcBorders>
          </w:tcPr>
          <w:p>
            <w:pPr>
              <w:pStyle w:val="TableParagraph"/>
              <w:tabs>
                <w:tab w:pos="439" w:val="left" w:leader="none"/>
              </w:tabs>
              <w:spacing w:before="45"/>
              <w:ind w:right="334"/>
              <w:jc w:val="right"/>
              <w:rPr>
                <w:sz w:val="16"/>
              </w:rPr>
            </w:pPr>
            <w:r>
              <w:rPr>
                <w:sz w:val="16"/>
              </w:rPr>
              <w:t>2.0</w:t>
              <w:tab/>
              <w:t>%</w:t>
            </w:r>
          </w:p>
        </w:tc>
        <w:tc>
          <w:tcPr>
            <w:tcW w:w="788" w:type="dxa"/>
            <w:tcBorders>
              <w:top w:val="single" w:sz="4" w:space="0" w:color="585858"/>
              <w:bottom w:val="single" w:sz="4" w:space="0" w:color="585858"/>
            </w:tcBorders>
          </w:tcPr>
          <w:p>
            <w:pPr>
              <w:pStyle w:val="TableParagraph"/>
              <w:spacing w:before="45"/>
              <w:ind w:right="138"/>
              <w:jc w:val="right"/>
              <w:rPr>
                <w:sz w:val="16"/>
              </w:rPr>
            </w:pPr>
            <w:r>
              <w:rPr>
                <w:sz w:val="16"/>
              </w:rPr>
              <w:t>15</w:t>
            </w:r>
          </w:p>
        </w:tc>
        <w:tc>
          <w:tcPr>
            <w:tcW w:w="1333" w:type="dxa"/>
            <w:tcBorders>
              <w:top w:val="single" w:sz="4" w:space="0" w:color="585858"/>
              <w:bottom w:val="single" w:sz="4" w:space="0" w:color="585858"/>
            </w:tcBorders>
          </w:tcPr>
          <w:p>
            <w:pPr>
              <w:pStyle w:val="TableParagraph"/>
              <w:tabs>
                <w:tab w:pos="443" w:val="left" w:leader="none"/>
              </w:tabs>
              <w:spacing w:before="45"/>
              <w:ind w:right="435"/>
              <w:jc w:val="right"/>
              <w:rPr>
                <w:sz w:val="16"/>
              </w:rPr>
            </w:pPr>
            <w:r>
              <w:rPr>
                <w:sz w:val="16"/>
              </w:rPr>
              <w:t>2.4</w:t>
              <w:tab/>
              <w:t>%</w:t>
            </w:r>
          </w:p>
        </w:tc>
        <w:tc>
          <w:tcPr>
            <w:tcW w:w="686" w:type="dxa"/>
            <w:tcBorders>
              <w:top w:val="single" w:sz="4" w:space="0" w:color="585858"/>
              <w:bottom w:val="single" w:sz="4" w:space="0" w:color="585858"/>
            </w:tcBorders>
          </w:tcPr>
          <w:p>
            <w:pPr>
              <w:pStyle w:val="TableParagraph"/>
              <w:spacing w:before="45"/>
              <w:ind w:right="141"/>
              <w:jc w:val="right"/>
              <w:rPr>
                <w:sz w:val="16"/>
              </w:rPr>
            </w:pPr>
            <w:r>
              <w:rPr>
                <w:sz w:val="16"/>
              </w:rPr>
              <w:t>141</w:t>
            </w:r>
          </w:p>
        </w:tc>
        <w:tc>
          <w:tcPr>
            <w:tcW w:w="1279" w:type="dxa"/>
            <w:tcBorders>
              <w:top w:val="single" w:sz="4" w:space="0" w:color="585858"/>
              <w:bottom w:val="single" w:sz="4" w:space="0" w:color="585858"/>
            </w:tcBorders>
          </w:tcPr>
          <w:p>
            <w:pPr>
              <w:pStyle w:val="TableParagraph"/>
              <w:tabs>
                <w:tab w:pos="745" w:val="left" w:leader="none"/>
              </w:tabs>
              <w:spacing w:before="45"/>
              <w:ind w:left="306"/>
              <w:rPr>
                <w:sz w:val="16"/>
              </w:rPr>
            </w:pPr>
            <w:r>
              <w:rPr>
                <w:sz w:val="16"/>
              </w:rPr>
              <w:t>9.6</w:t>
              <w:tab/>
              <w:t>%</w:t>
            </w:r>
          </w:p>
        </w:tc>
        <w:tc>
          <w:tcPr>
            <w:tcW w:w="737" w:type="dxa"/>
            <w:tcBorders>
              <w:top w:val="single" w:sz="4" w:space="0" w:color="585858"/>
              <w:bottom w:val="single" w:sz="4" w:space="0" w:color="585858"/>
            </w:tcBorders>
          </w:tcPr>
          <w:p>
            <w:pPr>
              <w:pStyle w:val="TableParagraph"/>
              <w:spacing w:before="45"/>
              <w:ind w:right="141"/>
              <w:jc w:val="right"/>
              <w:rPr>
                <w:sz w:val="16"/>
              </w:rPr>
            </w:pPr>
            <w:r>
              <w:rPr>
                <w:sz w:val="16"/>
              </w:rPr>
              <w:t>49</w:t>
            </w:r>
          </w:p>
        </w:tc>
        <w:tc>
          <w:tcPr>
            <w:tcW w:w="1311" w:type="dxa"/>
            <w:tcBorders>
              <w:top w:val="single" w:sz="4" w:space="0" w:color="585858"/>
              <w:bottom w:val="single" w:sz="4" w:space="0" w:color="585858"/>
            </w:tcBorders>
          </w:tcPr>
          <w:p>
            <w:pPr>
              <w:pStyle w:val="TableParagraph"/>
              <w:tabs>
                <w:tab w:pos="439" w:val="left" w:leader="none"/>
              </w:tabs>
              <w:spacing w:before="45"/>
              <w:ind w:right="416"/>
              <w:jc w:val="right"/>
              <w:rPr>
                <w:sz w:val="16"/>
              </w:rPr>
            </w:pPr>
            <w:r>
              <w:rPr>
                <w:sz w:val="16"/>
              </w:rPr>
              <w:t>7.1</w:t>
              <w:tab/>
              <w:t>%</w:t>
            </w:r>
          </w:p>
        </w:tc>
        <w:tc>
          <w:tcPr>
            <w:tcW w:w="704" w:type="dxa"/>
            <w:tcBorders>
              <w:top w:val="single" w:sz="4" w:space="0" w:color="585858"/>
              <w:bottom w:val="single" w:sz="4" w:space="0" w:color="585858"/>
            </w:tcBorders>
          </w:tcPr>
          <w:p>
            <w:pPr>
              <w:pStyle w:val="TableParagraph"/>
              <w:spacing w:before="45"/>
              <w:ind w:right="140"/>
              <w:jc w:val="right"/>
              <w:rPr>
                <w:sz w:val="16"/>
              </w:rPr>
            </w:pPr>
            <w:r>
              <w:rPr>
                <w:sz w:val="16"/>
              </w:rPr>
              <w:t>27</w:t>
            </w:r>
          </w:p>
        </w:tc>
        <w:tc>
          <w:tcPr>
            <w:tcW w:w="1309" w:type="dxa"/>
            <w:tcBorders>
              <w:top w:val="single" w:sz="4" w:space="0" w:color="585858"/>
              <w:bottom w:val="single" w:sz="4" w:space="0" w:color="585858"/>
            </w:tcBorders>
          </w:tcPr>
          <w:p>
            <w:pPr>
              <w:pStyle w:val="TableParagraph"/>
              <w:tabs>
                <w:tab w:pos="527" w:val="left" w:leader="none"/>
              </w:tabs>
              <w:spacing w:before="45"/>
              <w:ind w:right="417"/>
              <w:jc w:val="right"/>
              <w:rPr>
                <w:sz w:val="16"/>
              </w:rPr>
            </w:pPr>
            <w:r>
              <w:rPr>
                <w:sz w:val="16"/>
              </w:rPr>
              <w:t>27.8</w:t>
              <w:tab/>
              <w:t>%</w:t>
            </w:r>
          </w:p>
        </w:tc>
      </w:tr>
      <w:tr>
        <w:trPr>
          <w:trHeight w:val="261" w:hRule="atLeast"/>
        </w:trPr>
        <w:tc>
          <w:tcPr>
            <w:tcW w:w="2976" w:type="dxa"/>
            <w:tcBorders>
              <w:top w:val="single" w:sz="4" w:space="0" w:color="585858"/>
              <w:bottom w:val="single" w:sz="4" w:space="0" w:color="585858"/>
            </w:tcBorders>
          </w:tcPr>
          <w:p>
            <w:pPr>
              <w:pStyle w:val="TableParagraph"/>
              <w:spacing w:before="41"/>
              <w:ind w:left="370"/>
              <w:rPr>
                <w:sz w:val="16"/>
              </w:rPr>
            </w:pPr>
            <w:r>
              <w:rPr>
                <w:sz w:val="16"/>
              </w:rPr>
              <w:t>30–39</w:t>
            </w:r>
          </w:p>
        </w:tc>
        <w:tc>
          <w:tcPr>
            <w:tcW w:w="619" w:type="dxa"/>
            <w:tcBorders>
              <w:top w:val="single" w:sz="4" w:space="0" w:color="585858"/>
              <w:bottom w:val="single" w:sz="4" w:space="0" w:color="585858"/>
            </w:tcBorders>
          </w:tcPr>
          <w:p>
            <w:pPr>
              <w:pStyle w:val="TableParagraph"/>
              <w:spacing w:before="41"/>
              <w:ind w:right="140"/>
              <w:jc w:val="right"/>
              <w:rPr>
                <w:sz w:val="16"/>
              </w:rPr>
            </w:pPr>
            <w:r>
              <w:rPr>
                <w:sz w:val="16"/>
              </w:rPr>
              <w:t>166</w:t>
            </w:r>
          </w:p>
        </w:tc>
        <w:tc>
          <w:tcPr>
            <w:tcW w:w="1230" w:type="dxa"/>
            <w:tcBorders>
              <w:top w:val="single" w:sz="4" w:space="0" w:color="585858"/>
              <w:bottom w:val="single" w:sz="4" w:space="0" w:color="585858"/>
            </w:tcBorders>
          </w:tcPr>
          <w:p>
            <w:pPr>
              <w:pStyle w:val="TableParagraph"/>
              <w:spacing w:before="41"/>
              <w:ind w:left="223"/>
              <w:rPr>
                <w:sz w:val="16"/>
              </w:rPr>
            </w:pPr>
            <w:r>
              <w:rPr>
                <w:sz w:val="16"/>
              </w:rPr>
              <w:t>20.7</w:t>
            </w:r>
          </w:p>
        </w:tc>
        <w:tc>
          <w:tcPr>
            <w:tcW w:w="788" w:type="dxa"/>
            <w:tcBorders>
              <w:top w:val="single" w:sz="4" w:space="0" w:color="585858"/>
              <w:bottom w:val="single" w:sz="4" w:space="0" w:color="585858"/>
            </w:tcBorders>
          </w:tcPr>
          <w:p>
            <w:pPr>
              <w:pStyle w:val="TableParagraph"/>
              <w:spacing w:before="41"/>
              <w:ind w:right="138"/>
              <w:jc w:val="right"/>
              <w:rPr>
                <w:sz w:val="16"/>
              </w:rPr>
            </w:pPr>
            <w:r>
              <w:rPr>
                <w:sz w:val="16"/>
              </w:rPr>
              <w:t>89</w:t>
            </w:r>
          </w:p>
        </w:tc>
        <w:tc>
          <w:tcPr>
            <w:tcW w:w="1333" w:type="dxa"/>
            <w:tcBorders>
              <w:top w:val="single" w:sz="4" w:space="0" w:color="585858"/>
              <w:bottom w:val="single" w:sz="4" w:space="0" w:color="585858"/>
            </w:tcBorders>
          </w:tcPr>
          <w:p>
            <w:pPr>
              <w:pStyle w:val="TableParagraph"/>
              <w:spacing w:before="41"/>
              <w:ind w:left="221"/>
              <w:rPr>
                <w:sz w:val="16"/>
              </w:rPr>
            </w:pPr>
            <w:r>
              <w:rPr>
                <w:sz w:val="16"/>
              </w:rPr>
              <w:t>14.0</w:t>
            </w:r>
          </w:p>
        </w:tc>
        <w:tc>
          <w:tcPr>
            <w:tcW w:w="686" w:type="dxa"/>
            <w:tcBorders>
              <w:top w:val="single" w:sz="4" w:space="0" w:color="585858"/>
              <w:bottom w:val="single" w:sz="4" w:space="0" w:color="585858"/>
            </w:tcBorders>
          </w:tcPr>
          <w:p>
            <w:pPr>
              <w:pStyle w:val="TableParagraph"/>
              <w:spacing w:before="41"/>
              <w:ind w:right="141"/>
              <w:jc w:val="right"/>
              <w:rPr>
                <w:sz w:val="16"/>
              </w:rPr>
            </w:pPr>
            <w:r>
              <w:rPr>
                <w:sz w:val="16"/>
              </w:rPr>
              <w:t>329</w:t>
            </w:r>
          </w:p>
        </w:tc>
        <w:tc>
          <w:tcPr>
            <w:tcW w:w="1279" w:type="dxa"/>
            <w:tcBorders>
              <w:top w:val="single" w:sz="4" w:space="0" w:color="585858"/>
              <w:bottom w:val="single" w:sz="4" w:space="0" w:color="585858"/>
            </w:tcBorders>
          </w:tcPr>
          <w:p>
            <w:pPr>
              <w:pStyle w:val="TableParagraph"/>
              <w:spacing w:before="41"/>
              <w:ind w:left="218"/>
              <w:rPr>
                <w:sz w:val="16"/>
              </w:rPr>
            </w:pPr>
            <w:r>
              <w:rPr>
                <w:sz w:val="16"/>
              </w:rPr>
              <w:t>22.3</w:t>
            </w:r>
          </w:p>
        </w:tc>
        <w:tc>
          <w:tcPr>
            <w:tcW w:w="737" w:type="dxa"/>
            <w:tcBorders>
              <w:top w:val="single" w:sz="4" w:space="0" w:color="585858"/>
              <w:bottom w:val="single" w:sz="4" w:space="0" w:color="585858"/>
            </w:tcBorders>
          </w:tcPr>
          <w:p>
            <w:pPr>
              <w:pStyle w:val="TableParagraph"/>
              <w:spacing w:before="41"/>
              <w:ind w:right="145"/>
              <w:jc w:val="right"/>
              <w:rPr>
                <w:sz w:val="16"/>
              </w:rPr>
            </w:pPr>
            <w:r>
              <w:rPr>
                <w:sz w:val="16"/>
              </w:rPr>
              <w:t>163</w:t>
            </w:r>
          </w:p>
        </w:tc>
        <w:tc>
          <w:tcPr>
            <w:tcW w:w="1311" w:type="dxa"/>
            <w:tcBorders>
              <w:top w:val="single" w:sz="4" w:space="0" w:color="585858"/>
              <w:bottom w:val="single" w:sz="4" w:space="0" w:color="585858"/>
            </w:tcBorders>
          </w:tcPr>
          <w:p>
            <w:pPr>
              <w:pStyle w:val="TableParagraph"/>
              <w:spacing w:before="41"/>
              <w:ind w:left="222"/>
              <w:rPr>
                <w:sz w:val="16"/>
              </w:rPr>
            </w:pPr>
            <w:r>
              <w:rPr>
                <w:sz w:val="16"/>
              </w:rPr>
              <w:t>23.7</w:t>
            </w:r>
          </w:p>
        </w:tc>
        <w:tc>
          <w:tcPr>
            <w:tcW w:w="704" w:type="dxa"/>
            <w:tcBorders>
              <w:top w:val="single" w:sz="4" w:space="0" w:color="585858"/>
              <w:bottom w:val="single" w:sz="4" w:space="0" w:color="585858"/>
            </w:tcBorders>
          </w:tcPr>
          <w:p>
            <w:pPr>
              <w:pStyle w:val="TableParagraph"/>
              <w:spacing w:before="41"/>
              <w:ind w:right="140"/>
              <w:jc w:val="right"/>
              <w:rPr>
                <w:sz w:val="16"/>
              </w:rPr>
            </w:pPr>
            <w:r>
              <w:rPr>
                <w:sz w:val="16"/>
              </w:rPr>
              <w:t>25</w:t>
            </w:r>
          </w:p>
        </w:tc>
        <w:tc>
          <w:tcPr>
            <w:tcW w:w="1309" w:type="dxa"/>
            <w:tcBorders>
              <w:top w:val="single" w:sz="4" w:space="0" w:color="585858"/>
              <w:bottom w:val="single" w:sz="4" w:space="0" w:color="585858"/>
            </w:tcBorders>
          </w:tcPr>
          <w:p>
            <w:pPr>
              <w:pStyle w:val="TableParagraph"/>
              <w:spacing w:before="41"/>
              <w:ind w:left="219"/>
              <w:rPr>
                <w:sz w:val="16"/>
              </w:rPr>
            </w:pPr>
            <w:r>
              <w:rPr>
                <w:sz w:val="16"/>
              </w:rPr>
              <w:t>25.8</w:t>
            </w:r>
          </w:p>
        </w:tc>
      </w:tr>
      <w:tr>
        <w:trPr>
          <w:trHeight w:val="266"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40–49</w:t>
            </w:r>
          </w:p>
        </w:tc>
        <w:tc>
          <w:tcPr>
            <w:tcW w:w="619" w:type="dxa"/>
            <w:tcBorders>
              <w:top w:val="single" w:sz="4" w:space="0" w:color="585858"/>
              <w:bottom w:val="single" w:sz="4" w:space="0" w:color="585858"/>
            </w:tcBorders>
          </w:tcPr>
          <w:p>
            <w:pPr>
              <w:pStyle w:val="TableParagraph"/>
              <w:spacing w:before="45"/>
              <w:ind w:right="140"/>
              <w:jc w:val="right"/>
              <w:rPr>
                <w:sz w:val="16"/>
              </w:rPr>
            </w:pPr>
            <w:r>
              <w:rPr>
                <w:sz w:val="16"/>
              </w:rPr>
              <w:t>261</w:t>
            </w:r>
          </w:p>
        </w:tc>
        <w:tc>
          <w:tcPr>
            <w:tcW w:w="1230" w:type="dxa"/>
            <w:tcBorders>
              <w:top w:val="single" w:sz="4" w:space="0" w:color="585858"/>
              <w:bottom w:val="single" w:sz="4" w:space="0" w:color="585858"/>
            </w:tcBorders>
          </w:tcPr>
          <w:p>
            <w:pPr>
              <w:pStyle w:val="TableParagraph"/>
              <w:spacing w:before="45"/>
              <w:ind w:left="223"/>
              <w:rPr>
                <w:sz w:val="16"/>
              </w:rPr>
            </w:pPr>
            <w:r>
              <w:rPr>
                <w:sz w:val="16"/>
              </w:rPr>
              <w:t>32.5</w:t>
            </w:r>
          </w:p>
        </w:tc>
        <w:tc>
          <w:tcPr>
            <w:tcW w:w="788" w:type="dxa"/>
            <w:tcBorders>
              <w:top w:val="single" w:sz="4" w:space="0" w:color="585858"/>
              <w:bottom w:val="single" w:sz="4" w:space="0" w:color="585858"/>
            </w:tcBorders>
          </w:tcPr>
          <w:p>
            <w:pPr>
              <w:pStyle w:val="TableParagraph"/>
              <w:spacing w:before="45"/>
              <w:ind w:right="142"/>
              <w:jc w:val="right"/>
              <w:rPr>
                <w:sz w:val="16"/>
              </w:rPr>
            </w:pPr>
            <w:r>
              <w:rPr>
                <w:sz w:val="16"/>
              </w:rPr>
              <w:t>155</w:t>
            </w:r>
          </w:p>
        </w:tc>
        <w:tc>
          <w:tcPr>
            <w:tcW w:w="1333" w:type="dxa"/>
            <w:tcBorders>
              <w:top w:val="single" w:sz="4" w:space="0" w:color="585858"/>
              <w:bottom w:val="single" w:sz="4" w:space="0" w:color="585858"/>
            </w:tcBorders>
          </w:tcPr>
          <w:p>
            <w:pPr>
              <w:pStyle w:val="TableParagraph"/>
              <w:spacing w:before="45"/>
              <w:ind w:left="221"/>
              <w:rPr>
                <w:sz w:val="16"/>
              </w:rPr>
            </w:pPr>
            <w:r>
              <w:rPr>
                <w:sz w:val="16"/>
              </w:rPr>
              <w:t>24.4</w:t>
            </w:r>
          </w:p>
        </w:tc>
        <w:tc>
          <w:tcPr>
            <w:tcW w:w="686" w:type="dxa"/>
            <w:tcBorders>
              <w:top w:val="single" w:sz="4" w:space="0" w:color="585858"/>
              <w:bottom w:val="single" w:sz="4" w:space="0" w:color="585858"/>
            </w:tcBorders>
          </w:tcPr>
          <w:p>
            <w:pPr>
              <w:pStyle w:val="TableParagraph"/>
              <w:spacing w:before="45"/>
              <w:ind w:right="141"/>
              <w:jc w:val="right"/>
              <w:rPr>
                <w:sz w:val="16"/>
              </w:rPr>
            </w:pPr>
            <w:r>
              <w:rPr>
                <w:sz w:val="16"/>
              </w:rPr>
              <w:t>338</w:t>
            </w:r>
          </w:p>
        </w:tc>
        <w:tc>
          <w:tcPr>
            <w:tcW w:w="1279" w:type="dxa"/>
            <w:tcBorders>
              <w:top w:val="single" w:sz="4" w:space="0" w:color="585858"/>
              <w:bottom w:val="single" w:sz="4" w:space="0" w:color="585858"/>
            </w:tcBorders>
          </w:tcPr>
          <w:p>
            <w:pPr>
              <w:pStyle w:val="TableParagraph"/>
              <w:spacing w:before="45"/>
              <w:ind w:left="218"/>
              <w:rPr>
                <w:sz w:val="16"/>
              </w:rPr>
            </w:pPr>
            <w:r>
              <w:rPr>
                <w:sz w:val="16"/>
              </w:rPr>
              <w:t>22.9</w:t>
            </w:r>
          </w:p>
        </w:tc>
        <w:tc>
          <w:tcPr>
            <w:tcW w:w="737" w:type="dxa"/>
            <w:tcBorders>
              <w:top w:val="single" w:sz="4" w:space="0" w:color="585858"/>
              <w:bottom w:val="single" w:sz="4" w:space="0" w:color="585858"/>
            </w:tcBorders>
          </w:tcPr>
          <w:p>
            <w:pPr>
              <w:pStyle w:val="TableParagraph"/>
              <w:spacing w:before="45"/>
              <w:ind w:right="145"/>
              <w:jc w:val="right"/>
              <w:rPr>
                <w:sz w:val="16"/>
              </w:rPr>
            </w:pPr>
            <w:r>
              <w:rPr>
                <w:sz w:val="16"/>
              </w:rPr>
              <w:t>178</w:t>
            </w:r>
          </w:p>
        </w:tc>
        <w:tc>
          <w:tcPr>
            <w:tcW w:w="1311" w:type="dxa"/>
            <w:tcBorders>
              <w:top w:val="single" w:sz="4" w:space="0" w:color="585858"/>
              <w:bottom w:val="single" w:sz="4" w:space="0" w:color="585858"/>
            </w:tcBorders>
          </w:tcPr>
          <w:p>
            <w:pPr>
              <w:pStyle w:val="TableParagraph"/>
              <w:spacing w:before="45"/>
              <w:ind w:left="222"/>
              <w:rPr>
                <w:sz w:val="16"/>
              </w:rPr>
            </w:pPr>
            <w:r>
              <w:rPr>
                <w:sz w:val="16"/>
              </w:rPr>
              <w:t>25.9</w:t>
            </w:r>
          </w:p>
        </w:tc>
        <w:tc>
          <w:tcPr>
            <w:tcW w:w="704" w:type="dxa"/>
            <w:tcBorders>
              <w:top w:val="single" w:sz="4" w:space="0" w:color="585858"/>
              <w:bottom w:val="single" w:sz="4" w:space="0" w:color="585858"/>
            </w:tcBorders>
          </w:tcPr>
          <w:p>
            <w:pPr>
              <w:pStyle w:val="TableParagraph"/>
              <w:spacing w:before="45"/>
              <w:ind w:right="140"/>
              <w:jc w:val="right"/>
              <w:rPr>
                <w:sz w:val="16"/>
              </w:rPr>
            </w:pPr>
            <w:r>
              <w:rPr>
                <w:sz w:val="16"/>
              </w:rPr>
              <w:t>22</w:t>
            </w:r>
          </w:p>
        </w:tc>
        <w:tc>
          <w:tcPr>
            <w:tcW w:w="1309" w:type="dxa"/>
            <w:tcBorders>
              <w:top w:val="single" w:sz="4" w:space="0" w:color="585858"/>
              <w:bottom w:val="single" w:sz="4" w:space="0" w:color="585858"/>
            </w:tcBorders>
          </w:tcPr>
          <w:p>
            <w:pPr>
              <w:pStyle w:val="TableParagraph"/>
              <w:spacing w:before="45"/>
              <w:ind w:left="219"/>
              <w:rPr>
                <w:sz w:val="16"/>
              </w:rPr>
            </w:pPr>
            <w:r>
              <w:rPr>
                <w:sz w:val="16"/>
              </w:rPr>
              <w:t>22.7</w:t>
            </w:r>
          </w:p>
        </w:tc>
      </w:tr>
      <w:tr>
        <w:trPr>
          <w:trHeight w:val="262" w:hRule="atLeast"/>
        </w:trPr>
        <w:tc>
          <w:tcPr>
            <w:tcW w:w="2976" w:type="dxa"/>
            <w:tcBorders>
              <w:top w:val="single" w:sz="4" w:space="0" w:color="585858"/>
              <w:bottom w:val="single" w:sz="4" w:space="0" w:color="585858"/>
            </w:tcBorders>
          </w:tcPr>
          <w:p>
            <w:pPr>
              <w:pStyle w:val="TableParagraph"/>
              <w:spacing w:before="41"/>
              <w:ind w:left="370"/>
              <w:rPr>
                <w:sz w:val="16"/>
              </w:rPr>
            </w:pPr>
            <w:r>
              <w:rPr>
                <w:sz w:val="16"/>
              </w:rPr>
              <w:t>50–59</w:t>
            </w:r>
          </w:p>
        </w:tc>
        <w:tc>
          <w:tcPr>
            <w:tcW w:w="619" w:type="dxa"/>
            <w:tcBorders>
              <w:top w:val="single" w:sz="4" w:space="0" w:color="585858"/>
              <w:bottom w:val="single" w:sz="4" w:space="0" w:color="585858"/>
            </w:tcBorders>
          </w:tcPr>
          <w:p>
            <w:pPr>
              <w:pStyle w:val="TableParagraph"/>
              <w:spacing w:before="41"/>
              <w:ind w:right="140"/>
              <w:jc w:val="right"/>
              <w:rPr>
                <w:sz w:val="16"/>
              </w:rPr>
            </w:pPr>
            <w:r>
              <w:rPr>
                <w:sz w:val="16"/>
              </w:rPr>
              <w:t>194</w:t>
            </w:r>
          </w:p>
        </w:tc>
        <w:tc>
          <w:tcPr>
            <w:tcW w:w="1230" w:type="dxa"/>
            <w:tcBorders>
              <w:top w:val="single" w:sz="4" w:space="0" w:color="585858"/>
              <w:bottom w:val="single" w:sz="4" w:space="0" w:color="585858"/>
            </w:tcBorders>
          </w:tcPr>
          <w:p>
            <w:pPr>
              <w:pStyle w:val="TableParagraph"/>
              <w:spacing w:before="41"/>
              <w:ind w:left="223"/>
              <w:rPr>
                <w:sz w:val="16"/>
              </w:rPr>
            </w:pPr>
            <w:r>
              <w:rPr>
                <w:sz w:val="16"/>
              </w:rPr>
              <w:t>24.2</w:t>
            </w:r>
          </w:p>
        </w:tc>
        <w:tc>
          <w:tcPr>
            <w:tcW w:w="788" w:type="dxa"/>
            <w:tcBorders>
              <w:top w:val="single" w:sz="4" w:space="0" w:color="585858"/>
              <w:bottom w:val="single" w:sz="4" w:space="0" w:color="585858"/>
            </w:tcBorders>
          </w:tcPr>
          <w:p>
            <w:pPr>
              <w:pStyle w:val="TableParagraph"/>
              <w:spacing w:before="41"/>
              <w:ind w:right="142"/>
              <w:jc w:val="right"/>
              <w:rPr>
                <w:sz w:val="16"/>
              </w:rPr>
            </w:pPr>
            <w:r>
              <w:rPr>
                <w:sz w:val="16"/>
              </w:rPr>
              <w:t>160</w:t>
            </w:r>
          </w:p>
        </w:tc>
        <w:tc>
          <w:tcPr>
            <w:tcW w:w="1333" w:type="dxa"/>
            <w:tcBorders>
              <w:top w:val="single" w:sz="4" w:space="0" w:color="585858"/>
              <w:bottom w:val="single" w:sz="4" w:space="0" w:color="585858"/>
            </w:tcBorders>
          </w:tcPr>
          <w:p>
            <w:pPr>
              <w:pStyle w:val="TableParagraph"/>
              <w:spacing w:before="41"/>
              <w:ind w:left="221"/>
              <w:rPr>
                <w:sz w:val="16"/>
              </w:rPr>
            </w:pPr>
            <w:r>
              <w:rPr>
                <w:sz w:val="16"/>
              </w:rPr>
              <w:t>25.2</w:t>
            </w:r>
          </w:p>
        </w:tc>
        <w:tc>
          <w:tcPr>
            <w:tcW w:w="686" w:type="dxa"/>
            <w:tcBorders>
              <w:top w:val="single" w:sz="4" w:space="0" w:color="585858"/>
              <w:bottom w:val="single" w:sz="4" w:space="0" w:color="585858"/>
            </w:tcBorders>
          </w:tcPr>
          <w:p>
            <w:pPr>
              <w:pStyle w:val="TableParagraph"/>
              <w:spacing w:before="41"/>
              <w:ind w:right="141"/>
              <w:jc w:val="right"/>
              <w:rPr>
                <w:sz w:val="16"/>
              </w:rPr>
            </w:pPr>
            <w:r>
              <w:rPr>
                <w:sz w:val="16"/>
              </w:rPr>
              <w:t>418</w:t>
            </w:r>
          </w:p>
        </w:tc>
        <w:tc>
          <w:tcPr>
            <w:tcW w:w="1279" w:type="dxa"/>
            <w:tcBorders>
              <w:top w:val="single" w:sz="4" w:space="0" w:color="585858"/>
              <w:bottom w:val="single" w:sz="4" w:space="0" w:color="585858"/>
            </w:tcBorders>
          </w:tcPr>
          <w:p>
            <w:pPr>
              <w:pStyle w:val="TableParagraph"/>
              <w:spacing w:before="41"/>
              <w:ind w:left="218"/>
              <w:rPr>
                <w:sz w:val="16"/>
              </w:rPr>
            </w:pPr>
            <w:r>
              <w:rPr>
                <w:sz w:val="16"/>
              </w:rPr>
              <w:t>28.4</w:t>
            </w:r>
          </w:p>
        </w:tc>
        <w:tc>
          <w:tcPr>
            <w:tcW w:w="737" w:type="dxa"/>
            <w:tcBorders>
              <w:top w:val="single" w:sz="4" w:space="0" w:color="585858"/>
              <w:bottom w:val="single" w:sz="4" w:space="0" w:color="585858"/>
            </w:tcBorders>
          </w:tcPr>
          <w:p>
            <w:pPr>
              <w:pStyle w:val="TableParagraph"/>
              <w:spacing w:before="41"/>
              <w:ind w:right="145"/>
              <w:jc w:val="right"/>
              <w:rPr>
                <w:sz w:val="16"/>
              </w:rPr>
            </w:pPr>
            <w:r>
              <w:rPr>
                <w:sz w:val="16"/>
              </w:rPr>
              <w:t>174</w:t>
            </w:r>
          </w:p>
        </w:tc>
        <w:tc>
          <w:tcPr>
            <w:tcW w:w="1311" w:type="dxa"/>
            <w:tcBorders>
              <w:top w:val="single" w:sz="4" w:space="0" w:color="585858"/>
              <w:bottom w:val="single" w:sz="4" w:space="0" w:color="585858"/>
            </w:tcBorders>
          </w:tcPr>
          <w:p>
            <w:pPr>
              <w:pStyle w:val="TableParagraph"/>
              <w:spacing w:before="41"/>
              <w:ind w:left="222"/>
              <w:rPr>
                <w:sz w:val="16"/>
              </w:rPr>
            </w:pPr>
            <w:r>
              <w:rPr>
                <w:sz w:val="16"/>
              </w:rPr>
              <w:t>25.3</w:t>
            </w:r>
          </w:p>
        </w:tc>
        <w:tc>
          <w:tcPr>
            <w:tcW w:w="704" w:type="dxa"/>
            <w:tcBorders>
              <w:top w:val="single" w:sz="4" w:space="0" w:color="585858"/>
              <w:bottom w:val="single" w:sz="4" w:space="0" w:color="585858"/>
            </w:tcBorders>
          </w:tcPr>
          <w:p>
            <w:pPr>
              <w:pStyle w:val="TableParagraph"/>
              <w:spacing w:before="41"/>
              <w:ind w:right="140"/>
              <w:jc w:val="right"/>
              <w:rPr>
                <w:sz w:val="16"/>
              </w:rPr>
            </w:pPr>
            <w:r>
              <w:rPr>
                <w:sz w:val="16"/>
              </w:rPr>
              <w:t>12</w:t>
            </w:r>
          </w:p>
        </w:tc>
        <w:tc>
          <w:tcPr>
            <w:tcW w:w="1309" w:type="dxa"/>
            <w:tcBorders>
              <w:top w:val="single" w:sz="4" w:space="0" w:color="585858"/>
              <w:bottom w:val="single" w:sz="4" w:space="0" w:color="585858"/>
            </w:tcBorders>
          </w:tcPr>
          <w:p>
            <w:pPr>
              <w:pStyle w:val="TableParagraph"/>
              <w:spacing w:before="41"/>
              <w:ind w:left="219"/>
              <w:rPr>
                <w:sz w:val="16"/>
              </w:rPr>
            </w:pPr>
            <w:r>
              <w:rPr>
                <w:sz w:val="16"/>
              </w:rPr>
              <w:t>12.4</w:t>
            </w:r>
          </w:p>
        </w:tc>
      </w:tr>
      <w:tr>
        <w:trPr>
          <w:trHeight w:val="265"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60 or older</w:t>
            </w:r>
          </w:p>
        </w:tc>
        <w:tc>
          <w:tcPr>
            <w:tcW w:w="619" w:type="dxa"/>
            <w:tcBorders>
              <w:top w:val="single" w:sz="4" w:space="0" w:color="585858"/>
              <w:bottom w:val="single" w:sz="4" w:space="0" w:color="585858"/>
            </w:tcBorders>
          </w:tcPr>
          <w:p>
            <w:pPr>
              <w:pStyle w:val="TableParagraph"/>
              <w:spacing w:before="45"/>
              <w:ind w:right="140"/>
              <w:jc w:val="right"/>
              <w:rPr>
                <w:sz w:val="16"/>
              </w:rPr>
            </w:pPr>
            <w:r>
              <w:rPr>
                <w:sz w:val="16"/>
              </w:rPr>
              <w:t>165</w:t>
            </w:r>
          </w:p>
        </w:tc>
        <w:tc>
          <w:tcPr>
            <w:tcW w:w="1230" w:type="dxa"/>
            <w:tcBorders>
              <w:top w:val="single" w:sz="4" w:space="0" w:color="585858"/>
              <w:bottom w:val="single" w:sz="4" w:space="0" w:color="585858"/>
            </w:tcBorders>
          </w:tcPr>
          <w:p>
            <w:pPr>
              <w:pStyle w:val="TableParagraph"/>
              <w:spacing w:before="45"/>
              <w:ind w:left="223"/>
              <w:rPr>
                <w:sz w:val="16"/>
              </w:rPr>
            </w:pPr>
            <w:r>
              <w:rPr>
                <w:sz w:val="16"/>
              </w:rPr>
              <w:t>20.6</w:t>
            </w:r>
          </w:p>
        </w:tc>
        <w:tc>
          <w:tcPr>
            <w:tcW w:w="788" w:type="dxa"/>
            <w:tcBorders>
              <w:top w:val="single" w:sz="4" w:space="0" w:color="585858"/>
              <w:bottom w:val="single" w:sz="4" w:space="0" w:color="585858"/>
            </w:tcBorders>
          </w:tcPr>
          <w:p>
            <w:pPr>
              <w:pStyle w:val="TableParagraph"/>
              <w:spacing w:before="45"/>
              <w:ind w:right="142"/>
              <w:jc w:val="right"/>
              <w:rPr>
                <w:sz w:val="16"/>
              </w:rPr>
            </w:pPr>
            <w:r>
              <w:rPr>
                <w:sz w:val="16"/>
              </w:rPr>
              <w:t>217</w:t>
            </w:r>
          </w:p>
        </w:tc>
        <w:tc>
          <w:tcPr>
            <w:tcW w:w="1333" w:type="dxa"/>
            <w:tcBorders>
              <w:top w:val="single" w:sz="4" w:space="0" w:color="585858"/>
              <w:bottom w:val="single" w:sz="4" w:space="0" w:color="585858"/>
            </w:tcBorders>
          </w:tcPr>
          <w:p>
            <w:pPr>
              <w:pStyle w:val="TableParagraph"/>
              <w:spacing w:before="45"/>
              <w:ind w:left="221"/>
              <w:rPr>
                <w:sz w:val="16"/>
              </w:rPr>
            </w:pPr>
            <w:r>
              <w:rPr>
                <w:sz w:val="16"/>
              </w:rPr>
              <w:t>34.1</w:t>
            </w:r>
          </w:p>
        </w:tc>
        <w:tc>
          <w:tcPr>
            <w:tcW w:w="686" w:type="dxa"/>
            <w:tcBorders>
              <w:top w:val="single" w:sz="4" w:space="0" w:color="585858"/>
              <w:bottom w:val="single" w:sz="4" w:space="0" w:color="585858"/>
            </w:tcBorders>
          </w:tcPr>
          <w:p>
            <w:pPr>
              <w:pStyle w:val="TableParagraph"/>
              <w:spacing w:before="45"/>
              <w:ind w:right="141"/>
              <w:jc w:val="right"/>
              <w:rPr>
                <w:sz w:val="16"/>
              </w:rPr>
            </w:pPr>
            <w:r>
              <w:rPr>
                <w:sz w:val="16"/>
              </w:rPr>
              <w:t>247</w:t>
            </w:r>
          </w:p>
        </w:tc>
        <w:tc>
          <w:tcPr>
            <w:tcW w:w="1279" w:type="dxa"/>
            <w:tcBorders>
              <w:top w:val="single" w:sz="4" w:space="0" w:color="585858"/>
              <w:bottom w:val="single" w:sz="4" w:space="0" w:color="585858"/>
            </w:tcBorders>
          </w:tcPr>
          <w:p>
            <w:pPr>
              <w:pStyle w:val="TableParagraph"/>
              <w:spacing w:before="45"/>
              <w:ind w:left="218"/>
              <w:rPr>
                <w:sz w:val="16"/>
              </w:rPr>
            </w:pPr>
            <w:r>
              <w:rPr>
                <w:sz w:val="16"/>
              </w:rPr>
              <w:t>16.8</w:t>
            </w:r>
          </w:p>
        </w:tc>
        <w:tc>
          <w:tcPr>
            <w:tcW w:w="737" w:type="dxa"/>
            <w:tcBorders>
              <w:top w:val="single" w:sz="4" w:space="0" w:color="585858"/>
              <w:bottom w:val="single" w:sz="4" w:space="0" w:color="585858"/>
            </w:tcBorders>
          </w:tcPr>
          <w:p>
            <w:pPr>
              <w:pStyle w:val="TableParagraph"/>
              <w:spacing w:before="45"/>
              <w:ind w:right="145"/>
              <w:jc w:val="right"/>
              <w:rPr>
                <w:sz w:val="16"/>
              </w:rPr>
            </w:pPr>
            <w:r>
              <w:rPr>
                <w:sz w:val="16"/>
              </w:rPr>
              <w:t>123</w:t>
            </w:r>
          </w:p>
        </w:tc>
        <w:tc>
          <w:tcPr>
            <w:tcW w:w="1311" w:type="dxa"/>
            <w:tcBorders>
              <w:top w:val="single" w:sz="4" w:space="0" w:color="585858"/>
              <w:bottom w:val="single" w:sz="4" w:space="0" w:color="585858"/>
            </w:tcBorders>
          </w:tcPr>
          <w:p>
            <w:pPr>
              <w:pStyle w:val="TableParagraph"/>
              <w:spacing w:before="45"/>
              <w:ind w:left="222"/>
              <w:rPr>
                <w:sz w:val="16"/>
              </w:rPr>
            </w:pPr>
            <w:r>
              <w:rPr>
                <w:sz w:val="16"/>
              </w:rPr>
              <w:t>17.9</w:t>
            </w:r>
          </w:p>
        </w:tc>
        <w:tc>
          <w:tcPr>
            <w:tcW w:w="704" w:type="dxa"/>
            <w:tcBorders>
              <w:top w:val="single" w:sz="4" w:space="0" w:color="585858"/>
              <w:bottom w:val="single" w:sz="4" w:space="0" w:color="585858"/>
            </w:tcBorders>
          </w:tcPr>
          <w:p>
            <w:pPr>
              <w:pStyle w:val="TableParagraph"/>
              <w:spacing w:before="45"/>
              <w:ind w:right="140"/>
              <w:jc w:val="right"/>
              <w:rPr>
                <w:sz w:val="16"/>
              </w:rPr>
            </w:pPr>
            <w:r>
              <w:rPr>
                <w:sz w:val="16"/>
              </w:rPr>
              <w:t>11</w:t>
            </w:r>
          </w:p>
        </w:tc>
        <w:tc>
          <w:tcPr>
            <w:tcW w:w="1309" w:type="dxa"/>
            <w:tcBorders>
              <w:top w:val="single" w:sz="4" w:space="0" w:color="585858"/>
              <w:bottom w:val="single" w:sz="4" w:space="0" w:color="585858"/>
            </w:tcBorders>
          </w:tcPr>
          <w:p>
            <w:pPr>
              <w:pStyle w:val="TableParagraph"/>
              <w:spacing w:before="45"/>
              <w:ind w:left="219"/>
              <w:rPr>
                <w:sz w:val="16"/>
              </w:rPr>
            </w:pPr>
            <w:r>
              <w:rPr>
                <w:sz w:val="16"/>
              </w:rPr>
              <w:t>11.3</w:t>
            </w:r>
          </w:p>
        </w:tc>
      </w:tr>
      <w:tr>
        <w:trPr>
          <w:trHeight w:val="262" w:hRule="atLeast"/>
        </w:trPr>
        <w:tc>
          <w:tcPr>
            <w:tcW w:w="2976" w:type="dxa"/>
            <w:tcBorders>
              <w:top w:val="single" w:sz="4" w:space="0" w:color="585858"/>
              <w:bottom w:val="single" w:sz="4" w:space="0" w:color="585858"/>
            </w:tcBorders>
          </w:tcPr>
          <w:p>
            <w:pPr>
              <w:pStyle w:val="TableParagraph"/>
              <w:spacing w:before="41"/>
              <w:ind w:left="114"/>
              <w:rPr>
                <w:sz w:val="16"/>
              </w:rPr>
            </w:pPr>
            <w:r>
              <w:rPr>
                <w:sz w:val="16"/>
              </w:rPr>
              <w:t>Race</w:t>
            </w:r>
          </w:p>
        </w:tc>
        <w:tc>
          <w:tcPr>
            <w:tcW w:w="619" w:type="dxa"/>
            <w:tcBorders>
              <w:top w:val="single" w:sz="4" w:space="0" w:color="585858"/>
              <w:bottom w:val="single" w:sz="4" w:space="0" w:color="585858"/>
            </w:tcBorders>
          </w:tcPr>
          <w:p>
            <w:pPr>
              <w:pStyle w:val="TableParagraph"/>
              <w:spacing w:before="0"/>
              <w:rPr>
                <w:rFonts w:ascii="Times New Roman"/>
                <w:sz w:val="16"/>
              </w:rPr>
            </w:pPr>
          </w:p>
        </w:tc>
        <w:tc>
          <w:tcPr>
            <w:tcW w:w="1230" w:type="dxa"/>
            <w:tcBorders>
              <w:top w:val="single" w:sz="4" w:space="0" w:color="585858"/>
              <w:bottom w:val="single" w:sz="4" w:space="0" w:color="585858"/>
            </w:tcBorders>
          </w:tcPr>
          <w:p>
            <w:pPr>
              <w:pStyle w:val="TableParagraph"/>
              <w:spacing w:before="0"/>
              <w:rPr>
                <w:rFonts w:ascii="Times New Roman"/>
                <w:sz w:val="16"/>
              </w:rPr>
            </w:pPr>
          </w:p>
        </w:tc>
        <w:tc>
          <w:tcPr>
            <w:tcW w:w="788" w:type="dxa"/>
            <w:tcBorders>
              <w:top w:val="single" w:sz="4" w:space="0" w:color="585858"/>
              <w:bottom w:val="single" w:sz="4" w:space="0" w:color="585858"/>
            </w:tcBorders>
          </w:tcPr>
          <w:p>
            <w:pPr>
              <w:pStyle w:val="TableParagraph"/>
              <w:spacing w:before="0"/>
              <w:rPr>
                <w:rFonts w:ascii="Times New Roman"/>
                <w:sz w:val="16"/>
              </w:rPr>
            </w:pPr>
          </w:p>
        </w:tc>
        <w:tc>
          <w:tcPr>
            <w:tcW w:w="1333" w:type="dxa"/>
            <w:tcBorders>
              <w:top w:val="single" w:sz="4" w:space="0" w:color="585858"/>
              <w:bottom w:val="single" w:sz="4" w:space="0" w:color="585858"/>
            </w:tcBorders>
          </w:tcPr>
          <w:p>
            <w:pPr>
              <w:pStyle w:val="TableParagraph"/>
              <w:spacing w:before="0"/>
              <w:rPr>
                <w:rFonts w:ascii="Times New Roman"/>
                <w:sz w:val="16"/>
              </w:rPr>
            </w:pPr>
          </w:p>
        </w:tc>
        <w:tc>
          <w:tcPr>
            <w:tcW w:w="686" w:type="dxa"/>
            <w:tcBorders>
              <w:top w:val="single" w:sz="4" w:space="0" w:color="585858"/>
              <w:bottom w:val="single" w:sz="4" w:space="0" w:color="585858"/>
            </w:tcBorders>
          </w:tcPr>
          <w:p>
            <w:pPr>
              <w:pStyle w:val="TableParagraph"/>
              <w:spacing w:before="0"/>
              <w:rPr>
                <w:rFonts w:ascii="Times New Roman"/>
                <w:sz w:val="16"/>
              </w:rPr>
            </w:pPr>
          </w:p>
        </w:tc>
        <w:tc>
          <w:tcPr>
            <w:tcW w:w="1279" w:type="dxa"/>
            <w:tcBorders>
              <w:top w:val="single" w:sz="4" w:space="0" w:color="585858"/>
              <w:bottom w:val="single" w:sz="4" w:space="0" w:color="585858"/>
            </w:tcBorders>
          </w:tcPr>
          <w:p>
            <w:pPr>
              <w:pStyle w:val="TableParagraph"/>
              <w:spacing w:before="0"/>
              <w:rPr>
                <w:rFonts w:ascii="Times New Roman"/>
                <w:sz w:val="16"/>
              </w:rPr>
            </w:pPr>
          </w:p>
        </w:tc>
        <w:tc>
          <w:tcPr>
            <w:tcW w:w="737" w:type="dxa"/>
            <w:tcBorders>
              <w:top w:val="single" w:sz="4" w:space="0" w:color="585858"/>
              <w:bottom w:val="single" w:sz="4" w:space="0" w:color="585858"/>
            </w:tcBorders>
          </w:tcPr>
          <w:p>
            <w:pPr>
              <w:pStyle w:val="TableParagraph"/>
              <w:spacing w:before="0"/>
              <w:rPr>
                <w:rFonts w:ascii="Times New Roman"/>
                <w:sz w:val="16"/>
              </w:rPr>
            </w:pPr>
          </w:p>
        </w:tc>
        <w:tc>
          <w:tcPr>
            <w:tcW w:w="1311" w:type="dxa"/>
            <w:tcBorders>
              <w:top w:val="single" w:sz="4" w:space="0" w:color="585858"/>
              <w:bottom w:val="single" w:sz="4" w:space="0" w:color="585858"/>
            </w:tcBorders>
          </w:tcPr>
          <w:p>
            <w:pPr>
              <w:pStyle w:val="TableParagraph"/>
              <w:spacing w:before="0"/>
              <w:rPr>
                <w:rFonts w:ascii="Times New Roman"/>
                <w:sz w:val="16"/>
              </w:rPr>
            </w:pPr>
          </w:p>
        </w:tc>
        <w:tc>
          <w:tcPr>
            <w:tcW w:w="704" w:type="dxa"/>
            <w:tcBorders>
              <w:top w:val="single" w:sz="4" w:space="0" w:color="585858"/>
              <w:bottom w:val="single" w:sz="4" w:space="0" w:color="585858"/>
            </w:tcBorders>
          </w:tcPr>
          <w:p>
            <w:pPr>
              <w:pStyle w:val="TableParagraph"/>
              <w:spacing w:before="0"/>
              <w:rPr>
                <w:rFonts w:ascii="Times New Roman"/>
                <w:sz w:val="16"/>
              </w:rPr>
            </w:pPr>
          </w:p>
        </w:tc>
        <w:tc>
          <w:tcPr>
            <w:tcW w:w="1309" w:type="dxa"/>
            <w:tcBorders>
              <w:top w:val="single" w:sz="4" w:space="0" w:color="585858"/>
              <w:bottom w:val="single" w:sz="4" w:space="0" w:color="585858"/>
            </w:tcBorders>
          </w:tcPr>
          <w:p>
            <w:pPr>
              <w:pStyle w:val="TableParagraph"/>
              <w:spacing w:before="0"/>
              <w:rPr>
                <w:rFonts w:ascii="Times New Roman"/>
                <w:sz w:val="16"/>
              </w:rPr>
            </w:pPr>
          </w:p>
        </w:tc>
      </w:tr>
      <w:tr>
        <w:trPr>
          <w:trHeight w:val="266"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White</w:t>
            </w:r>
          </w:p>
        </w:tc>
        <w:tc>
          <w:tcPr>
            <w:tcW w:w="619" w:type="dxa"/>
            <w:tcBorders>
              <w:top w:val="single" w:sz="4" w:space="0" w:color="585858"/>
              <w:bottom w:val="single" w:sz="4" w:space="0" w:color="585858"/>
            </w:tcBorders>
          </w:tcPr>
          <w:p>
            <w:pPr>
              <w:pStyle w:val="TableParagraph"/>
              <w:spacing w:before="45"/>
              <w:ind w:right="140"/>
              <w:jc w:val="right"/>
              <w:rPr>
                <w:sz w:val="16"/>
              </w:rPr>
            </w:pPr>
            <w:r>
              <w:rPr>
                <w:sz w:val="16"/>
              </w:rPr>
              <w:t>647</w:t>
            </w:r>
          </w:p>
        </w:tc>
        <w:tc>
          <w:tcPr>
            <w:tcW w:w="1230" w:type="dxa"/>
            <w:tcBorders>
              <w:top w:val="single" w:sz="4" w:space="0" w:color="585858"/>
              <w:bottom w:val="single" w:sz="4" w:space="0" w:color="585858"/>
            </w:tcBorders>
          </w:tcPr>
          <w:p>
            <w:pPr>
              <w:pStyle w:val="TableParagraph"/>
              <w:tabs>
                <w:tab w:pos="527" w:val="left" w:leader="none"/>
              </w:tabs>
              <w:spacing w:before="45"/>
              <w:ind w:right="334"/>
              <w:jc w:val="right"/>
              <w:rPr>
                <w:sz w:val="16"/>
              </w:rPr>
            </w:pPr>
            <w:r>
              <w:rPr>
                <w:sz w:val="16"/>
              </w:rPr>
              <w:t>80.7</w:t>
              <w:tab/>
              <w:t>%</w:t>
            </w:r>
          </w:p>
        </w:tc>
        <w:tc>
          <w:tcPr>
            <w:tcW w:w="788" w:type="dxa"/>
            <w:tcBorders>
              <w:top w:val="single" w:sz="4" w:space="0" w:color="585858"/>
              <w:bottom w:val="single" w:sz="4" w:space="0" w:color="585858"/>
            </w:tcBorders>
          </w:tcPr>
          <w:p>
            <w:pPr>
              <w:pStyle w:val="TableParagraph"/>
              <w:spacing w:before="45"/>
              <w:ind w:right="142"/>
              <w:jc w:val="right"/>
              <w:rPr>
                <w:sz w:val="16"/>
              </w:rPr>
            </w:pPr>
            <w:r>
              <w:rPr>
                <w:sz w:val="16"/>
              </w:rPr>
              <w:t>482</w:t>
            </w:r>
          </w:p>
        </w:tc>
        <w:tc>
          <w:tcPr>
            <w:tcW w:w="1333" w:type="dxa"/>
            <w:tcBorders>
              <w:top w:val="single" w:sz="4" w:space="0" w:color="585858"/>
              <w:bottom w:val="single" w:sz="4" w:space="0" w:color="585858"/>
            </w:tcBorders>
          </w:tcPr>
          <w:p>
            <w:pPr>
              <w:pStyle w:val="TableParagraph"/>
              <w:tabs>
                <w:tab w:pos="531" w:val="left" w:leader="none"/>
              </w:tabs>
              <w:spacing w:before="45"/>
              <w:ind w:right="435"/>
              <w:jc w:val="right"/>
              <w:rPr>
                <w:sz w:val="16"/>
              </w:rPr>
            </w:pPr>
            <w:r>
              <w:rPr>
                <w:sz w:val="16"/>
              </w:rPr>
              <w:t>75.8</w:t>
              <w:tab/>
              <w:t>%</w:t>
            </w:r>
          </w:p>
        </w:tc>
        <w:tc>
          <w:tcPr>
            <w:tcW w:w="686" w:type="dxa"/>
            <w:tcBorders>
              <w:top w:val="single" w:sz="4" w:space="0" w:color="585858"/>
              <w:bottom w:val="single" w:sz="4" w:space="0" w:color="585858"/>
            </w:tcBorders>
          </w:tcPr>
          <w:p>
            <w:pPr>
              <w:pStyle w:val="TableParagraph"/>
              <w:spacing w:before="45"/>
              <w:ind w:right="140"/>
              <w:jc w:val="right"/>
              <w:rPr>
                <w:sz w:val="16"/>
              </w:rPr>
            </w:pPr>
            <w:r>
              <w:rPr>
                <w:sz w:val="16"/>
              </w:rPr>
              <w:t>1,237</w:t>
            </w:r>
          </w:p>
        </w:tc>
        <w:tc>
          <w:tcPr>
            <w:tcW w:w="1279" w:type="dxa"/>
            <w:tcBorders>
              <w:top w:val="single" w:sz="4" w:space="0" w:color="585858"/>
              <w:bottom w:val="single" w:sz="4" w:space="0" w:color="585858"/>
            </w:tcBorders>
          </w:tcPr>
          <w:p>
            <w:pPr>
              <w:pStyle w:val="TableParagraph"/>
              <w:tabs>
                <w:tab w:pos="745" w:val="left" w:leader="none"/>
              </w:tabs>
              <w:spacing w:before="45"/>
              <w:ind w:left="218"/>
              <w:rPr>
                <w:sz w:val="16"/>
              </w:rPr>
            </w:pPr>
            <w:r>
              <w:rPr>
                <w:sz w:val="16"/>
              </w:rPr>
              <w:t>84.0</w:t>
              <w:tab/>
              <w:t>%</w:t>
            </w:r>
          </w:p>
        </w:tc>
        <w:tc>
          <w:tcPr>
            <w:tcW w:w="737" w:type="dxa"/>
            <w:tcBorders>
              <w:top w:val="single" w:sz="4" w:space="0" w:color="585858"/>
              <w:bottom w:val="single" w:sz="4" w:space="0" w:color="585858"/>
            </w:tcBorders>
          </w:tcPr>
          <w:p>
            <w:pPr>
              <w:pStyle w:val="TableParagraph"/>
              <w:spacing w:before="45"/>
              <w:ind w:right="145"/>
              <w:jc w:val="right"/>
              <w:rPr>
                <w:sz w:val="16"/>
              </w:rPr>
            </w:pPr>
            <w:r>
              <w:rPr>
                <w:sz w:val="16"/>
              </w:rPr>
              <w:t>557</w:t>
            </w:r>
          </w:p>
        </w:tc>
        <w:tc>
          <w:tcPr>
            <w:tcW w:w="1311" w:type="dxa"/>
            <w:tcBorders>
              <w:top w:val="single" w:sz="4" w:space="0" w:color="585858"/>
              <w:bottom w:val="single" w:sz="4" w:space="0" w:color="585858"/>
            </w:tcBorders>
          </w:tcPr>
          <w:p>
            <w:pPr>
              <w:pStyle w:val="TableParagraph"/>
              <w:tabs>
                <w:tab w:pos="527" w:val="left" w:leader="none"/>
              </w:tabs>
              <w:spacing w:before="45"/>
              <w:ind w:right="416"/>
              <w:jc w:val="right"/>
              <w:rPr>
                <w:sz w:val="16"/>
              </w:rPr>
            </w:pPr>
            <w:r>
              <w:rPr>
                <w:sz w:val="16"/>
              </w:rPr>
              <w:t>81.1</w:t>
              <w:tab/>
              <w:t>%</w:t>
            </w:r>
          </w:p>
        </w:tc>
        <w:tc>
          <w:tcPr>
            <w:tcW w:w="704" w:type="dxa"/>
            <w:tcBorders>
              <w:top w:val="single" w:sz="4" w:space="0" w:color="585858"/>
              <w:bottom w:val="single" w:sz="4" w:space="0" w:color="585858"/>
            </w:tcBorders>
          </w:tcPr>
          <w:p>
            <w:pPr>
              <w:pStyle w:val="TableParagraph"/>
              <w:spacing w:before="45"/>
              <w:ind w:right="140"/>
              <w:jc w:val="right"/>
              <w:rPr>
                <w:sz w:val="16"/>
              </w:rPr>
            </w:pPr>
            <w:r>
              <w:rPr>
                <w:sz w:val="16"/>
              </w:rPr>
              <w:t>83</w:t>
            </w:r>
          </w:p>
        </w:tc>
        <w:tc>
          <w:tcPr>
            <w:tcW w:w="1309" w:type="dxa"/>
            <w:tcBorders>
              <w:top w:val="single" w:sz="4" w:space="0" w:color="585858"/>
              <w:bottom w:val="single" w:sz="4" w:space="0" w:color="585858"/>
            </w:tcBorders>
          </w:tcPr>
          <w:p>
            <w:pPr>
              <w:pStyle w:val="TableParagraph"/>
              <w:tabs>
                <w:tab w:pos="527" w:val="left" w:leader="none"/>
              </w:tabs>
              <w:spacing w:before="45"/>
              <w:ind w:right="417"/>
              <w:jc w:val="right"/>
              <w:rPr>
                <w:sz w:val="16"/>
              </w:rPr>
            </w:pPr>
            <w:r>
              <w:rPr>
                <w:sz w:val="16"/>
              </w:rPr>
              <w:t>85.6</w:t>
              <w:tab/>
              <w:t>%</w:t>
            </w:r>
          </w:p>
        </w:tc>
      </w:tr>
      <w:tr>
        <w:trPr>
          <w:trHeight w:val="262" w:hRule="atLeast"/>
        </w:trPr>
        <w:tc>
          <w:tcPr>
            <w:tcW w:w="2976" w:type="dxa"/>
            <w:tcBorders>
              <w:top w:val="single" w:sz="4" w:space="0" w:color="585858"/>
              <w:bottom w:val="single" w:sz="4" w:space="0" w:color="585858"/>
            </w:tcBorders>
          </w:tcPr>
          <w:p>
            <w:pPr>
              <w:pStyle w:val="TableParagraph"/>
              <w:spacing w:before="41"/>
              <w:ind w:left="370"/>
              <w:rPr>
                <w:sz w:val="16"/>
              </w:rPr>
            </w:pPr>
            <w:r>
              <w:rPr>
                <w:sz w:val="16"/>
              </w:rPr>
              <w:t>Black</w:t>
            </w:r>
          </w:p>
        </w:tc>
        <w:tc>
          <w:tcPr>
            <w:tcW w:w="619" w:type="dxa"/>
            <w:tcBorders>
              <w:top w:val="single" w:sz="4" w:space="0" w:color="585858"/>
              <w:bottom w:val="single" w:sz="4" w:space="0" w:color="585858"/>
            </w:tcBorders>
          </w:tcPr>
          <w:p>
            <w:pPr>
              <w:pStyle w:val="TableParagraph"/>
              <w:spacing w:before="41"/>
              <w:ind w:right="136"/>
              <w:jc w:val="right"/>
              <w:rPr>
                <w:sz w:val="16"/>
              </w:rPr>
            </w:pPr>
            <w:r>
              <w:rPr>
                <w:sz w:val="16"/>
              </w:rPr>
              <w:t>44</w:t>
            </w:r>
          </w:p>
        </w:tc>
        <w:tc>
          <w:tcPr>
            <w:tcW w:w="1230" w:type="dxa"/>
            <w:tcBorders>
              <w:top w:val="single" w:sz="4" w:space="0" w:color="585858"/>
              <w:bottom w:val="single" w:sz="4" w:space="0" w:color="585858"/>
            </w:tcBorders>
          </w:tcPr>
          <w:p>
            <w:pPr>
              <w:pStyle w:val="TableParagraph"/>
              <w:spacing w:before="41"/>
              <w:ind w:left="311"/>
              <w:rPr>
                <w:sz w:val="16"/>
              </w:rPr>
            </w:pPr>
            <w:r>
              <w:rPr>
                <w:sz w:val="16"/>
              </w:rPr>
              <w:t>5.5</w:t>
            </w:r>
          </w:p>
        </w:tc>
        <w:tc>
          <w:tcPr>
            <w:tcW w:w="788" w:type="dxa"/>
            <w:tcBorders>
              <w:top w:val="single" w:sz="4" w:space="0" w:color="585858"/>
              <w:bottom w:val="single" w:sz="4" w:space="0" w:color="585858"/>
            </w:tcBorders>
          </w:tcPr>
          <w:p>
            <w:pPr>
              <w:pStyle w:val="TableParagraph"/>
              <w:spacing w:before="41"/>
              <w:ind w:right="138"/>
              <w:jc w:val="right"/>
              <w:rPr>
                <w:sz w:val="16"/>
              </w:rPr>
            </w:pPr>
            <w:r>
              <w:rPr>
                <w:sz w:val="16"/>
              </w:rPr>
              <w:t>38</w:t>
            </w:r>
          </w:p>
        </w:tc>
        <w:tc>
          <w:tcPr>
            <w:tcW w:w="1333" w:type="dxa"/>
            <w:tcBorders>
              <w:top w:val="single" w:sz="4" w:space="0" w:color="585858"/>
              <w:bottom w:val="single" w:sz="4" w:space="0" w:color="585858"/>
            </w:tcBorders>
          </w:tcPr>
          <w:p>
            <w:pPr>
              <w:pStyle w:val="TableParagraph"/>
              <w:spacing w:before="41"/>
              <w:ind w:left="309"/>
              <w:rPr>
                <w:sz w:val="16"/>
              </w:rPr>
            </w:pPr>
            <w:r>
              <w:rPr>
                <w:sz w:val="16"/>
              </w:rPr>
              <w:t>6.0</w:t>
            </w:r>
          </w:p>
        </w:tc>
        <w:tc>
          <w:tcPr>
            <w:tcW w:w="686" w:type="dxa"/>
            <w:tcBorders>
              <w:top w:val="single" w:sz="4" w:space="0" w:color="585858"/>
              <w:bottom w:val="single" w:sz="4" w:space="0" w:color="585858"/>
            </w:tcBorders>
          </w:tcPr>
          <w:p>
            <w:pPr>
              <w:pStyle w:val="TableParagraph"/>
              <w:spacing w:before="41"/>
              <w:ind w:right="137"/>
              <w:jc w:val="right"/>
              <w:rPr>
                <w:sz w:val="16"/>
              </w:rPr>
            </w:pPr>
            <w:r>
              <w:rPr>
                <w:sz w:val="16"/>
              </w:rPr>
              <w:t>72</w:t>
            </w:r>
          </w:p>
        </w:tc>
        <w:tc>
          <w:tcPr>
            <w:tcW w:w="1279" w:type="dxa"/>
            <w:tcBorders>
              <w:top w:val="single" w:sz="4" w:space="0" w:color="585858"/>
              <w:bottom w:val="single" w:sz="4" w:space="0" w:color="585858"/>
            </w:tcBorders>
          </w:tcPr>
          <w:p>
            <w:pPr>
              <w:pStyle w:val="TableParagraph"/>
              <w:spacing w:before="41"/>
              <w:ind w:left="306"/>
              <w:rPr>
                <w:sz w:val="16"/>
              </w:rPr>
            </w:pPr>
            <w:r>
              <w:rPr>
                <w:sz w:val="16"/>
              </w:rPr>
              <w:t>4.9</w:t>
            </w:r>
          </w:p>
        </w:tc>
        <w:tc>
          <w:tcPr>
            <w:tcW w:w="737" w:type="dxa"/>
            <w:tcBorders>
              <w:top w:val="single" w:sz="4" w:space="0" w:color="585858"/>
              <w:bottom w:val="single" w:sz="4" w:space="0" w:color="585858"/>
            </w:tcBorders>
          </w:tcPr>
          <w:p>
            <w:pPr>
              <w:pStyle w:val="TableParagraph"/>
              <w:spacing w:before="41"/>
              <w:ind w:right="141"/>
              <w:jc w:val="right"/>
              <w:rPr>
                <w:sz w:val="16"/>
              </w:rPr>
            </w:pPr>
            <w:r>
              <w:rPr>
                <w:sz w:val="16"/>
              </w:rPr>
              <w:t>32</w:t>
            </w:r>
          </w:p>
        </w:tc>
        <w:tc>
          <w:tcPr>
            <w:tcW w:w="1311" w:type="dxa"/>
            <w:tcBorders>
              <w:top w:val="single" w:sz="4" w:space="0" w:color="585858"/>
              <w:bottom w:val="single" w:sz="4" w:space="0" w:color="585858"/>
            </w:tcBorders>
          </w:tcPr>
          <w:p>
            <w:pPr>
              <w:pStyle w:val="TableParagraph"/>
              <w:spacing w:before="41"/>
              <w:ind w:left="310"/>
              <w:rPr>
                <w:sz w:val="16"/>
              </w:rPr>
            </w:pPr>
            <w:r>
              <w:rPr>
                <w:sz w:val="16"/>
              </w:rPr>
              <w:t>4.7</w:t>
            </w:r>
          </w:p>
        </w:tc>
        <w:tc>
          <w:tcPr>
            <w:tcW w:w="704" w:type="dxa"/>
            <w:tcBorders>
              <w:top w:val="single" w:sz="4" w:space="0" w:color="585858"/>
              <w:bottom w:val="single" w:sz="4" w:space="0" w:color="585858"/>
            </w:tcBorders>
          </w:tcPr>
          <w:p>
            <w:pPr>
              <w:pStyle w:val="TableParagraph"/>
              <w:spacing w:before="41"/>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1"/>
              <w:ind w:left="307"/>
              <w:rPr>
                <w:sz w:val="16"/>
              </w:rPr>
            </w:pPr>
            <w:r>
              <w:rPr>
                <w:sz w:val="16"/>
              </w:rPr>
              <w:t>3.1</w:t>
              <w:tab/>
              <w:t>!</w:t>
            </w:r>
          </w:p>
        </w:tc>
      </w:tr>
      <w:tr>
        <w:trPr>
          <w:trHeight w:val="265"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Hispanic</w:t>
            </w:r>
          </w:p>
        </w:tc>
        <w:tc>
          <w:tcPr>
            <w:tcW w:w="619" w:type="dxa"/>
            <w:tcBorders>
              <w:top w:val="single" w:sz="4" w:space="0" w:color="585858"/>
              <w:bottom w:val="single" w:sz="4" w:space="0" w:color="585858"/>
            </w:tcBorders>
          </w:tcPr>
          <w:p>
            <w:pPr>
              <w:pStyle w:val="TableParagraph"/>
              <w:spacing w:before="45"/>
              <w:ind w:right="136"/>
              <w:jc w:val="right"/>
              <w:rPr>
                <w:sz w:val="16"/>
              </w:rPr>
            </w:pPr>
            <w:r>
              <w:rPr>
                <w:sz w:val="16"/>
              </w:rPr>
              <w:t>43</w:t>
            </w:r>
          </w:p>
        </w:tc>
        <w:tc>
          <w:tcPr>
            <w:tcW w:w="1230" w:type="dxa"/>
            <w:tcBorders>
              <w:top w:val="single" w:sz="4" w:space="0" w:color="585858"/>
              <w:bottom w:val="single" w:sz="4" w:space="0" w:color="585858"/>
            </w:tcBorders>
          </w:tcPr>
          <w:p>
            <w:pPr>
              <w:pStyle w:val="TableParagraph"/>
              <w:spacing w:before="45"/>
              <w:ind w:left="311"/>
              <w:rPr>
                <w:sz w:val="16"/>
              </w:rPr>
            </w:pPr>
            <w:r>
              <w:rPr>
                <w:sz w:val="16"/>
              </w:rPr>
              <w:t>5.4</w:t>
            </w:r>
          </w:p>
        </w:tc>
        <w:tc>
          <w:tcPr>
            <w:tcW w:w="788" w:type="dxa"/>
            <w:tcBorders>
              <w:top w:val="single" w:sz="4" w:space="0" w:color="585858"/>
              <w:bottom w:val="single" w:sz="4" w:space="0" w:color="585858"/>
            </w:tcBorders>
          </w:tcPr>
          <w:p>
            <w:pPr>
              <w:pStyle w:val="TableParagraph"/>
              <w:spacing w:before="45"/>
              <w:ind w:right="138"/>
              <w:jc w:val="right"/>
              <w:rPr>
                <w:sz w:val="16"/>
              </w:rPr>
            </w:pPr>
            <w:r>
              <w:rPr>
                <w:sz w:val="16"/>
              </w:rPr>
              <w:t>37</w:t>
            </w:r>
          </w:p>
        </w:tc>
        <w:tc>
          <w:tcPr>
            <w:tcW w:w="1333" w:type="dxa"/>
            <w:tcBorders>
              <w:top w:val="single" w:sz="4" w:space="0" w:color="585858"/>
              <w:bottom w:val="single" w:sz="4" w:space="0" w:color="585858"/>
            </w:tcBorders>
          </w:tcPr>
          <w:p>
            <w:pPr>
              <w:pStyle w:val="TableParagraph"/>
              <w:spacing w:before="45"/>
              <w:ind w:left="309"/>
              <w:rPr>
                <w:sz w:val="16"/>
              </w:rPr>
            </w:pPr>
            <w:r>
              <w:rPr>
                <w:sz w:val="16"/>
              </w:rPr>
              <w:t>5.8</w:t>
            </w:r>
          </w:p>
        </w:tc>
        <w:tc>
          <w:tcPr>
            <w:tcW w:w="686" w:type="dxa"/>
            <w:tcBorders>
              <w:top w:val="single" w:sz="4" w:space="0" w:color="585858"/>
              <w:bottom w:val="single" w:sz="4" w:space="0" w:color="585858"/>
            </w:tcBorders>
          </w:tcPr>
          <w:p>
            <w:pPr>
              <w:pStyle w:val="TableParagraph"/>
              <w:spacing w:before="45"/>
              <w:ind w:right="137"/>
              <w:jc w:val="right"/>
              <w:rPr>
                <w:sz w:val="16"/>
              </w:rPr>
            </w:pPr>
            <w:r>
              <w:rPr>
                <w:sz w:val="16"/>
              </w:rPr>
              <w:t>79</w:t>
            </w:r>
          </w:p>
        </w:tc>
        <w:tc>
          <w:tcPr>
            <w:tcW w:w="1279" w:type="dxa"/>
            <w:tcBorders>
              <w:top w:val="single" w:sz="4" w:space="0" w:color="585858"/>
              <w:bottom w:val="single" w:sz="4" w:space="0" w:color="585858"/>
            </w:tcBorders>
          </w:tcPr>
          <w:p>
            <w:pPr>
              <w:pStyle w:val="TableParagraph"/>
              <w:spacing w:before="45"/>
              <w:ind w:left="306"/>
              <w:rPr>
                <w:sz w:val="16"/>
              </w:rPr>
            </w:pPr>
            <w:r>
              <w:rPr>
                <w:sz w:val="16"/>
              </w:rPr>
              <w:t>5.4</w:t>
            </w:r>
          </w:p>
        </w:tc>
        <w:tc>
          <w:tcPr>
            <w:tcW w:w="737" w:type="dxa"/>
            <w:tcBorders>
              <w:top w:val="single" w:sz="4" w:space="0" w:color="585858"/>
              <w:bottom w:val="single" w:sz="4" w:space="0" w:color="585858"/>
            </w:tcBorders>
          </w:tcPr>
          <w:p>
            <w:pPr>
              <w:pStyle w:val="TableParagraph"/>
              <w:spacing w:before="45"/>
              <w:ind w:right="141"/>
              <w:jc w:val="right"/>
              <w:rPr>
                <w:sz w:val="16"/>
              </w:rPr>
            </w:pPr>
            <w:r>
              <w:rPr>
                <w:sz w:val="16"/>
              </w:rPr>
              <w:t>46</w:t>
            </w:r>
          </w:p>
        </w:tc>
        <w:tc>
          <w:tcPr>
            <w:tcW w:w="1311" w:type="dxa"/>
            <w:tcBorders>
              <w:top w:val="single" w:sz="4" w:space="0" w:color="585858"/>
              <w:bottom w:val="single" w:sz="4" w:space="0" w:color="585858"/>
            </w:tcBorders>
          </w:tcPr>
          <w:p>
            <w:pPr>
              <w:pStyle w:val="TableParagraph"/>
              <w:spacing w:before="45"/>
              <w:ind w:left="310"/>
              <w:rPr>
                <w:sz w:val="16"/>
              </w:rPr>
            </w:pPr>
            <w:r>
              <w:rPr>
                <w:sz w:val="16"/>
              </w:rPr>
              <w:t>6.7</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5"/>
              <w:ind w:left="307"/>
              <w:rPr>
                <w:sz w:val="16"/>
              </w:rPr>
            </w:pPr>
            <w:r>
              <w:rPr>
                <w:sz w:val="16"/>
              </w:rPr>
              <w:t>6.2</w:t>
              <w:tab/>
              <w:t>!</w:t>
            </w:r>
          </w:p>
        </w:tc>
      </w:tr>
      <w:tr>
        <w:trPr>
          <w:trHeight w:val="262" w:hRule="atLeast"/>
        </w:trPr>
        <w:tc>
          <w:tcPr>
            <w:tcW w:w="2976" w:type="dxa"/>
            <w:tcBorders>
              <w:top w:val="single" w:sz="4" w:space="0" w:color="585858"/>
              <w:bottom w:val="single" w:sz="4" w:space="0" w:color="585858"/>
            </w:tcBorders>
          </w:tcPr>
          <w:p>
            <w:pPr>
              <w:pStyle w:val="TableParagraph"/>
              <w:spacing w:before="41"/>
              <w:ind w:left="370"/>
              <w:rPr>
                <w:sz w:val="16"/>
              </w:rPr>
            </w:pPr>
            <w:r>
              <w:rPr>
                <w:sz w:val="16"/>
              </w:rPr>
              <w:t>Asian</w:t>
            </w:r>
          </w:p>
        </w:tc>
        <w:tc>
          <w:tcPr>
            <w:tcW w:w="619" w:type="dxa"/>
            <w:tcBorders>
              <w:top w:val="single" w:sz="4" w:space="0" w:color="585858"/>
              <w:bottom w:val="single" w:sz="4" w:space="0" w:color="585858"/>
            </w:tcBorders>
          </w:tcPr>
          <w:p>
            <w:pPr>
              <w:pStyle w:val="TableParagraph"/>
              <w:spacing w:before="41"/>
              <w:ind w:right="136"/>
              <w:jc w:val="right"/>
              <w:rPr>
                <w:sz w:val="16"/>
              </w:rPr>
            </w:pPr>
            <w:r>
              <w:rPr>
                <w:sz w:val="16"/>
              </w:rPr>
              <w:t>51</w:t>
            </w:r>
          </w:p>
        </w:tc>
        <w:tc>
          <w:tcPr>
            <w:tcW w:w="1230" w:type="dxa"/>
            <w:tcBorders>
              <w:top w:val="single" w:sz="4" w:space="0" w:color="585858"/>
              <w:bottom w:val="single" w:sz="4" w:space="0" w:color="585858"/>
            </w:tcBorders>
          </w:tcPr>
          <w:p>
            <w:pPr>
              <w:pStyle w:val="TableParagraph"/>
              <w:spacing w:before="41"/>
              <w:ind w:left="311"/>
              <w:rPr>
                <w:sz w:val="16"/>
              </w:rPr>
            </w:pPr>
            <w:r>
              <w:rPr>
                <w:sz w:val="16"/>
              </w:rPr>
              <w:t>6.4</w:t>
            </w:r>
          </w:p>
        </w:tc>
        <w:tc>
          <w:tcPr>
            <w:tcW w:w="788" w:type="dxa"/>
            <w:tcBorders>
              <w:top w:val="single" w:sz="4" w:space="0" w:color="585858"/>
              <w:bottom w:val="single" w:sz="4" w:space="0" w:color="585858"/>
            </w:tcBorders>
          </w:tcPr>
          <w:p>
            <w:pPr>
              <w:pStyle w:val="TableParagraph"/>
              <w:spacing w:before="41"/>
              <w:ind w:right="138"/>
              <w:jc w:val="right"/>
              <w:rPr>
                <w:sz w:val="16"/>
              </w:rPr>
            </w:pPr>
            <w:r>
              <w:rPr>
                <w:sz w:val="16"/>
              </w:rPr>
              <w:t>68</w:t>
            </w:r>
          </w:p>
        </w:tc>
        <w:tc>
          <w:tcPr>
            <w:tcW w:w="1333" w:type="dxa"/>
            <w:tcBorders>
              <w:top w:val="single" w:sz="4" w:space="0" w:color="585858"/>
              <w:bottom w:val="single" w:sz="4" w:space="0" w:color="585858"/>
            </w:tcBorders>
          </w:tcPr>
          <w:p>
            <w:pPr>
              <w:pStyle w:val="TableParagraph"/>
              <w:spacing w:before="41"/>
              <w:ind w:left="221"/>
              <w:rPr>
                <w:sz w:val="16"/>
              </w:rPr>
            </w:pPr>
            <w:r>
              <w:rPr>
                <w:sz w:val="16"/>
              </w:rPr>
              <w:t>10.7</w:t>
            </w:r>
          </w:p>
        </w:tc>
        <w:tc>
          <w:tcPr>
            <w:tcW w:w="686" w:type="dxa"/>
            <w:tcBorders>
              <w:top w:val="single" w:sz="4" w:space="0" w:color="585858"/>
              <w:bottom w:val="single" w:sz="4" w:space="0" w:color="585858"/>
            </w:tcBorders>
          </w:tcPr>
          <w:p>
            <w:pPr>
              <w:pStyle w:val="TableParagraph"/>
              <w:spacing w:before="41"/>
              <w:ind w:right="137"/>
              <w:jc w:val="right"/>
              <w:rPr>
                <w:sz w:val="16"/>
              </w:rPr>
            </w:pPr>
            <w:r>
              <w:rPr>
                <w:sz w:val="16"/>
              </w:rPr>
              <w:t>52</w:t>
            </w:r>
          </w:p>
        </w:tc>
        <w:tc>
          <w:tcPr>
            <w:tcW w:w="1279" w:type="dxa"/>
            <w:tcBorders>
              <w:top w:val="single" w:sz="4" w:space="0" w:color="585858"/>
              <w:bottom w:val="single" w:sz="4" w:space="0" w:color="585858"/>
            </w:tcBorders>
          </w:tcPr>
          <w:p>
            <w:pPr>
              <w:pStyle w:val="TableParagraph"/>
              <w:spacing w:before="41"/>
              <w:ind w:left="306"/>
              <w:rPr>
                <w:sz w:val="16"/>
              </w:rPr>
            </w:pPr>
            <w:r>
              <w:rPr>
                <w:sz w:val="16"/>
              </w:rPr>
              <w:t>3.5</w:t>
            </w:r>
          </w:p>
        </w:tc>
        <w:tc>
          <w:tcPr>
            <w:tcW w:w="737" w:type="dxa"/>
            <w:tcBorders>
              <w:top w:val="single" w:sz="4" w:space="0" w:color="585858"/>
              <w:bottom w:val="single" w:sz="4" w:space="0" w:color="585858"/>
            </w:tcBorders>
          </w:tcPr>
          <w:p>
            <w:pPr>
              <w:pStyle w:val="TableParagraph"/>
              <w:spacing w:before="41"/>
              <w:ind w:right="141"/>
              <w:jc w:val="right"/>
              <w:rPr>
                <w:sz w:val="16"/>
              </w:rPr>
            </w:pPr>
            <w:r>
              <w:rPr>
                <w:sz w:val="16"/>
              </w:rPr>
              <w:t>38</w:t>
            </w:r>
          </w:p>
        </w:tc>
        <w:tc>
          <w:tcPr>
            <w:tcW w:w="1311" w:type="dxa"/>
            <w:tcBorders>
              <w:top w:val="single" w:sz="4" w:space="0" w:color="585858"/>
              <w:bottom w:val="single" w:sz="4" w:space="0" w:color="585858"/>
            </w:tcBorders>
          </w:tcPr>
          <w:p>
            <w:pPr>
              <w:pStyle w:val="TableParagraph"/>
              <w:spacing w:before="41"/>
              <w:ind w:left="310"/>
              <w:rPr>
                <w:sz w:val="16"/>
              </w:rPr>
            </w:pPr>
            <w:r>
              <w:rPr>
                <w:sz w:val="16"/>
              </w:rPr>
              <w:t>5.5</w:t>
            </w:r>
          </w:p>
        </w:tc>
        <w:tc>
          <w:tcPr>
            <w:tcW w:w="704" w:type="dxa"/>
            <w:tcBorders>
              <w:top w:val="single" w:sz="4" w:space="0" w:color="585858"/>
              <w:bottom w:val="single" w:sz="4" w:space="0" w:color="585858"/>
            </w:tcBorders>
          </w:tcPr>
          <w:p>
            <w:pPr>
              <w:pStyle w:val="TableParagraph"/>
              <w:spacing w:before="41"/>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1"/>
              <w:ind w:left="307"/>
              <w:rPr>
                <w:sz w:val="16"/>
              </w:rPr>
            </w:pPr>
            <w:r>
              <w:rPr>
                <w:sz w:val="16"/>
              </w:rPr>
              <w:t>3.1</w:t>
              <w:tab/>
              <w:t>!</w:t>
            </w:r>
          </w:p>
        </w:tc>
      </w:tr>
      <w:tr>
        <w:trPr>
          <w:trHeight w:val="266" w:hRule="atLeast"/>
        </w:trPr>
        <w:tc>
          <w:tcPr>
            <w:tcW w:w="2976" w:type="dxa"/>
            <w:tcBorders>
              <w:top w:val="single" w:sz="4" w:space="0" w:color="585858"/>
              <w:bottom w:val="single" w:sz="4" w:space="0" w:color="585858"/>
            </w:tcBorders>
          </w:tcPr>
          <w:p>
            <w:pPr>
              <w:pStyle w:val="TableParagraph"/>
              <w:spacing w:before="45"/>
              <w:ind w:right="323"/>
              <w:jc w:val="right"/>
              <w:rPr>
                <w:sz w:val="16"/>
              </w:rPr>
            </w:pPr>
            <w:r>
              <w:rPr>
                <w:sz w:val="16"/>
              </w:rPr>
              <w:t>Native Hawaiian/Pacific Islander</w:t>
            </w:r>
          </w:p>
        </w:tc>
        <w:tc>
          <w:tcPr>
            <w:tcW w:w="619" w:type="dxa"/>
            <w:tcBorders>
              <w:top w:val="single" w:sz="4" w:space="0" w:color="585858"/>
              <w:bottom w:val="single" w:sz="4" w:space="0" w:color="585858"/>
            </w:tcBorders>
          </w:tcPr>
          <w:p>
            <w:pPr>
              <w:pStyle w:val="TableParagraph"/>
              <w:spacing w:before="45"/>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750" w:val="left" w:leader="none"/>
              </w:tabs>
              <w:spacing w:before="45"/>
              <w:ind w:left="311"/>
              <w:rPr>
                <w:sz w:val="16"/>
              </w:rPr>
            </w:pPr>
            <w:r>
              <w:rPr>
                <w:sz w:val="16"/>
              </w:rPr>
              <w:t>0.0</w:t>
              <w:tab/>
              <w:t>!</w:t>
            </w:r>
          </w:p>
        </w:tc>
        <w:tc>
          <w:tcPr>
            <w:tcW w:w="788" w:type="dxa"/>
            <w:tcBorders>
              <w:top w:val="single" w:sz="4" w:space="0" w:color="585858"/>
              <w:bottom w:val="single" w:sz="4" w:space="0" w:color="585858"/>
            </w:tcBorders>
          </w:tcPr>
          <w:p>
            <w:pPr>
              <w:pStyle w:val="TableParagraph"/>
              <w:spacing w:before="45"/>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752" w:val="left" w:leader="none"/>
              </w:tabs>
              <w:spacing w:before="45"/>
              <w:ind w:left="309"/>
              <w:rPr>
                <w:sz w:val="16"/>
              </w:rPr>
            </w:pPr>
            <w:r>
              <w:rPr>
                <w:sz w:val="16"/>
              </w:rPr>
              <w:t>0.2</w:t>
              <w:tab/>
              <w:t>!</w:t>
            </w:r>
          </w:p>
        </w:tc>
        <w:tc>
          <w:tcPr>
            <w:tcW w:w="686" w:type="dxa"/>
            <w:tcBorders>
              <w:top w:val="single" w:sz="4" w:space="0" w:color="585858"/>
              <w:bottom w:val="single" w:sz="4" w:space="0" w:color="585858"/>
            </w:tcBorders>
          </w:tcPr>
          <w:p>
            <w:pPr>
              <w:pStyle w:val="TableParagraph"/>
              <w:spacing w:before="45"/>
              <w:ind w:right="138"/>
              <w:jc w:val="right"/>
              <w:rPr>
                <w:sz w:val="16"/>
              </w:rPr>
            </w:pPr>
            <w:r>
              <w:rPr>
                <w:sz w:val="16"/>
              </w:rPr>
              <w:t>&lt;10</w:t>
            </w:r>
          </w:p>
        </w:tc>
        <w:tc>
          <w:tcPr>
            <w:tcW w:w="1279" w:type="dxa"/>
            <w:tcBorders>
              <w:top w:val="single" w:sz="4" w:space="0" w:color="585858"/>
              <w:bottom w:val="single" w:sz="4" w:space="0" w:color="585858"/>
            </w:tcBorders>
          </w:tcPr>
          <w:p>
            <w:pPr>
              <w:pStyle w:val="TableParagraph"/>
              <w:tabs>
                <w:tab w:pos="745" w:val="left" w:leader="none"/>
              </w:tabs>
              <w:spacing w:before="45"/>
              <w:ind w:left="306"/>
              <w:rPr>
                <w:sz w:val="16"/>
              </w:rPr>
            </w:pPr>
            <w:r>
              <w:rPr>
                <w:sz w:val="16"/>
              </w:rPr>
              <w:t>0.1</w:t>
              <w:tab/>
              <w:t>!</w:t>
            </w:r>
          </w:p>
        </w:tc>
        <w:tc>
          <w:tcPr>
            <w:tcW w:w="737" w:type="dxa"/>
            <w:tcBorders>
              <w:top w:val="single" w:sz="4" w:space="0" w:color="585858"/>
              <w:bottom w:val="single" w:sz="4" w:space="0" w:color="585858"/>
            </w:tcBorders>
          </w:tcPr>
          <w:p>
            <w:pPr>
              <w:pStyle w:val="TableParagraph"/>
              <w:spacing w:before="45"/>
              <w:ind w:right="142"/>
              <w:jc w:val="right"/>
              <w:rPr>
                <w:sz w:val="16"/>
              </w:rPr>
            </w:pPr>
            <w:r>
              <w:rPr>
                <w:sz w:val="16"/>
              </w:rPr>
              <w:t>&lt;10</w:t>
            </w:r>
          </w:p>
        </w:tc>
        <w:tc>
          <w:tcPr>
            <w:tcW w:w="1311" w:type="dxa"/>
            <w:tcBorders>
              <w:top w:val="single" w:sz="4" w:space="0" w:color="585858"/>
              <w:bottom w:val="single" w:sz="4" w:space="0" w:color="585858"/>
            </w:tcBorders>
          </w:tcPr>
          <w:p>
            <w:pPr>
              <w:pStyle w:val="TableParagraph"/>
              <w:tabs>
                <w:tab w:pos="749" w:val="left" w:leader="none"/>
              </w:tabs>
              <w:spacing w:before="45"/>
              <w:ind w:left="310"/>
              <w:rPr>
                <w:sz w:val="16"/>
              </w:rPr>
            </w:pPr>
            <w:r>
              <w:rPr>
                <w:sz w:val="16"/>
              </w:rPr>
              <w:t>0.0</w:t>
              <w:tab/>
              <w:t>!</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5"/>
              <w:ind w:left="307"/>
              <w:rPr>
                <w:sz w:val="16"/>
              </w:rPr>
            </w:pPr>
            <w:r>
              <w:rPr>
                <w:sz w:val="16"/>
              </w:rPr>
              <w:t>0.0</w:t>
              <w:tab/>
              <w:t>!</w:t>
            </w:r>
          </w:p>
        </w:tc>
      </w:tr>
      <w:tr>
        <w:trPr>
          <w:trHeight w:val="261" w:hRule="atLeast"/>
        </w:trPr>
        <w:tc>
          <w:tcPr>
            <w:tcW w:w="2976" w:type="dxa"/>
            <w:tcBorders>
              <w:top w:val="single" w:sz="4" w:space="0" w:color="585858"/>
              <w:bottom w:val="single" w:sz="4" w:space="0" w:color="585858"/>
            </w:tcBorders>
          </w:tcPr>
          <w:p>
            <w:pPr>
              <w:pStyle w:val="TableParagraph"/>
              <w:spacing w:before="41"/>
              <w:ind w:left="370"/>
              <w:rPr>
                <w:sz w:val="16"/>
              </w:rPr>
            </w:pPr>
            <w:r>
              <w:rPr>
                <w:sz w:val="16"/>
              </w:rPr>
              <w:t>American Indian/Alaska Native</w:t>
            </w:r>
          </w:p>
        </w:tc>
        <w:tc>
          <w:tcPr>
            <w:tcW w:w="619" w:type="dxa"/>
            <w:tcBorders>
              <w:top w:val="single" w:sz="4" w:space="0" w:color="585858"/>
              <w:bottom w:val="single" w:sz="4" w:space="0" w:color="585858"/>
            </w:tcBorders>
          </w:tcPr>
          <w:p>
            <w:pPr>
              <w:pStyle w:val="TableParagraph"/>
              <w:spacing w:before="41"/>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750" w:val="left" w:leader="none"/>
              </w:tabs>
              <w:spacing w:before="41"/>
              <w:ind w:left="311"/>
              <w:rPr>
                <w:sz w:val="16"/>
              </w:rPr>
            </w:pPr>
            <w:r>
              <w:rPr>
                <w:sz w:val="16"/>
              </w:rPr>
              <w:t>0.5</w:t>
              <w:tab/>
              <w:t>!</w:t>
            </w:r>
          </w:p>
        </w:tc>
        <w:tc>
          <w:tcPr>
            <w:tcW w:w="788" w:type="dxa"/>
            <w:tcBorders>
              <w:top w:val="single" w:sz="4" w:space="0" w:color="585858"/>
              <w:bottom w:val="single" w:sz="4" w:space="0" w:color="585858"/>
            </w:tcBorders>
          </w:tcPr>
          <w:p>
            <w:pPr>
              <w:pStyle w:val="TableParagraph"/>
              <w:spacing w:before="41"/>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752" w:val="left" w:leader="none"/>
              </w:tabs>
              <w:spacing w:before="41"/>
              <w:ind w:left="309"/>
              <w:rPr>
                <w:sz w:val="16"/>
              </w:rPr>
            </w:pPr>
            <w:r>
              <w:rPr>
                <w:sz w:val="16"/>
              </w:rPr>
              <w:t>0.0</w:t>
              <w:tab/>
              <w:t>!</w:t>
            </w:r>
          </w:p>
        </w:tc>
        <w:tc>
          <w:tcPr>
            <w:tcW w:w="686" w:type="dxa"/>
            <w:tcBorders>
              <w:top w:val="single" w:sz="4" w:space="0" w:color="585858"/>
              <w:bottom w:val="single" w:sz="4" w:space="0" w:color="585858"/>
            </w:tcBorders>
          </w:tcPr>
          <w:p>
            <w:pPr>
              <w:pStyle w:val="TableParagraph"/>
              <w:spacing w:before="41"/>
              <w:ind w:right="138"/>
              <w:jc w:val="right"/>
              <w:rPr>
                <w:sz w:val="16"/>
              </w:rPr>
            </w:pPr>
            <w:r>
              <w:rPr>
                <w:sz w:val="16"/>
              </w:rPr>
              <w:t>&lt;10</w:t>
            </w:r>
          </w:p>
        </w:tc>
        <w:tc>
          <w:tcPr>
            <w:tcW w:w="1279" w:type="dxa"/>
            <w:tcBorders>
              <w:top w:val="single" w:sz="4" w:space="0" w:color="585858"/>
              <w:bottom w:val="single" w:sz="4" w:space="0" w:color="585858"/>
            </w:tcBorders>
          </w:tcPr>
          <w:p>
            <w:pPr>
              <w:pStyle w:val="TableParagraph"/>
              <w:tabs>
                <w:tab w:pos="745" w:val="left" w:leader="none"/>
              </w:tabs>
              <w:spacing w:before="41"/>
              <w:ind w:left="306"/>
              <w:rPr>
                <w:sz w:val="16"/>
              </w:rPr>
            </w:pPr>
            <w:r>
              <w:rPr>
                <w:sz w:val="16"/>
              </w:rPr>
              <w:t>0.3</w:t>
              <w:tab/>
              <w:t>!</w:t>
            </w:r>
          </w:p>
        </w:tc>
        <w:tc>
          <w:tcPr>
            <w:tcW w:w="737" w:type="dxa"/>
            <w:tcBorders>
              <w:top w:val="single" w:sz="4" w:space="0" w:color="585858"/>
              <w:bottom w:val="single" w:sz="4" w:space="0" w:color="585858"/>
            </w:tcBorders>
          </w:tcPr>
          <w:p>
            <w:pPr>
              <w:pStyle w:val="TableParagraph"/>
              <w:spacing w:before="41"/>
              <w:ind w:right="142"/>
              <w:jc w:val="right"/>
              <w:rPr>
                <w:sz w:val="16"/>
              </w:rPr>
            </w:pPr>
            <w:r>
              <w:rPr>
                <w:sz w:val="16"/>
              </w:rPr>
              <w:t>&lt;10</w:t>
            </w:r>
          </w:p>
        </w:tc>
        <w:tc>
          <w:tcPr>
            <w:tcW w:w="1311" w:type="dxa"/>
            <w:tcBorders>
              <w:top w:val="single" w:sz="4" w:space="0" w:color="585858"/>
              <w:bottom w:val="single" w:sz="4" w:space="0" w:color="585858"/>
            </w:tcBorders>
          </w:tcPr>
          <w:p>
            <w:pPr>
              <w:pStyle w:val="TableParagraph"/>
              <w:tabs>
                <w:tab w:pos="749" w:val="left" w:leader="none"/>
              </w:tabs>
              <w:spacing w:before="41"/>
              <w:ind w:left="310"/>
              <w:rPr>
                <w:sz w:val="16"/>
              </w:rPr>
            </w:pPr>
            <w:r>
              <w:rPr>
                <w:sz w:val="16"/>
              </w:rPr>
              <w:t>0.1</w:t>
              <w:tab/>
              <w:t>!</w:t>
            </w:r>
          </w:p>
        </w:tc>
        <w:tc>
          <w:tcPr>
            <w:tcW w:w="704" w:type="dxa"/>
            <w:tcBorders>
              <w:top w:val="single" w:sz="4" w:space="0" w:color="585858"/>
              <w:bottom w:val="single" w:sz="4" w:space="0" w:color="585858"/>
            </w:tcBorders>
          </w:tcPr>
          <w:p>
            <w:pPr>
              <w:pStyle w:val="TableParagraph"/>
              <w:spacing w:before="41"/>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1"/>
              <w:ind w:left="307"/>
              <w:rPr>
                <w:sz w:val="16"/>
              </w:rPr>
            </w:pPr>
            <w:r>
              <w:rPr>
                <w:sz w:val="16"/>
              </w:rPr>
              <w:t>1.0</w:t>
              <w:tab/>
              <w:t>!</w:t>
            </w:r>
          </w:p>
        </w:tc>
      </w:tr>
      <w:tr>
        <w:trPr>
          <w:trHeight w:val="266" w:hRule="atLeast"/>
        </w:trPr>
        <w:tc>
          <w:tcPr>
            <w:tcW w:w="2976" w:type="dxa"/>
            <w:tcBorders>
              <w:top w:val="single" w:sz="4" w:space="0" w:color="585858"/>
              <w:bottom w:val="single" w:sz="4" w:space="0" w:color="585858"/>
            </w:tcBorders>
          </w:tcPr>
          <w:p>
            <w:pPr>
              <w:pStyle w:val="TableParagraph"/>
              <w:spacing w:before="41"/>
              <w:ind w:left="370"/>
              <w:rPr>
                <w:sz w:val="10"/>
              </w:rPr>
            </w:pPr>
            <w:r>
              <w:rPr>
                <w:sz w:val="16"/>
              </w:rPr>
              <w:t>More than one race </w:t>
            </w:r>
            <w:r>
              <w:rPr>
                <w:position w:val="6"/>
                <w:sz w:val="10"/>
              </w:rPr>
              <w:t>b</w:t>
            </w:r>
          </w:p>
        </w:tc>
        <w:tc>
          <w:tcPr>
            <w:tcW w:w="619" w:type="dxa"/>
            <w:tcBorders>
              <w:top w:val="single" w:sz="4" w:space="0" w:color="585858"/>
              <w:bottom w:val="single" w:sz="4" w:space="0" w:color="585858"/>
            </w:tcBorders>
          </w:tcPr>
          <w:p>
            <w:pPr>
              <w:pStyle w:val="TableParagraph"/>
              <w:spacing w:before="45"/>
              <w:ind w:right="136"/>
              <w:jc w:val="right"/>
              <w:rPr>
                <w:sz w:val="16"/>
              </w:rPr>
            </w:pPr>
            <w:r>
              <w:rPr>
                <w:sz w:val="16"/>
              </w:rPr>
              <w:t>13</w:t>
            </w:r>
          </w:p>
        </w:tc>
        <w:tc>
          <w:tcPr>
            <w:tcW w:w="1230" w:type="dxa"/>
            <w:tcBorders>
              <w:top w:val="single" w:sz="4" w:space="0" w:color="585858"/>
              <w:bottom w:val="single" w:sz="4" w:space="0" w:color="585858"/>
            </w:tcBorders>
          </w:tcPr>
          <w:p>
            <w:pPr>
              <w:pStyle w:val="TableParagraph"/>
              <w:spacing w:before="45"/>
              <w:ind w:left="311"/>
              <w:rPr>
                <w:sz w:val="16"/>
              </w:rPr>
            </w:pPr>
            <w:r>
              <w:rPr>
                <w:sz w:val="16"/>
              </w:rPr>
              <w:t>1.6</w:t>
            </w:r>
          </w:p>
        </w:tc>
        <w:tc>
          <w:tcPr>
            <w:tcW w:w="788" w:type="dxa"/>
            <w:tcBorders>
              <w:top w:val="single" w:sz="4" w:space="0" w:color="585858"/>
              <w:bottom w:val="single" w:sz="4" w:space="0" w:color="585858"/>
            </w:tcBorders>
          </w:tcPr>
          <w:p>
            <w:pPr>
              <w:pStyle w:val="TableParagraph"/>
              <w:spacing w:before="45"/>
              <w:ind w:right="138"/>
              <w:jc w:val="right"/>
              <w:rPr>
                <w:sz w:val="16"/>
              </w:rPr>
            </w:pPr>
            <w:r>
              <w:rPr>
                <w:sz w:val="16"/>
              </w:rPr>
              <w:t>10</w:t>
            </w:r>
          </w:p>
        </w:tc>
        <w:tc>
          <w:tcPr>
            <w:tcW w:w="1333" w:type="dxa"/>
            <w:tcBorders>
              <w:top w:val="single" w:sz="4" w:space="0" w:color="585858"/>
              <w:bottom w:val="single" w:sz="4" w:space="0" w:color="585858"/>
            </w:tcBorders>
          </w:tcPr>
          <w:p>
            <w:pPr>
              <w:pStyle w:val="TableParagraph"/>
              <w:spacing w:before="45"/>
              <w:ind w:left="309"/>
              <w:rPr>
                <w:sz w:val="16"/>
              </w:rPr>
            </w:pPr>
            <w:r>
              <w:rPr>
                <w:sz w:val="16"/>
              </w:rPr>
              <w:t>1.6</w:t>
            </w:r>
          </w:p>
        </w:tc>
        <w:tc>
          <w:tcPr>
            <w:tcW w:w="686" w:type="dxa"/>
            <w:tcBorders>
              <w:top w:val="single" w:sz="4" w:space="0" w:color="585858"/>
              <w:bottom w:val="single" w:sz="4" w:space="0" w:color="585858"/>
            </w:tcBorders>
          </w:tcPr>
          <w:p>
            <w:pPr>
              <w:pStyle w:val="TableParagraph"/>
              <w:spacing w:before="45"/>
              <w:ind w:right="137"/>
              <w:jc w:val="right"/>
              <w:rPr>
                <w:sz w:val="16"/>
              </w:rPr>
            </w:pPr>
            <w:r>
              <w:rPr>
                <w:sz w:val="16"/>
              </w:rPr>
              <w:t>27</w:t>
            </w:r>
          </w:p>
        </w:tc>
        <w:tc>
          <w:tcPr>
            <w:tcW w:w="1279" w:type="dxa"/>
            <w:tcBorders>
              <w:top w:val="single" w:sz="4" w:space="0" w:color="585858"/>
              <w:bottom w:val="single" w:sz="4" w:space="0" w:color="585858"/>
            </w:tcBorders>
          </w:tcPr>
          <w:p>
            <w:pPr>
              <w:pStyle w:val="TableParagraph"/>
              <w:spacing w:before="45"/>
              <w:ind w:left="306"/>
              <w:rPr>
                <w:sz w:val="16"/>
              </w:rPr>
            </w:pPr>
            <w:r>
              <w:rPr>
                <w:sz w:val="16"/>
              </w:rPr>
              <w:t>1.8</w:t>
            </w:r>
          </w:p>
        </w:tc>
        <w:tc>
          <w:tcPr>
            <w:tcW w:w="737" w:type="dxa"/>
            <w:tcBorders>
              <w:top w:val="single" w:sz="4" w:space="0" w:color="585858"/>
              <w:bottom w:val="single" w:sz="4" w:space="0" w:color="585858"/>
            </w:tcBorders>
          </w:tcPr>
          <w:p>
            <w:pPr>
              <w:pStyle w:val="TableParagraph"/>
              <w:spacing w:before="45"/>
              <w:ind w:right="141"/>
              <w:jc w:val="right"/>
              <w:rPr>
                <w:sz w:val="16"/>
              </w:rPr>
            </w:pPr>
            <w:r>
              <w:rPr>
                <w:sz w:val="16"/>
              </w:rPr>
              <w:t>13</w:t>
            </w:r>
          </w:p>
        </w:tc>
        <w:tc>
          <w:tcPr>
            <w:tcW w:w="1311" w:type="dxa"/>
            <w:tcBorders>
              <w:top w:val="single" w:sz="4" w:space="0" w:color="585858"/>
              <w:bottom w:val="single" w:sz="4" w:space="0" w:color="585858"/>
            </w:tcBorders>
          </w:tcPr>
          <w:p>
            <w:pPr>
              <w:pStyle w:val="TableParagraph"/>
              <w:spacing w:before="45"/>
              <w:ind w:left="310"/>
              <w:rPr>
                <w:sz w:val="16"/>
              </w:rPr>
            </w:pPr>
            <w:r>
              <w:rPr>
                <w:sz w:val="16"/>
              </w:rPr>
              <w:t>1.9</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5"/>
              <w:ind w:left="307"/>
              <w:rPr>
                <w:sz w:val="16"/>
              </w:rPr>
            </w:pPr>
            <w:r>
              <w:rPr>
                <w:sz w:val="16"/>
              </w:rPr>
              <w:t>1.0</w:t>
              <w:tab/>
              <w:t>!</w:t>
            </w:r>
          </w:p>
        </w:tc>
      </w:tr>
      <w:tr>
        <w:trPr>
          <w:trHeight w:val="261" w:hRule="atLeast"/>
        </w:trPr>
        <w:tc>
          <w:tcPr>
            <w:tcW w:w="2976" w:type="dxa"/>
            <w:tcBorders>
              <w:top w:val="single" w:sz="4" w:space="0" w:color="585858"/>
              <w:bottom w:val="single" w:sz="4" w:space="0" w:color="585858"/>
            </w:tcBorders>
          </w:tcPr>
          <w:p>
            <w:pPr>
              <w:pStyle w:val="TableParagraph"/>
              <w:spacing w:before="41"/>
              <w:ind w:left="114"/>
              <w:rPr>
                <w:sz w:val="16"/>
              </w:rPr>
            </w:pPr>
            <w:r>
              <w:rPr>
                <w:sz w:val="16"/>
              </w:rPr>
              <w:t>Highest Degree Earned</w:t>
            </w:r>
          </w:p>
        </w:tc>
        <w:tc>
          <w:tcPr>
            <w:tcW w:w="619" w:type="dxa"/>
            <w:tcBorders>
              <w:top w:val="single" w:sz="4" w:space="0" w:color="585858"/>
              <w:bottom w:val="single" w:sz="4" w:space="0" w:color="585858"/>
            </w:tcBorders>
          </w:tcPr>
          <w:p>
            <w:pPr>
              <w:pStyle w:val="TableParagraph"/>
              <w:spacing w:before="0"/>
              <w:rPr>
                <w:rFonts w:ascii="Times New Roman"/>
                <w:sz w:val="16"/>
              </w:rPr>
            </w:pPr>
          </w:p>
        </w:tc>
        <w:tc>
          <w:tcPr>
            <w:tcW w:w="1230" w:type="dxa"/>
            <w:tcBorders>
              <w:top w:val="single" w:sz="4" w:space="0" w:color="585858"/>
              <w:bottom w:val="single" w:sz="4" w:space="0" w:color="585858"/>
            </w:tcBorders>
          </w:tcPr>
          <w:p>
            <w:pPr>
              <w:pStyle w:val="TableParagraph"/>
              <w:spacing w:before="0"/>
              <w:rPr>
                <w:rFonts w:ascii="Times New Roman"/>
                <w:sz w:val="16"/>
              </w:rPr>
            </w:pPr>
          </w:p>
        </w:tc>
        <w:tc>
          <w:tcPr>
            <w:tcW w:w="788" w:type="dxa"/>
            <w:tcBorders>
              <w:top w:val="single" w:sz="4" w:space="0" w:color="585858"/>
              <w:bottom w:val="single" w:sz="4" w:space="0" w:color="585858"/>
            </w:tcBorders>
          </w:tcPr>
          <w:p>
            <w:pPr>
              <w:pStyle w:val="TableParagraph"/>
              <w:spacing w:before="0"/>
              <w:rPr>
                <w:rFonts w:ascii="Times New Roman"/>
                <w:sz w:val="16"/>
              </w:rPr>
            </w:pPr>
          </w:p>
        </w:tc>
        <w:tc>
          <w:tcPr>
            <w:tcW w:w="1333" w:type="dxa"/>
            <w:tcBorders>
              <w:top w:val="single" w:sz="4" w:space="0" w:color="585858"/>
              <w:bottom w:val="single" w:sz="4" w:space="0" w:color="585858"/>
            </w:tcBorders>
          </w:tcPr>
          <w:p>
            <w:pPr>
              <w:pStyle w:val="TableParagraph"/>
              <w:spacing w:before="0"/>
              <w:rPr>
                <w:rFonts w:ascii="Times New Roman"/>
                <w:sz w:val="16"/>
              </w:rPr>
            </w:pPr>
          </w:p>
        </w:tc>
        <w:tc>
          <w:tcPr>
            <w:tcW w:w="686" w:type="dxa"/>
            <w:tcBorders>
              <w:top w:val="single" w:sz="4" w:space="0" w:color="585858"/>
              <w:bottom w:val="single" w:sz="4" w:space="0" w:color="585858"/>
            </w:tcBorders>
          </w:tcPr>
          <w:p>
            <w:pPr>
              <w:pStyle w:val="TableParagraph"/>
              <w:spacing w:before="0"/>
              <w:rPr>
                <w:rFonts w:ascii="Times New Roman"/>
                <w:sz w:val="16"/>
              </w:rPr>
            </w:pPr>
          </w:p>
        </w:tc>
        <w:tc>
          <w:tcPr>
            <w:tcW w:w="1279" w:type="dxa"/>
            <w:tcBorders>
              <w:top w:val="single" w:sz="4" w:space="0" w:color="585858"/>
              <w:bottom w:val="single" w:sz="4" w:space="0" w:color="585858"/>
            </w:tcBorders>
          </w:tcPr>
          <w:p>
            <w:pPr>
              <w:pStyle w:val="TableParagraph"/>
              <w:spacing w:before="0"/>
              <w:rPr>
                <w:rFonts w:ascii="Times New Roman"/>
                <w:sz w:val="16"/>
              </w:rPr>
            </w:pPr>
          </w:p>
        </w:tc>
        <w:tc>
          <w:tcPr>
            <w:tcW w:w="737" w:type="dxa"/>
            <w:tcBorders>
              <w:top w:val="single" w:sz="4" w:space="0" w:color="585858"/>
              <w:bottom w:val="single" w:sz="4" w:space="0" w:color="585858"/>
            </w:tcBorders>
          </w:tcPr>
          <w:p>
            <w:pPr>
              <w:pStyle w:val="TableParagraph"/>
              <w:spacing w:before="0"/>
              <w:rPr>
                <w:rFonts w:ascii="Times New Roman"/>
                <w:sz w:val="16"/>
              </w:rPr>
            </w:pPr>
          </w:p>
        </w:tc>
        <w:tc>
          <w:tcPr>
            <w:tcW w:w="1311" w:type="dxa"/>
            <w:tcBorders>
              <w:top w:val="single" w:sz="4" w:space="0" w:color="585858"/>
              <w:bottom w:val="single" w:sz="4" w:space="0" w:color="585858"/>
            </w:tcBorders>
          </w:tcPr>
          <w:p>
            <w:pPr>
              <w:pStyle w:val="TableParagraph"/>
              <w:spacing w:before="0"/>
              <w:rPr>
                <w:rFonts w:ascii="Times New Roman"/>
                <w:sz w:val="16"/>
              </w:rPr>
            </w:pPr>
          </w:p>
        </w:tc>
        <w:tc>
          <w:tcPr>
            <w:tcW w:w="704" w:type="dxa"/>
            <w:tcBorders>
              <w:top w:val="single" w:sz="4" w:space="0" w:color="585858"/>
              <w:bottom w:val="single" w:sz="4" w:space="0" w:color="585858"/>
            </w:tcBorders>
          </w:tcPr>
          <w:p>
            <w:pPr>
              <w:pStyle w:val="TableParagraph"/>
              <w:spacing w:before="0"/>
              <w:rPr>
                <w:rFonts w:ascii="Times New Roman"/>
                <w:sz w:val="16"/>
              </w:rPr>
            </w:pPr>
          </w:p>
        </w:tc>
        <w:tc>
          <w:tcPr>
            <w:tcW w:w="1309" w:type="dxa"/>
            <w:tcBorders>
              <w:top w:val="single" w:sz="4" w:space="0" w:color="585858"/>
              <w:bottom w:val="single" w:sz="4" w:space="0" w:color="585858"/>
            </w:tcBorders>
          </w:tcPr>
          <w:p>
            <w:pPr>
              <w:pStyle w:val="TableParagraph"/>
              <w:spacing w:before="0"/>
              <w:rPr>
                <w:rFonts w:ascii="Times New Roman"/>
                <w:sz w:val="16"/>
              </w:rPr>
            </w:pPr>
          </w:p>
        </w:tc>
      </w:tr>
      <w:tr>
        <w:trPr>
          <w:trHeight w:val="266" w:hRule="atLeast"/>
        </w:trPr>
        <w:tc>
          <w:tcPr>
            <w:tcW w:w="2976" w:type="dxa"/>
            <w:tcBorders>
              <w:top w:val="single" w:sz="4" w:space="0" w:color="585858"/>
              <w:bottom w:val="single" w:sz="4" w:space="0" w:color="585858"/>
            </w:tcBorders>
          </w:tcPr>
          <w:p>
            <w:pPr>
              <w:pStyle w:val="TableParagraph"/>
              <w:spacing w:before="45"/>
              <w:ind w:right="323"/>
              <w:jc w:val="right"/>
              <w:rPr>
                <w:sz w:val="16"/>
              </w:rPr>
            </w:pPr>
            <w:r>
              <w:rPr>
                <w:sz w:val="16"/>
              </w:rPr>
              <w:t>Less than a high school diploma</w:t>
            </w:r>
          </w:p>
        </w:tc>
        <w:tc>
          <w:tcPr>
            <w:tcW w:w="619" w:type="dxa"/>
            <w:tcBorders>
              <w:top w:val="single" w:sz="4" w:space="0" w:color="585858"/>
              <w:bottom w:val="single" w:sz="4" w:space="0" w:color="585858"/>
            </w:tcBorders>
          </w:tcPr>
          <w:p>
            <w:pPr>
              <w:pStyle w:val="TableParagraph"/>
              <w:spacing w:before="45"/>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439" w:val="left" w:leader="none"/>
              </w:tabs>
              <w:spacing w:before="45"/>
              <w:ind w:right="286"/>
              <w:jc w:val="right"/>
              <w:rPr>
                <w:sz w:val="16"/>
              </w:rPr>
            </w:pPr>
            <w:r>
              <w:rPr>
                <w:sz w:val="16"/>
              </w:rPr>
              <w:t>0.0</w:t>
              <w:tab/>
              <w:t>%!</w:t>
            </w:r>
          </w:p>
        </w:tc>
        <w:tc>
          <w:tcPr>
            <w:tcW w:w="788" w:type="dxa"/>
            <w:tcBorders>
              <w:top w:val="single" w:sz="4" w:space="0" w:color="585858"/>
              <w:bottom w:val="single" w:sz="4" w:space="0" w:color="585858"/>
            </w:tcBorders>
          </w:tcPr>
          <w:p>
            <w:pPr>
              <w:pStyle w:val="TableParagraph"/>
              <w:spacing w:before="45"/>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443" w:val="left" w:leader="none"/>
              </w:tabs>
              <w:spacing w:before="45"/>
              <w:ind w:right="387"/>
              <w:jc w:val="right"/>
              <w:rPr>
                <w:sz w:val="16"/>
              </w:rPr>
            </w:pPr>
            <w:r>
              <w:rPr>
                <w:sz w:val="16"/>
              </w:rPr>
              <w:t>0.0</w:t>
              <w:tab/>
              <w:t>%!</w:t>
            </w:r>
          </w:p>
        </w:tc>
        <w:tc>
          <w:tcPr>
            <w:tcW w:w="686" w:type="dxa"/>
            <w:tcBorders>
              <w:top w:val="single" w:sz="4" w:space="0" w:color="585858"/>
              <w:bottom w:val="single" w:sz="4" w:space="0" w:color="585858"/>
            </w:tcBorders>
          </w:tcPr>
          <w:p>
            <w:pPr>
              <w:pStyle w:val="TableParagraph"/>
              <w:spacing w:before="45"/>
              <w:ind w:right="138"/>
              <w:jc w:val="right"/>
              <w:rPr>
                <w:sz w:val="16"/>
              </w:rPr>
            </w:pPr>
            <w:r>
              <w:rPr>
                <w:sz w:val="16"/>
              </w:rPr>
              <w:t>&lt;10</w:t>
            </w:r>
          </w:p>
        </w:tc>
        <w:tc>
          <w:tcPr>
            <w:tcW w:w="1279" w:type="dxa"/>
            <w:tcBorders>
              <w:top w:val="single" w:sz="4" w:space="0" w:color="585858"/>
              <w:bottom w:val="single" w:sz="4" w:space="0" w:color="585858"/>
            </w:tcBorders>
          </w:tcPr>
          <w:p>
            <w:pPr>
              <w:pStyle w:val="TableParagraph"/>
              <w:tabs>
                <w:tab w:pos="745" w:val="left" w:leader="none"/>
              </w:tabs>
              <w:spacing w:before="45"/>
              <w:ind w:left="306"/>
              <w:rPr>
                <w:sz w:val="16"/>
              </w:rPr>
            </w:pPr>
            <w:r>
              <w:rPr>
                <w:sz w:val="16"/>
              </w:rPr>
              <w:t>0.1</w:t>
              <w:tab/>
              <w:t>%!</w:t>
            </w:r>
          </w:p>
        </w:tc>
        <w:tc>
          <w:tcPr>
            <w:tcW w:w="737" w:type="dxa"/>
            <w:tcBorders>
              <w:top w:val="single" w:sz="4" w:space="0" w:color="585858"/>
              <w:bottom w:val="single" w:sz="4" w:space="0" w:color="585858"/>
            </w:tcBorders>
          </w:tcPr>
          <w:p>
            <w:pPr>
              <w:pStyle w:val="TableParagraph"/>
              <w:spacing w:before="45"/>
              <w:ind w:right="142"/>
              <w:jc w:val="right"/>
              <w:rPr>
                <w:sz w:val="16"/>
              </w:rPr>
            </w:pPr>
            <w:r>
              <w:rPr>
                <w:sz w:val="16"/>
              </w:rPr>
              <w:t>&lt;10</w:t>
            </w:r>
          </w:p>
        </w:tc>
        <w:tc>
          <w:tcPr>
            <w:tcW w:w="1311" w:type="dxa"/>
            <w:tcBorders>
              <w:top w:val="single" w:sz="4" w:space="0" w:color="585858"/>
              <w:bottom w:val="single" w:sz="4" w:space="0" w:color="585858"/>
            </w:tcBorders>
          </w:tcPr>
          <w:p>
            <w:pPr>
              <w:pStyle w:val="TableParagraph"/>
              <w:tabs>
                <w:tab w:pos="439" w:val="left" w:leader="none"/>
              </w:tabs>
              <w:spacing w:before="45"/>
              <w:ind w:right="368"/>
              <w:jc w:val="right"/>
              <w:rPr>
                <w:sz w:val="16"/>
              </w:rPr>
            </w:pPr>
            <w:r>
              <w:rPr>
                <w:sz w:val="16"/>
              </w:rPr>
              <w:t>0.1</w:t>
              <w:tab/>
              <w:t>%!</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439" w:val="left" w:leader="none"/>
              </w:tabs>
              <w:spacing w:before="45"/>
              <w:ind w:right="369"/>
              <w:jc w:val="right"/>
              <w:rPr>
                <w:sz w:val="16"/>
              </w:rPr>
            </w:pPr>
            <w:r>
              <w:rPr>
                <w:sz w:val="16"/>
              </w:rPr>
              <w:t>0.0</w:t>
              <w:tab/>
              <w:t>%!</w:t>
            </w:r>
          </w:p>
        </w:tc>
      </w:tr>
      <w:tr>
        <w:trPr>
          <w:trHeight w:val="445" w:hRule="atLeast"/>
        </w:trPr>
        <w:tc>
          <w:tcPr>
            <w:tcW w:w="2976" w:type="dxa"/>
            <w:tcBorders>
              <w:top w:val="single" w:sz="4" w:space="0" w:color="585858"/>
              <w:bottom w:val="single" w:sz="4" w:space="0" w:color="585858"/>
            </w:tcBorders>
          </w:tcPr>
          <w:p>
            <w:pPr>
              <w:pStyle w:val="TableParagraph"/>
              <w:spacing w:before="41"/>
              <w:ind w:left="370"/>
              <w:rPr>
                <w:sz w:val="16"/>
              </w:rPr>
            </w:pPr>
            <w:r>
              <w:rPr>
                <w:sz w:val="16"/>
              </w:rPr>
              <w:t>High school diploma or equivalent (e.g., GED)</w:t>
            </w:r>
          </w:p>
        </w:tc>
        <w:tc>
          <w:tcPr>
            <w:tcW w:w="619" w:type="dxa"/>
            <w:tcBorders>
              <w:top w:val="single" w:sz="4" w:space="0" w:color="585858"/>
              <w:bottom w:val="single" w:sz="4" w:space="0" w:color="585858"/>
            </w:tcBorders>
          </w:tcPr>
          <w:p>
            <w:pPr>
              <w:pStyle w:val="TableParagraph"/>
              <w:spacing w:before="41"/>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750" w:val="left" w:leader="none"/>
              </w:tabs>
              <w:spacing w:before="41"/>
              <w:ind w:left="311"/>
              <w:rPr>
                <w:sz w:val="16"/>
              </w:rPr>
            </w:pPr>
            <w:r>
              <w:rPr>
                <w:sz w:val="16"/>
              </w:rPr>
              <w:t>0.0</w:t>
              <w:tab/>
              <w:t>!</w:t>
            </w:r>
          </w:p>
        </w:tc>
        <w:tc>
          <w:tcPr>
            <w:tcW w:w="788" w:type="dxa"/>
            <w:tcBorders>
              <w:top w:val="single" w:sz="4" w:space="0" w:color="585858"/>
              <w:bottom w:val="single" w:sz="4" w:space="0" w:color="585858"/>
            </w:tcBorders>
          </w:tcPr>
          <w:p>
            <w:pPr>
              <w:pStyle w:val="TableParagraph"/>
              <w:spacing w:before="41"/>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752" w:val="left" w:leader="none"/>
              </w:tabs>
              <w:spacing w:before="41"/>
              <w:ind w:left="309"/>
              <w:rPr>
                <w:sz w:val="16"/>
              </w:rPr>
            </w:pPr>
            <w:r>
              <w:rPr>
                <w:sz w:val="16"/>
              </w:rPr>
              <w:t>0.2</w:t>
              <w:tab/>
              <w:t>!</w:t>
            </w:r>
          </w:p>
        </w:tc>
        <w:tc>
          <w:tcPr>
            <w:tcW w:w="686" w:type="dxa"/>
            <w:tcBorders>
              <w:top w:val="single" w:sz="4" w:space="0" w:color="585858"/>
              <w:bottom w:val="single" w:sz="4" w:space="0" w:color="585858"/>
            </w:tcBorders>
          </w:tcPr>
          <w:p>
            <w:pPr>
              <w:pStyle w:val="TableParagraph"/>
              <w:spacing w:before="41"/>
              <w:ind w:right="137"/>
              <w:jc w:val="right"/>
              <w:rPr>
                <w:sz w:val="16"/>
              </w:rPr>
            </w:pPr>
            <w:r>
              <w:rPr>
                <w:sz w:val="16"/>
              </w:rPr>
              <w:t>41</w:t>
            </w:r>
          </w:p>
        </w:tc>
        <w:tc>
          <w:tcPr>
            <w:tcW w:w="1279" w:type="dxa"/>
            <w:tcBorders>
              <w:top w:val="single" w:sz="4" w:space="0" w:color="585858"/>
              <w:bottom w:val="single" w:sz="4" w:space="0" w:color="585858"/>
            </w:tcBorders>
          </w:tcPr>
          <w:p>
            <w:pPr>
              <w:pStyle w:val="TableParagraph"/>
              <w:spacing w:before="41"/>
              <w:ind w:left="306"/>
              <w:rPr>
                <w:sz w:val="16"/>
              </w:rPr>
            </w:pPr>
            <w:r>
              <w:rPr>
                <w:sz w:val="16"/>
              </w:rPr>
              <w:t>2.8</w:t>
            </w:r>
          </w:p>
        </w:tc>
        <w:tc>
          <w:tcPr>
            <w:tcW w:w="737" w:type="dxa"/>
            <w:tcBorders>
              <w:top w:val="single" w:sz="4" w:space="0" w:color="585858"/>
              <w:bottom w:val="single" w:sz="4" w:space="0" w:color="585858"/>
            </w:tcBorders>
          </w:tcPr>
          <w:p>
            <w:pPr>
              <w:pStyle w:val="TableParagraph"/>
              <w:spacing w:before="41"/>
              <w:ind w:right="141"/>
              <w:jc w:val="right"/>
              <w:rPr>
                <w:sz w:val="16"/>
              </w:rPr>
            </w:pPr>
            <w:r>
              <w:rPr>
                <w:sz w:val="16"/>
              </w:rPr>
              <w:t>19</w:t>
            </w:r>
          </w:p>
        </w:tc>
        <w:tc>
          <w:tcPr>
            <w:tcW w:w="1311" w:type="dxa"/>
            <w:tcBorders>
              <w:top w:val="single" w:sz="4" w:space="0" w:color="585858"/>
              <w:bottom w:val="single" w:sz="4" w:space="0" w:color="585858"/>
            </w:tcBorders>
          </w:tcPr>
          <w:p>
            <w:pPr>
              <w:pStyle w:val="TableParagraph"/>
              <w:spacing w:before="41"/>
              <w:ind w:left="310"/>
              <w:rPr>
                <w:sz w:val="16"/>
              </w:rPr>
            </w:pPr>
            <w:r>
              <w:rPr>
                <w:sz w:val="16"/>
              </w:rPr>
              <w:t>2.8</w:t>
            </w:r>
          </w:p>
        </w:tc>
        <w:tc>
          <w:tcPr>
            <w:tcW w:w="704" w:type="dxa"/>
            <w:tcBorders>
              <w:top w:val="single" w:sz="4" w:space="0" w:color="585858"/>
              <w:bottom w:val="single" w:sz="4" w:space="0" w:color="585858"/>
            </w:tcBorders>
          </w:tcPr>
          <w:p>
            <w:pPr>
              <w:pStyle w:val="TableParagraph"/>
              <w:spacing w:before="41"/>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1"/>
              <w:ind w:left="307"/>
              <w:rPr>
                <w:sz w:val="16"/>
              </w:rPr>
            </w:pPr>
            <w:r>
              <w:rPr>
                <w:sz w:val="16"/>
              </w:rPr>
              <w:t>2.1</w:t>
              <w:tab/>
              <w:t>!</w:t>
            </w:r>
          </w:p>
        </w:tc>
      </w:tr>
      <w:tr>
        <w:trPr>
          <w:trHeight w:val="265"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Some college, no degree</w:t>
            </w:r>
          </w:p>
        </w:tc>
        <w:tc>
          <w:tcPr>
            <w:tcW w:w="619" w:type="dxa"/>
            <w:tcBorders>
              <w:top w:val="single" w:sz="4" w:space="0" w:color="585858"/>
              <w:bottom w:val="single" w:sz="4" w:space="0" w:color="585858"/>
            </w:tcBorders>
          </w:tcPr>
          <w:p>
            <w:pPr>
              <w:pStyle w:val="TableParagraph"/>
              <w:spacing w:before="45"/>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750" w:val="left" w:leader="none"/>
              </w:tabs>
              <w:spacing w:before="45"/>
              <w:ind w:left="311"/>
              <w:rPr>
                <w:sz w:val="16"/>
              </w:rPr>
            </w:pPr>
            <w:r>
              <w:rPr>
                <w:sz w:val="16"/>
              </w:rPr>
              <w:t>0.9</w:t>
              <w:tab/>
              <w:t>!</w:t>
            </w:r>
          </w:p>
        </w:tc>
        <w:tc>
          <w:tcPr>
            <w:tcW w:w="788" w:type="dxa"/>
            <w:tcBorders>
              <w:top w:val="single" w:sz="4" w:space="0" w:color="585858"/>
              <w:bottom w:val="single" w:sz="4" w:space="0" w:color="585858"/>
            </w:tcBorders>
          </w:tcPr>
          <w:p>
            <w:pPr>
              <w:pStyle w:val="TableParagraph"/>
              <w:spacing w:before="45"/>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752" w:val="left" w:leader="none"/>
              </w:tabs>
              <w:spacing w:before="45"/>
              <w:ind w:left="309"/>
              <w:rPr>
                <w:sz w:val="16"/>
              </w:rPr>
            </w:pPr>
            <w:r>
              <w:rPr>
                <w:sz w:val="16"/>
              </w:rPr>
              <w:t>0.8</w:t>
              <w:tab/>
              <w:t>!</w:t>
            </w:r>
          </w:p>
        </w:tc>
        <w:tc>
          <w:tcPr>
            <w:tcW w:w="686" w:type="dxa"/>
            <w:tcBorders>
              <w:top w:val="single" w:sz="4" w:space="0" w:color="585858"/>
              <w:bottom w:val="single" w:sz="4" w:space="0" w:color="585858"/>
            </w:tcBorders>
          </w:tcPr>
          <w:p>
            <w:pPr>
              <w:pStyle w:val="TableParagraph"/>
              <w:spacing w:before="45"/>
              <w:ind w:right="141"/>
              <w:jc w:val="right"/>
              <w:rPr>
                <w:sz w:val="16"/>
              </w:rPr>
            </w:pPr>
            <w:r>
              <w:rPr>
                <w:sz w:val="16"/>
              </w:rPr>
              <w:t>189</w:t>
            </w:r>
          </w:p>
        </w:tc>
        <w:tc>
          <w:tcPr>
            <w:tcW w:w="1279" w:type="dxa"/>
            <w:tcBorders>
              <w:top w:val="single" w:sz="4" w:space="0" w:color="585858"/>
              <w:bottom w:val="single" w:sz="4" w:space="0" w:color="585858"/>
            </w:tcBorders>
          </w:tcPr>
          <w:p>
            <w:pPr>
              <w:pStyle w:val="TableParagraph"/>
              <w:spacing w:before="45"/>
              <w:ind w:left="218"/>
              <w:rPr>
                <w:sz w:val="16"/>
              </w:rPr>
            </w:pPr>
            <w:r>
              <w:rPr>
                <w:sz w:val="16"/>
              </w:rPr>
              <w:t>12.8</w:t>
            </w:r>
          </w:p>
        </w:tc>
        <w:tc>
          <w:tcPr>
            <w:tcW w:w="737" w:type="dxa"/>
            <w:tcBorders>
              <w:top w:val="single" w:sz="4" w:space="0" w:color="585858"/>
              <w:bottom w:val="single" w:sz="4" w:space="0" w:color="585858"/>
            </w:tcBorders>
          </w:tcPr>
          <w:p>
            <w:pPr>
              <w:pStyle w:val="TableParagraph"/>
              <w:spacing w:before="45"/>
              <w:ind w:right="141"/>
              <w:jc w:val="right"/>
              <w:rPr>
                <w:sz w:val="16"/>
              </w:rPr>
            </w:pPr>
            <w:r>
              <w:rPr>
                <w:sz w:val="16"/>
              </w:rPr>
              <w:t>76</w:t>
            </w:r>
          </w:p>
        </w:tc>
        <w:tc>
          <w:tcPr>
            <w:tcW w:w="1311" w:type="dxa"/>
            <w:tcBorders>
              <w:top w:val="single" w:sz="4" w:space="0" w:color="585858"/>
              <w:bottom w:val="single" w:sz="4" w:space="0" w:color="585858"/>
            </w:tcBorders>
          </w:tcPr>
          <w:p>
            <w:pPr>
              <w:pStyle w:val="TableParagraph"/>
              <w:spacing w:before="45"/>
              <w:ind w:left="222"/>
              <w:rPr>
                <w:sz w:val="16"/>
              </w:rPr>
            </w:pPr>
            <w:r>
              <w:rPr>
                <w:sz w:val="16"/>
              </w:rPr>
              <w:t>11.1</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5"/>
              <w:ind w:left="307"/>
              <w:rPr>
                <w:sz w:val="16"/>
              </w:rPr>
            </w:pPr>
            <w:r>
              <w:rPr>
                <w:sz w:val="16"/>
              </w:rPr>
              <w:t>5.2</w:t>
              <w:tab/>
              <w:t>!</w:t>
            </w:r>
          </w:p>
        </w:tc>
      </w:tr>
      <w:tr>
        <w:trPr>
          <w:trHeight w:val="262" w:hRule="atLeast"/>
        </w:trPr>
        <w:tc>
          <w:tcPr>
            <w:tcW w:w="2976" w:type="dxa"/>
            <w:tcBorders>
              <w:top w:val="single" w:sz="4" w:space="0" w:color="585858"/>
              <w:bottom w:val="single" w:sz="4" w:space="0" w:color="585858"/>
            </w:tcBorders>
          </w:tcPr>
          <w:p>
            <w:pPr>
              <w:pStyle w:val="TableParagraph"/>
              <w:spacing w:before="41"/>
              <w:ind w:right="345"/>
              <w:jc w:val="right"/>
              <w:rPr>
                <w:sz w:val="16"/>
              </w:rPr>
            </w:pPr>
            <w:r>
              <w:rPr>
                <w:sz w:val="16"/>
              </w:rPr>
              <w:t>Associate degree (e.g., AA, AS)</w:t>
            </w:r>
          </w:p>
        </w:tc>
        <w:tc>
          <w:tcPr>
            <w:tcW w:w="619" w:type="dxa"/>
            <w:tcBorders>
              <w:top w:val="single" w:sz="4" w:space="0" w:color="585858"/>
              <w:bottom w:val="single" w:sz="4" w:space="0" w:color="585858"/>
            </w:tcBorders>
          </w:tcPr>
          <w:p>
            <w:pPr>
              <w:pStyle w:val="TableParagraph"/>
              <w:spacing w:before="41"/>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750" w:val="left" w:leader="none"/>
              </w:tabs>
              <w:spacing w:before="41"/>
              <w:ind w:left="311"/>
              <w:rPr>
                <w:sz w:val="16"/>
              </w:rPr>
            </w:pPr>
            <w:r>
              <w:rPr>
                <w:sz w:val="16"/>
              </w:rPr>
              <w:t>0.4</w:t>
              <w:tab/>
              <w:t>!</w:t>
            </w:r>
          </w:p>
        </w:tc>
        <w:tc>
          <w:tcPr>
            <w:tcW w:w="788" w:type="dxa"/>
            <w:tcBorders>
              <w:top w:val="single" w:sz="4" w:space="0" w:color="585858"/>
              <w:bottom w:val="single" w:sz="4" w:space="0" w:color="585858"/>
            </w:tcBorders>
          </w:tcPr>
          <w:p>
            <w:pPr>
              <w:pStyle w:val="TableParagraph"/>
              <w:spacing w:before="41"/>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752" w:val="left" w:leader="none"/>
              </w:tabs>
              <w:spacing w:before="41"/>
              <w:ind w:left="309"/>
              <w:rPr>
                <w:sz w:val="16"/>
              </w:rPr>
            </w:pPr>
            <w:r>
              <w:rPr>
                <w:sz w:val="16"/>
              </w:rPr>
              <w:t>0.3</w:t>
              <w:tab/>
              <w:t>!</w:t>
            </w:r>
          </w:p>
        </w:tc>
        <w:tc>
          <w:tcPr>
            <w:tcW w:w="686" w:type="dxa"/>
            <w:tcBorders>
              <w:top w:val="single" w:sz="4" w:space="0" w:color="585858"/>
              <w:bottom w:val="single" w:sz="4" w:space="0" w:color="585858"/>
            </w:tcBorders>
          </w:tcPr>
          <w:p>
            <w:pPr>
              <w:pStyle w:val="TableParagraph"/>
              <w:spacing w:before="41"/>
              <w:ind w:right="141"/>
              <w:jc w:val="right"/>
              <w:rPr>
                <w:sz w:val="16"/>
              </w:rPr>
            </w:pPr>
            <w:r>
              <w:rPr>
                <w:sz w:val="16"/>
              </w:rPr>
              <w:t>131</w:t>
            </w:r>
          </w:p>
        </w:tc>
        <w:tc>
          <w:tcPr>
            <w:tcW w:w="1279" w:type="dxa"/>
            <w:tcBorders>
              <w:top w:val="single" w:sz="4" w:space="0" w:color="585858"/>
              <w:bottom w:val="single" w:sz="4" w:space="0" w:color="585858"/>
            </w:tcBorders>
          </w:tcPr>
          <w:p>
            <w:pPr>
              <w:pStyle w:val="TableParagraph"/>
              <w:spacing w:before="41"/>
              <w:ind w:left="306"/>
              <w:rPr>
                <w:sz w:val="16"/>
              </w:rPr>
            </w:pPr>
            <w:r>
              <w:rPr>
                <w:sz w:val="16"/>
              </w:rPr>
              <w:t>8.9</w:t>
            </w:r>
          </w:p>
        </w:tc>
        <w:tc>
          <w:tcPr>
            <w:tcW w:w="737" w:type="dxa"/>
            <w:tcBorders>
              <w:top w:val="single" w:sz="4" w:space="0" w:color="585858"/>
              <w:bottom w:val="single" w:sz="4" w:space="0" w:color="585858"/>
            </w:tcBorders>
          </w:tcPr>
          <w:p>
            <w:pPr>
              <w:pStyle w:val="TableParagraph"/>
              <w:spacing w:before="41"/>
              <w:ind w:right="141"/>
              <w:jc w:val="right"/>
              <w:rPr>
                <w:sz w:val="16"/>
              </w:rPr>
            </w:pPr>
            <w:r>
              <w:rPr>
                <w:sz w:val="16"/>
              </w:rPr>
              <w:t>55</w:t>
            </w:r>
          </w:p>
        </w:tc>
        <w:tc>
          <w:tcPr>
            <w:tcW w:w="1311" w:type="dxa"/>
            <w:tcBorders>
              <w:top w:val="single" w:sz="4" w:space="0" w:color="585858"/>
              <w:bottom w:val="single" w:sz="4" w:space="0" w:color="585858"/>
            </w:tcBorders>
          </w:tcPr>
          <w:p>
            <w:pPr>
              <w:pStyle w:val="TableParagraph"/>
              <w:spacing w:before="41"/>
              <w:ind w:left="310"/>
              <w:rPr>
                <w:sz w:val="16"/>
              </w:rPr>
            </w:pPr>
            <w:r>
              <w:rPr>
                <w:sz w:val="16"/>
              </w:rPr>
              <w:t>8.0</w:t>
            </w:r>
          </w:p>
        </w:tc>
        <w:tc>
          <w:tcPr>
            <w:tcW w:w="704" w:type="dxa"/>
            <w:tcBorders>
              <w:top w:val="single" w:sz="4" w:space="0" w:color="585858"/>
              <w:bottom w:val="single" w:sz="4" w:space="0" w:color="585858"/>
            </w:tcBorders>
          </w:tcPr>
          <w:p>
            <w:pPr>
              <w:pStyle w:val="TableParagraph"/>
              <w:spacing w:before="41"/>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1"/>
              <w:ind w:left="307"/>
              <w:rPr>
                <w:sz w:val="16"/>
              </w:rPr>
            </w:pPr>
            <w:r>
              <w:rPr>
                <w:sz w:val="16"/>
              </w:rPr>
              <w:t>4.1</w:t>
              <w:tab/>
              <w:t>!</w:t>
            </w:r>
          </w:p>
        </w:tc>
      </w:tr>
      <w:tr>
        <w:trPr>
          <w:trHeight w:val="266" w:hRule="atLeast"/>
        </w:trPr>
        <w:tc>
          <w:tcPr>
            <w:tcW w:w="2976" w:type="dxa"/>
            <w:tcBorders>
              <w:top w:val="single" w:sz="4" w:space="0" w:color="585858"/>
              <w:bottom w:val="single" w:sz="4" w:space="0" w:color="585858"/>
            </w:tcBorders>
          </w:tcPr>
          <w:p>
            <w:pPr>
              <w:pStyle w:val="TableParagraph"/>
              <w:spacing w:before="45"/>
              <w:ind w:right="294"/>
              <w:jc w:val="right"/>
              <w:rPr>
                <w:sz w:val="16"/>
              </w:rPr>
            </w:pPr>
            <w:r>
              <w:rPr>
                <w:sz w:val="16"/>
              </w:rPr>
              <w:t>Bachelor's degree (e.g., BA, BS)</w:t>
            </w:r>
          </w:p>
        </w:tc>
        <w:tc>
          <w:tcPr>
            <w:tcW w:w="619" w:type="dxa"/>
            <w:tcBorders>
              <w:top w:val="single" w:sz="4" w:space="0" w:color="585858"/>
              <w:bottom w:val="single" w:sz="4" w:space="0" w:color="585858"/>
            </w:tcBorders>
          </w:tcPr>
          <w:p>
            <w:pPr>
              <w:pStyle w:val="TableParagraph"/>
              <w:spacing w:before="45"/>
              <w:ind w:right="136"/>
              <w:jc w:val="right"/>
              <w:rPr>
                <w:sz w:val="16"/>
              </w:rPr>
            </w:pPr>
            <w:r>
              <w:rPr>
                <w:sz w:val="16"/>
              </w:rPr>
              <w:t>35</w:t>
            </w:r>
          </w:p>
        </w:tc>
        <w:tc>
          <w:tcPr>
            <w:tcW w:w="1230" w:type="dxa"/>
            <w:tcBorders>
              <w:top w:val="single" w:sz="4" w:space="0" w:color="585858"/>
              <w:bottom w:val="single" w:sz="4" w:space="0" w:color="585858"/>
            </w:tcBorders>
          </w:tcPr>
          <w:p>
            <w:pPr>
              <w:pStyle w:val="TableParagraph"/>
              <w:spacing w:before="45"/>
              <w:ind w:left="311"/>
              <w:rPr>
                <w:sz w:val="16"/>
              </w:rPr>
            </w:pPr>
            <w:r>
              <w:rPr>
                <w:sz w:val="16"/>
              </w:rPr>
              <w:t>4.4</w:t>
            </w:r>
          </w:p>
        </w:tc>
        <w:tc>
          <w:tcPr>
            <w:tcW w:w="788" w:type="dxa"/>
            <w:tcBorders>
              <w:top w:val="single" w:sz="4" w:space="0" w:color="585858"/>
              <w:bottom w:val="single" w:sz="4" w:space="0" w:color="585858"/>
            </w:tcBorders>
          </w:tcPr>
          <w:p>
            <w:pPr>
              <w:pStyle w:val="TableParagraph"/>
              <w:spacing w:before="45"/>
              <w:ind w:right="138"/>
              <w:jc w:val="right"/>
              <w:rPr>
                <w:sz w:val="16"/>
              </w:rPr>
            </w:pPr>
            <w:r>
              <w:rPr>
                <w:sz w:val="16"/>
              </w:rPr>
              <w:t>18</w:t>
            </w:r>
          </w:p>
        </w:tc>
        <w:tc>
          <w:tcPr>
            <w:tcW w:w="1333" w:type="dxa"/>
            <w:tcBorders>
              <w:top w:val="single" w:sz="4" w:space="0" w:color="585858"/>
              <w:bottom w:val="single" w:sz="4" w:space="0" w:color="585858"/>
            </w:tcBorders>
          </w:tcPr>
          <w:p>
            <w:pPr>
              <w:pStyle w:val="TableParagraph"/>
              <w:spacing w:before="45"/>
              <w:ind w:left="309"/>
              <w:rPr>
                <w:sz w:val="16"/>
              </w:rPr>
            </w:pPr>
            <w:r>
              <w:rPr>
                <w:sz w:val="16"/>
              </w:rPr>
              <w:t>2.8</w:t>
            </w:r>
          </w:p>
        </w:tc>
        <w:tc>
          <w:tcPr>
            <w:tcW w:w="686" w:type="dxa"/>
            <w:tcBorders>
              <w:top w:val="single" w:sz="4" w:space="0" w:color="585858"/>
              <w:bottom w:val="single" w:sz="4" w:space="0" w:color="585858"/>
            </w:tcBorders>
          </w:tcPr>
          <w:p>
            <w:pPr>
              <w:pStyle w:val="TableParagraph"/>
              <w:spacing w:before="45"/>
              <w:ind w:right="141"/>
              <w:jc w:val="right"/>
              <w:rPr>
                <w:sz w:val="16"/>
              </w:rPr>
            </w:pPr>
            <w:r>
              <w:rPr>
                <w:sz w:val="16"/>
              </w:rPr>
              <w:t>625</w:t>
            </w:r>
          </w:p>
        </w:tc>
        <w:tc>
          <w:tcPr>
            <w:tcW w:w="1279" w:type="dxa"/>
            <w:tcBorders>
              <w:top w:val="single" w:sz="4" w:space="0" w:color="585858"/>
              <w:bottom w:val="single" w:sz="4" w:space="0" w:color="585858"/>
            </w:tcBorders>
          </w:tcPr>
          <w:p>
            <w:pPr>
              <w:pStyle w:val="TableParagraph"/>
              <w:spacing w:before="45"/>
              <w:ind w:left="218"/>
              <w:rPr>
                <w:sz w:val="16"/>
              </w:rPr>
            </w:pPr>
            <w:r>
              <w:rPr>
                <w:sz w:val="16"/>
              </w:rPr>
              <w:t>42.4</w:t>
            </w:r>
          </w:p>
        </w:tc>
        <w:tc>
          <w:tcPr>
            <w:tcW w:w="737" w:type="dxa"/>
            <w:tcBorders>
              <w:top w:val="single" w:sz="4" w:space="0" w:color="585858"/>
              <w:bottom w:val="single" w:sz="4" w:space="0" w:color="585858"/>
            </w:tcBorders>
          </w:tcPr>
          <w:p>
            <w:pPr>
              <w:pStyle w:val="TableParagraph"/>
              <w:spacing w:before="45"/>
              <w:ind w:right="145"/>
              <w:jc w:val="right"/>
              <w:rPr>
                <w:sz w:val="16"/>
              </w:rPr>
            </w:pPr>
            <w:r>
              <w:rPr>
                <w:sz w:val="16"/>
              </w:rPr>
              <w:t>274</w:t>
            </w:r>
          </w:p>
        </w:tc>
        <w:tc>
          <w:tcPr>
            <w:tcW w:w="1311" w:type="dxa"/>
            <w:tcBorders>
              <w:top w:val="single" w:sz="4" w:space="0" w:color="585858"/>
              <w:bottom w:val="single" w:sz="4" w:space="0" w:color="585858"/>
            </w:tcBorders>
          </w:tcPr>
          <w:p>
            <w:pPr>
              <w:pStyle w:val="TableParagraph"/>
              <w:spacing w:before="45"/>
              <w:ind w:left="222"/>
              <w:rPr>
                <w:sz w:val="16"/>
              </w:rPr>
            </w:pPr>
            <w:r>
              <w:rPr>
                <w:sz w:val="16"/>
              </w:rPr>
              <w:t>39.9</w:t>
            </w:r>
          </w:p>
        </w:tc>
        <w:tc>
          <w:tcPr>
            <w:tcW w:w="704" w:type="dxa"/>
            <w:tcBorders>
              <w:top w:val="single" w:sz="4" w:space="0" w:color="585858"/>
              <w:bottom w:val="single" w:sz="4" w:space="0" w:color="585858"/>
            </w:tcBorders>
          </w:tcPr>
          <w:p>
            <w:pPr>
              <w:pStyle w:val="TableParagraph"/>
              <w:spacing w:before="45"/>
              <w:ind w:right="140"/>
              <w:jc w:val="right"/>
              <w:rPr>
                <w:sz w:val="16"/>
              </w:rPr>
            </w:pPr>
            <w:r>
              <w:rPr>
                <w:sz w:val="16"/>
              </w:rPr>
              <w:t>27</w:t>
            </w:r>
          </w:p>
        </w:tc>
        <w:tc>
          <w:tcPr>
            <w:tcW w:w="1309" w:type="dxa"/>
            <w:tcBorders>
              <w:top w:val="single" w:sz="4" w:space="0" w:color="585858"/>
              <w:bottom w:val="single" w:sz="4" w:space="0" w:color="585858"/>
            </w:tcBorders>
          </w:tcPr>
          <w:p>
            <w:pPr>
              <w:pStyle w:val="TableParagraph"/>
              <w:spacing w:before="45"/>
              <w:ind w:left="219"/>
              <w:rPr>
                <w:sz w:val="16"/>
              </w:rPr>
            </w:pPr>
            <w:r>
              <w:rPr>
                <w:sz w:val="16"/>
              </w:rPr>
              <w:t>27.8</w:t>
            </w:r>
          </w:p>
        </w:tc>
      </w:tr>
      <w:tr>
        <w:trPr>
          <w:trHeight w:val="446" w:hRule="atLeast"/>
        </w:trPr>
        <w:tc>
          <w:tcPr>
            <w:tcW w:w="2976" w:type="dxa"/>
            <w:tcBorders>
              <w:top w:val="single" w:sz="4" w:space="0" w:color="585858"/>
              <w:bottom w:val="single" w:sz="4" w:space="0" w:color="585858"/>
            </w:tcBorders>
          </w:tcPr>
          <w:p>
            <w:pPr>
              <w:pStyle w:val="TableParagraph"/>
              <w:spacing w:before="41"/>
              <w:ind w:left="370" w:right="215"/>
              <w:rPr>
                <w:sz w:val="16"/>
              </w:rPr>
            </w:pPr>
            <w:r>
              <w:rPr>
                <w:sz w:val="16"/>
              </w:rPr>
              <w:t>Master's degree (e.g., MA, MS, MEd)</w:t>
            </w:r>
          </w:p>
        </w:tc>
        <w:tc>
          <w:tcPr>
            <w:tcW w:w="619" w:type="dxa"/>
            <w:tcBorders>
              <w:top w:val="single" w:sz="4" w:space="0" w:color="585858"/>
              <w:bottom w:val="single" w:sz="4" w:space="0" w:color="585858"/>
            </w:tcBorders>
          </w:tcPr>
          <w:p>
            <w:pPr>
              <w:pStyle w:val="TableParagraph"/>
              <w:spacing w:before="41"/>
              <w:ind w:right="140"/>
              <w:jc w:val="right"/>
              <w:rPr>
                <w:sz w:val="16"/>
              </w:rPr>
            </w:pPr>
            <w:r>
              <w:rPr>
                <w:sz w:val="16"/>
              </w:rPr>
              <w:t>210</w:t>
            </w:r>
          </w:p>
        </w:tc>
        <w:tc>
          <w:tcPr>
            <w:tcW w:w="1230" w:type="dxa"/>
            <w:tcBorders>
              <w:top w:val="single" w:sz="4" w:space="0" w:color="585858"/>
              <w:bottom w:val="single" w:sz="4" w:space="0" w:color="585858"/>
            </w:tcBorders>
          </w:tcPr>
          <w:p>
            <w:pPr>
              <w:pStyle w:val="TableParagraph"/>
              <w:spacing w:before="41"/>
              <w:ind w:left="223"/>
              <w:rPr>
                <w:sz w:val="16"/>
              </w:rPr>
            </w:pPr>
            <w:r>
              <w:rPr>
                <w:sz w:val="16"/>
              </w:rPr>
              <w:t>26.2</w:t>
            </w:r>
          </w:p>
        </w:tc>
        <w:tc>
          <w:tcPr>
            <w:tcW w:w="788" w:type="dxa"/>
            <w:tcBorders>
              <w:top w:val="single" w:sz="4" w:space="0" w:color="585858"/>
              <w:bottom w:val="single" w:sz="4" w:space="0" w:color="585858"/>
            </w:tcBorders>
          </w:tcPr>
          <w:p>
            <w:pPr>
              <w:pStyle w:val="TableParagraph"/>
              <w:spacing w:before="41"/>
              <w:ind w:right="142"/>
              <w:jc w:val="right"/>
              <w:rPr>
                <w:sz w:val="16"/>
              </w:rPr>
            </w:pPr>
            <w:r>
              <w:rPr>
                <w:sz w:val="16"/>
              </w:rPr>
              <w:t>107</w:t>
            </w:r>
          </w:p>
        </w:tc>
        <w:tc>
          <w:tcPr>
            <w:tcW w:w="1333" w:type="dxa"/>
            <w:tcBorders>
              <w:top w:val="single" w:sz="4" w:space="0" w:color="585858"/>
              <w:bottom w:val="single" w:sz="4" w:space="0" w:color="585858"/>
            </w:tcBorders>
          </w:tcPr>
          <w:p>
            <w:pPr>
              <w:pStyle w:val="TableParagraph"/>
              <w:spacing w:before="41"/>
              <w:ind w:left="221"/>
              <w:rPr>
                <w:sz w:val="16"/>
              </w:rPr>
            </w:pPr>
            <w:r>
              <w:rPr>
                <w:sz w:val="16"/>
              </w:rPr>
              <w:t>16.8</w:t>
            </w:r>
          </w:p>
        </w:tc>
        <w:tc>
          <w:tcPr>
            <w:tcW w:w="686" w:type="dxa"/>
            <w:tcBorders>
              <w:top w:val="single" w:sz="4" w:space="0" w:color="585858"/>
              <w:bottom w:val="single" w:sz="4" w:space="0" w:color="585858"/>
            </w:tcBorders>
          </w:tcPr>
          <w:p>
            <w:pPr>
              <w:pStyle w:val="TableParagraph"/>
              <w:spacing w:before="41"/>
              <w:ind w:right="141"/>
              <w:jc w:val="right"/>
              <w:rPr>
                <w:sz w:val="16"/>
              </w:rPr>
            </w:pPr>
            <w:r>
              <w:rPr>
                <w:sz w:val="16"/>
              </w:rPr>
              <w:t>386</w:t>
            </w:r>
          </w:p>
        </w:tc>
        <w:tc>
          <w:tcPr>
            <w:tcW w:w="1279" w:type="dxa"/>
            <w:tcBorders>
              <w:top w:val="single" w:sz="4" w:space="0" w:color="585858"/>
              <w:bottom w:val="single" w:sz="4" w:space="0" w:color="585858"/>
            </w:tcBorders>
          </w:tcPr>
          <w:p>
            <w:pPr>
              <w:pStyle w:val="TableParagraph"/>
              <w:spacing w:before="41"/>
              <w:ind w:left="218"/>
              <w:rPr>
                <w:sz w:val="16"/>
              </w:rPr>
            </w:pPr>
            <w:r>
              <w:rPr>
                <w:sz w:val="16"/>
              </w:rPr>
              <w:t>26.2</w:t>
            </w:r>
          </w:p>
        </w:tc>
        <w:tc>
          <w:tcPr>
            <w:tcW w:w="737" w:type="dxa"/>
            <w:tcBorders>
              <w:top w:val="single" w:sz="4" w:space="0" w:color="585858"/>
              <w:bottom w:val="single" w:sz="4" w:space="0" w:color="585858"/>
            </w:tcBorders>
          </w:tcPr>
          <w:p>
            <w:pPr>
              <w:pStyle w:val="TableParagraph"/>
              <w:spacing w:before="41"/>
              <w:ind w:right="145"/>
              <w:jc w:val="right"/>
              <w:rPr>
                <w:sz w:val="16"/>
              </w:rPr>
            </w:pPr>
            <w:r>
              <w:rPr>
                <w:sz w:val="16"/>
              </w:rPr>
              <w:t>171</w:t>
            </w:r>
          </w:p>
        </w:tc>
        <w:tc>
          <w:tcPr>
            <w:tcW w:w="1311" w:type="dxa"/>
            <w:tcBorders>
              <w:top w:val="single" w:sz="4" w:space="0" w:color="585858"/>
              <w:bottom w:val="single" w:sz="4" w:space="0" w:color="585858"/>
            </w:tcBorders>
          </w:tcPr>
          <w:p>
            <w:pPr>
              <w:pStyle w:val="TableParagraph"/>
              <w:spacing w:before="41"/>
              <w:ind w:left="222"/>
              <w:rPr>
                <w:sz w:val="16"/>
              </w:rPr>
            </w:pPr>
            <w:r>
              <w:rPr>
                <w:sz w:val="16"/>
              </w:rPr>
              <w:t>24.9</w:t>
            </w:r>
          </w:p>
        </w:tc>
        <w:tc>
          <w:tcPr>
            <w:tcW w:w="704" w:type="dxa"/>
            <w:tcBorders>
              <w:top w:val="single" w:sz="4" w:space="0" w:color="585858"/>
              <w:bottom w:val="single" w:sz="4" w:space="0" w:color="585858"/>
            </w:tcBorders>
          </w:tcPr>
          <w:p>
            <w:pPr>
              <w:pStyle w:val="TableParagraph"/>
              <w:spacing w:before="41"/>
              <w:ind w:right="140"/>
              <w:jc w:val="right"/>
              <w:rPr>
                <w:sz w:val="16"/>
              </w:rPr>
            </w:pPr>
            <w:r>
              <w:rPr>
                <w:sz w:val="16"/>
              </w:rPr>
              <w:t>25</w:t>
            </w:r>
          </w:p>
        </w:tc>
        <w:tc>
          <w:tcPr>
            <w:tcW w:w="1309" w:type="dxa"/>
            <w:tcBorders>
              <w:top w:val="single" w:sz="4" w:space="0" w:color="585858"/>
              <w:bottom w:val="single" w:sz="4" w:space="0" w:color="585858"/>
            </w:tcBorders>
          </w:tcPr>
          <w:p>
            <w:pPr>
              <w:pStyle w:val="TableParagraph"/>
              <w:spacing w:before="41"/>
              <w:ind w:left="219"/>
              <w:rPr>
                <w:sz w:val="16"/>
              </w:rPr>
            </w:pPr>
            <w:r>
              <w:rPr>
                <w:sz w:val="16"/>
              </w:rPr>
              <w:t>25.8</w:t>
            </w:r>
          </w:p>
        </w:tc>
      </w:tr>
      <w:tr>
        <w:trPr>
          <w:trHeight w:val="450"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Professional school degree (e.g., MD, JD, DDS)</w:t>
            </w:r>
          </w:p>
        </w:tc>
        <w:tc>
          <w:tcPr>
            <w:tcW w:w="619" w:type="dxa"/>
            <w:tcBorders>
              <w:top w:val="single" w:sz="4" w:space="0" w:color="585858"/>
              <w:bottom w:val="single" w:sz="4" w:space="0" w:color="585858"/>
            </w:tcBorders>
          </w:tcPr>
          <w:p>
            <w:pPr>
              <w:pStyle w:val="TableParagraph"/>
              <w:spacing w:before="45"/>
              <w:ind w:right="136"/>
              <w:jc w:val="right"/>
              <w:rPr>
                <w:sz w:val="16"/>
              </w:rPr>
            </w:pPr>
            <w:r>
              <w:rPr>
                <w:sz w:val="16"/>
              </w:rPr>
              <w:t>79</w:t>
            </w:r>
          </w:p>
        </w:tc>
        <w:tc>
          <w:tcPr>
            <w:tcW w:w="1230" w:type="dxa"/>
            <w:tcBorders>
              <w:top w:val="single" w:sz="4" w:space="0" w:color="585858"/>
              <w:bottom w:val="single" w:sz="4" w:space="0" w:color="585858"/>
            </w:tcBorders>
          </w:tcPr>
          <w:p>
            <w:pPr>
              <w:pStyle w:val="TableParagraph"/>
              <w:spacing w:before="45"/>
              <w:ind w:left="311"/>
              <w:rPr>
                <w:sz w:val="16"/>
              </w:rPr>
            </w:pPr>
            <w:r>
              <w:rPr>
                <w:sz w:val="16"/>
              </w:rPr>
              <w:t>9.9</w:t>
            </w:r>
          </w:p>
        </w:tc>
        <w:tc>
          <w:tcPr>
            <w:tcW w:w="788" w:type="dxa"/>
            <w:tcBorders>
              <w:top w:val="single" w:sz="4" w:space="0" w:color="585858"/>
              <w:bottom w:val="single" w:sz="4" w:space="0" w:color="585858"/>
            </w:tcBorders>
          </w:tcPr>
          <w:p>
            <w:pPr>
              <w:pStyle w:val="TableParagraph"/>
              <w:spacing w:before="45"/>
              <w:ind w:right="138"/>
              <w:jc w:val="right"/>
              <w:rPr>
                <w:sz w:val="16"/>
              </w:rPr>
            </w:pPr>
            <w:r>
              <w:rPr>
                <w:sz w:val="16"/>
              </w:rPr>
              <w:t>53</w:t>
            </w:r>
          </w:p>
        </w:tc>
        <w:tc>
          <w:tcPr>
            <w:tcW w:w="1333" w:type="dxa"/>
            <w:tcBorders>
              <w:top w:val="single" w:sz="4" w:space="0" w:color="585858"/>
              <w:bottom w:val="single" w:sz="4" w:space="0" w:color="585858"/>
            </w:tcBorders>
          </w:tcPr>
          <w:p>
            <w:pPr>
              <w:pStyle w:val="TableParagraph"/>
              <w:spacing w:before="45"/>
              <w:ind w:left="309"/>
              <w:rPr>
                <w:sz w:val="16"/>
              </w:rPr>
            </w:pPr>
            <w:r>
              <w:rPr>
                <w:sz w:val="16"/>
              </w:rPr>
              <w:t>8.3</w:t>
            </w:r>
          </w:p>
        </w:tc>
        <w:tc>
          <w:tcPr>
            <w:tcW w:w="686" w:type="dxa"/>
            <w:tcBorders>
              <w:top w:val="single" w:sz="4" w:space="0" w:color="585858"/>
              <w:bottom w:val="single" w:sz="4" w:space="0" w:color="585858"/>
            </w:tcBorders>
          </w:tcPr>
          <w:p>
            <w:pPr>
              <w:pStyle w:val="TableParagraph"/>
              <w:spacing w:before="45"/>
              <w:ind w:right="137"/>
              <w:jc w:val="right"/>
              <w:rPr>
                <w:sz w:val="16"/>
              </w:rPr>
            </w:pPr>
            <w:r>
              <w:rPr>
                <w:sz w:val="16"/>
              </w:rPr>
              <w:t>23</w:t>
            </w:r>
          </w:p>
        </w:tc>
        <w:tc>
          <w:tcPr>
            <w:tcW w:w="1279" w:type="dxa"/>
            <w:tcBorders>
              <w:top w:val="single" w:sz="4" w:space="0" w:color="585858"/>
              <w:bottom w:val="single" w:sz="4" w:space="0" w:color="585858"/>
            </w:tcBorders>
          </w:tcPr>
          <w:p>
            <w:pPr>
              <w:pStyle w:val="TableParagraph"/>
              <w:spacing w:before="45"/>
              <w:ind w:left="306"/>
              <w:rPr>
                <w:sz w:val="16"/>
              </w:rPr>
            </w:pPr>
            <w:r>
              <w:rPr>
                <w:sz w:val="16"/>
              </w:rPr>
              <w:t>1.6</w:t>
            </w:r>
          </w:p>
        </w:tc>
        <w:tc>
          <w:tcPr>
            <w:tcW w:w="737" w:type="dxa"/>
            <w:tcBorders>
              <w:top w:val="single" w:sz="4" w:space="0" w:color="585858"/>
              <w:bottom w:val="single" w:sz="4" w:space="0" w:color="585858"/>
            </w:tcBorders>
          </w:tcPr>
          <w:p>
            <w:pPr>
              <w:pStyle w:val="TableParagraph"/>
              <w:spacing w:before="45"/>
              <w:ind w:right="141"/>
              <w:jc w:val="right"/>
              <w:rPr>
                <w:sz w:val="16"/>
              </w:rPr>
            </w:pPr>
            <w:r>
              <w:rPr>
                <w:sz w:val="16"/>
              </w:rPr>
              <w:t>19</w:t>
            </w:r>
          </w:p>
        </w:tc>
        <w:tc>
          <w:tcPr>
            <w:tcW w:w="1311" w:type="dxa"/>
            <w:tcBorders>
              <w:top w:val="single" w:sz="4" w:space="0" w:color="585858"/>
              <w:bottom w:val="single" w:sz="4" w:space="0" w:color="585858"/>
            </w:tcBorders>
          </w:tcPr>
          <w:p>
            <w:pPr>
              <w:pStyle w:val="TableParagraph"/>
              <w:spacing w:before="45"/>
              <w:ind w:left="310"/>
              <w:rPr>
                <w:sz w:val="16"/>
              </w:rPr>
            </w:pPr>
            <w:r>
              <w:rPr>
                <w:sz w:val="16"/>
              </w:rPr>
              <w:t>2.8</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5"/>
              <w:ind w:left="307"/>
              <w:rPr>
                <w:sz w:val="16"/>
              </w:rPr>
            </w:pPr>
            <w:r>
              <w:rPr>
                <w:sz w:val="16"/>
              </w:rPr>
              <w:t>4.1</w:t>
              <w:tab/>
              <w:t>!</w:t>
            </w:r>
          </w:p>
        </w:tc>
      </w:tr>
      <w:tr>
        <w:trPr>
          <w:trHeight w:val="446" w:hRule="atLeast"/>
        </w:trPr>
        <w:tc>
          <w:tcPr>
            <w:tcW w:w="2976" w:type="dxa"/>
            <w:tcBorders>
              <w:top w:val="single" w:sz="4" w:space="0" w:color="585858"/>
              <w:bottom w:val="single" w:sz="4" w:space="0" w:color="585858"/>
            </w:tcBorders>
          </w:tcPr>
          <w:p>
            <w:pPr>
              <w:pStyle w:val="TableParagraph"/>
              <w:spacing w:before="41"/>
              <w:ind w:left="370" w:right="215"/>
              <w:rPr>
                <w:sz w:val="16"/>
              </w:rPr>
            </w:pPr>
            <w:r>
              <w:rPr>
                <w:sz w:val="16"/>
              </w:rPr>
              <w:t>Doctorate degree (e.g., PhD, EdD)</w:t>
            </w:r>
          </w:p>
        </w:tc>
        <w:tc>
          <w:tcPr>
            <w:tcW w:w="619" w:type="dxa"/>
            <w:tcBorders>
              <w:top w:val="single" w:sz="4" w:space="0" w:color="585858"/>
              <w:bottom w:val="single" w:sz="4" w:space="0" w:color="585858"/>
            </w:tcBorders>
          </w:tcPr>
          <w:p>
            <w:pPr>
              <w:pStyle w:val="TableParagraph"/>
              <w:spacing w:before="41"/>
              <w:ind w:right="140"/>
              <w:jc w:val="right"/>
              <w:rPr>
                <w:sz w:val="16"/>
              </w:rPr>
            </w:pPr>
            <w:r>
              <w:rPr>
                <w:sz w:val="16"/>
              </w:rPr>
              <w:t>463</w:t>
            </w:r>
          </w:p>
        </w:tc>
        <w:tc>
          <w:tcPr>
            <w:tcW w:w="1230" w:type="dxa"/>
            <w:tcBorders>
              <w:top w:val="single" w:sz="4" w:space="0" w:color="585858"/>
              <w:bottom w:val="single" w:sz="4" w:space="0" w:color="585858"/>
            </w:tcBorders>
          </w:tcPr>
          <w:p>
            <w:pPr>
              <w:pStyle w:val="TableParagraph"/>
              <w:spacing w:before="41"/>
              <w:ind w:left="223"/>
              <w:rPr>
                <w:sz w:val="16"/>
              </w:rPr>
            </w:pPr>
            <w:r>
              <w:rPr>
                <w:sz w:val="16"/>
              </w:rPr>
              <w:t>57.7</w:t>
            </w:r>
          </w:p>
        </w:tc>
        <w:tc>
          <w:tcPr>
            <w:tcW w:w="788" w:type="dxa"/>
            <w:tcBorders>
              <w:top w:val="single" w:sz="4" w:space="0" w:color="585858"/>
              <w:bottom w:val="single" w:sz="4" w:space="0" w:color="585858"/>
            </w:tcBorders>
          </w:tcPr>
          <w:p>
            <w:pPr>
              <w:pStyle w:val="TableParagraph"/>
              <w:spacing w:before="41"/>
              <w:ind w:right="142"/>
              <w:jc w:val="right"/>
              <w:rPr>
                <w:sz w:val="16"/>
              </w:rPr>
            </w:pPr>
            <w:r>
              <w:rPr>
                <w:sz w:val="16"/>
              </w:rPr>
              <w:t>449</w:t>
            </w:r>
          </w:p>
        </w:tc>
        <w:tc>
          <w:tcPr>
            <w:tcW w:w="1333" w:type="dxa"/>
            <w:tcBorders>
              <w:top w:val="single" w:sz="4" w:space="0" w:color="585858"/>
              <w:bottom w:val="single" w:sz="4" w:space="0" w:color="585858"/>
            </w:tcBorders>
          </w:tcPr>
          <w:p>
            <w:pPr>
              <w:pStyle w:val="TableParagraph"/>
              <w:spacing w:before="41"/>
              <w:ind w:left="221"/>
              <w:rPr>
                <w:sz w:val="16"/>
              </w:rPr>
            </w:pPr>
            <w:r>
              <w:rPr>
                <w:sz w:val="16"/>
              </w:rPr>
              <w:t>70.6</w:t>
            </w:r>
          </w:p>
        </w:tc>
        <w:tc>
          <w:tcPr>
            <w:tcW w:w="686" w:type="dxa"/>
            <w:tcBorders>
              <w:top w:val="single" w:sz="4" w:space="0" w:color="585858"/>
              <w:bottom w:val="single" w:sz="4" w:space="0" w:color="585858"/>
            </w:tcBorders>
          </w:tcPr>
          <w:p>
            <w:pPr>
              <w:pStyle w:val="TableParagraph"/>
              <w:spacing w:before="41"/>
              <w:ind w:right="137"/>
              <w:jc w:val="right"/>
              <w:rPr>
                <w:sz w:val="16"/>
              </w:rPr>
            </w:pPr>
            <w:r>
              <w:rPr>
                <w:sz w:val="16"/>
              </w:rPr>
              <w:t>63</w:t>
            </w:r>
          </w:p>
        </w:tc>
        <w:tc>
          <w:tcPr>
            <w:tcW w:w="1279" w:type="dxa"/>
            <w:tcBorders>
              <w:top w:val="single" w:sz="4" w:space="0" w:color="585858"/>
              <w:bottom w:val="single" w:sz="4" w:space="0" w:color="585858"/>
            </w:tcBorders>
          </w:tcPr>
          <w:p>
            <w:pPr>
              <w:pStyle w:val="TableParagraph"/>
              <w:spacing w:before="41"/>
              <w:ind w:left="306"/>
              <w:rPr>
                <w:sz w:val="16"/>
              </w:rPr>
            </w:pPr>
            <w:r>
              <w:rPr>
                <w:sz w:val="16"/>
              </w:rPr>
              <w:t>4.3</w:t>
            </w:r>
          </w:p>
        </w:tc>
        <w:tc>
          <w:tcPr>
            <w:tcW w:w="737" w:type="dxa"/>
            <w:tcBorders>
              <w:top w:val="single" w:sz="4" w:space="0" w:color="585858"/>
              <w:bottom w:val="single" w:sz="4" w:space="0" w:color="585858"/>
            </w:tcBorders>
          </w:tcPr>
          <w:p>
            <w:pPr>
              <w:pStyle w:val="TableParagraph"/>
              <w:spacing w:before="41"/>
              <w:ind w:right="141"/>
              <w:jc w:val="right"/>
              <w:rPr>
                <w:sz w:val="16"/>
              </w:rPr>
            </w:pPr>
            <w:r>
              <w:rPr>
                <w:sz w:val="16"/>
              </w:rPr>
              <w:t>66</w:t>
            </w:r>
          </w:p>
        </w:tc>
        <w:tc>
          <w:tcPr>
            <w:tcW w:w="1311" w:type="dxa"/>
            <w:tcBorders>
              <w:top w:val="single" w:sz="4" w:space="0" w:color="585858"/>
              <w:bottom w:val="single" w:sz="4" w:space="0" w:color="585858"/>
            </w:tcBorders>
          </w:tcPr>
          <w:p>
            <w:pPr>
              <w:pStyle w:val="TableParagraph"/>
              <w:spacing w:before="41"/>
              <w:ind w:left="310"/>
              <w:rPr>
                <w:sz w:val="16"/>
              </w:rPr>
            </w:pPr>
            <w:r>
              <w:rPr>
                <w:sz w:val="16"/>
              </w:rPr>
              <w:t>9.6</w:t>
            </w:r>
          </w:p>
        </w:tc>
        <w:tc>
          <w:tcPr>
            <w:tcW w:w="704" w:type="dxa"/>
            <w:tcBorders>
              <w:top w:val="single" w:sz="4" w:space="0" w:color="585858"/>
              <w:bottom w:val="single" w:sz="4" w:space="0" w:color="585858"/>
            </w:tcBorders>
          </w:tcPr>
          <w:p>
            <w:pPr>
              <w:pStyle w:val="TableParagraph"/>
              <w:spacing w:before="41"/>
              <w:ind w:right="140"/>
              <w:jc w:val="right"/>
              <w:rPr>
                <w:sz w:val="16"/>
              </w:rPr>
            </w:pPr>
            <w:r>
              <w:rPr>
                <w:sz w:val="16"/>
              </w:rPr>
              <w:t>30</w:t>
            </w:r>
          </w:p>
        </w:tc>
        <w:tc>
          <w:tcPr>
            <w:tcW w:w="1309" w:type="dxa"/>
            <w:tcBorders>
              <w:top w:val="single" w:sz="4" w:space="0" w:color="585858"/>
              <w:bottom w:val="single" w:sz="4" w:space="0" w:color="585858"/>
            </w:tcBorders>
          </w:tcPr>
          <w:p>
            <w:pPr>
              <w:pStyle w:val="TableParagraph"/>
              <w:spacing w:before="41"/>
              <w:ind w:left="219"/>
              <w:rPr>
                <w:sz w:val="16"/>
              </w:rPr>
            </w:pPr>
            <w:r>
              <w:rPr>
                <w:sz w:val="16"/>
              </w:rPr>
              <w:t>30.9</w:t>
            </w:r>
          </w:p>
        </w:tc>
      </w:tr>
      <w:tr>
        <w:trPr>
          <w:trHeight w:val="265" w:hRule="atLeast"/>
        </w:trPr>
        <w:tc>
          <w:tcPr>
            <w:tcW w:w="2976" w:type="dxa"/>
            <w:tcBorders>
              <w:top w:val="single" w:sz="4" w:space="0" w:color="585858"/>
              <w:bottom w:val="single" w:sz="4" w:space="0" w:color="585858"/>
            </w:tcBorders>
          </w:tcPr>
          <w:p>
            <w:pPr>
              <w:pStyle w:val="TableParagraph"/>
              <w:spacing w:before="45"/>
              <w:ind w:left="370"/>
              <w:rPr>
                <w:sz w:val="16"/>
              </w:rPr>
            </w:pPr>
            <w:r>
              <w:rPr>
                <w:sz w:val="16"/>
              </w:rPr>
              <w:t>Other</w:t>
            </w:r>
          </w:p>
        </w:tc>
        <w:tc>
          <w:tcPr>
            <w:tcW w:w="619" w:type="dxa"/>
            <w:tcBorders>
              <w:top w:val="single" w:sz="4" w:space="0" w:color="585858"/>
              <w:bottom w:val="single" w:sz="4" w:space="0" w:color="585858"/>
            </w:tcBorders>
          </w:tcPr>
          <w:p>
            <w:pPr>
              <w:pStyle w:val="TableParagraph"/>
              <w:spacing w:before="45"/>
              <w:ind w:right="137"/>
              <w:jc w:val="right"/>
              <w:rPr>
                <w:sz w:val="16"/>
              </w:rPr>
            </w:pPr>
            <w:r>
              <w:rPr>
                <w:sz w:val="16"/>
              </w:rPr>
              <w:t>&lt;10</w:t>
            </w:r>
          </w:p>
        </w:tc>
        <w:tc>
          <w:tcPr>
            <w:tcW w:w="1230" w:type="dxa"/>
            <w:tcBorders>
              <w:top w:val="single" w:sz="4" w:space="0" w:color="585858"/>
              <w:bottom w:val="single" w:sz="4" w:space="0" w:color="585858"/>
            </w:tcBorders>
          </w:tcPr>
          <w:p>
            <w:pPr>
              <w:pStyle w:val="TableParagraph"/>
              <w:tabs>
                <w:tab w:pos="750" w:val="left" w:leader="none"/>
              </w:tabs>
              <w:spacing w:before="45"/>
              <w:ind w:left="311"/>
              <w:rPr>
                <w:sz w:val="16"/>
              </w:rPr>
            </w:pPr>
            <w:r>
              <w:rPr>
                <w:sz w:val="16"/>
              </w:rPr>
              <w:t>0.2</w:t>
              <w:tab/>
              <w:t>!</w:t>
            </w:r>
          </w:p>
        </w:tc>
        <w:tc>
          <w:tcPr>
            <w:tcW w:w="788" w:type="dxa"/>
            <w:tcBorders>
              <w:top w:val="single" w:sz="4" w:space="0" w:color="585858"/>
              <w:bottom w:val="single" w:sz="4" w:space="0" w:color="585858"/>
            </w:tcBorders>
          </w:tcPr>
          <w:p>
            <w:pPr>
              <w:pStyle w:val="TableParagraph"/>
              <w:spacing w:before="45"/>
              <w:ind w:right="139"/>
              <w:jc w:val="right"/>
              <w:rPr>
                <w:sz w:val="16"/>
              </w:rPr>
            </w:pPr>
            <w:r>
              <w:rPr>
                <w:sz w:val="16"/>
              </w:rPr>
              <w:t>&lt;10</w:t>
            </w:r>
          </w:p>
        </w:tc>
        <w:tc>
          <w:tcPr>
            <w:tcW w:w="1333" w:type="dxa"/>
            <w:tcBorders>
              <w:top w:val="single" w:sz="4" w:space="0" w:color="585858"/>
              <w:bottom w:val="single" w:sz="4" w:space="0" w:color="585858"/>
            </w:tcBorders>
          </w:tcPr>
          <w:p>
            <w:pPr>
              <w:pStyle w:val="TableParagraph"/>
              <w:tabs>
                <w:tab w:pos="752" w:val="left" w:leader="none"/>
              </w:tabs>
              <w:spacing w:before="45"/>
              <w:ind w:left="309"/>
              <w:rPr>
                <w:sz w:val="16"/>
              </w:rPr>
            </w:pPr>
            <w:r>
              <w:rPr>
                <w:sz w:val="16"/>
              </w:rPr>
              <w:t>0.2</w:t>
              <w:tab/>
              <w:t>!</w:t>
            </w:r>
          </w:p>
        </w:tc>
        <w:tc>
          <w:tcPr>
            <w:tcW w:w="686" w:type="dxa"/>
            <w:tcBorders>
              <w:top w:val="single" w:sz="4" w:space="0" w:color="585858"/>
              <w:bottom w:val="single" w:sz="4" w:space="0" w:color="585858"/>
            </w:tcBorders>
          </w:tcPr>
          <w:p>
            <w:pPr>
              <w:pStyle w:val="TableParagraph"/>
              <w:spacing w:before="45"/>
              <w:ind w:right="138"/>
              <w:jc w:val="right"/>
              <w:rPr>
                <w:sz w:val="16"/>
              </w:rPr>
            </w:pPr>
            <w:r>
              <w:rPr>
                <w:sz w:val="16"/>
              </w:rPr>
              <w:t>&lt;10</w:t>
            </w:r>
          </w:p>
        </w:tc>
        <w:tc>
          <w:tcPr>
            <w:tcW w:w="1279" w:type="dxa"/>
            <w:tcBorders>
              <w:top w:val="single" w:sz="4" w:space="0" w:color="585858"/>
              <w:bottom w:val="single" w:sz="4" w:space="0" w:color="585858"/>
            </w:tcBorders>
          </w:tcPr>
          <w:p>
            <w:pPr>
              <w:pStyle w:val="TableParagraph"/>
              <w:tabs>
                <w:tab w:pos="745" w:val="left" w:leader="none"/>
              </w:tabs>
              <w:spacing w:before="45"/>
              <w:ind w:left="306"/>
              <w:rPr>
                <w:sz w:val="16"/>
              </w:rPr>
            </w:pPr>
            <w:r>
              <w:rPr>
                <w:sz w:val="16"/>
              </w:rPr>
              <w:t>0.1</w:t>
              <w:tab/>
              <w:t>!</w:t>
            </w:r>
          </w:p>
        </w:tc>
        <w:tc>
          <w:tcPr>
            <w:tcW w:w="737" w:type="dxa"/>
            <w:tcBorders>
              <w:top w:val="single" w:sz="4" w:space="0" w:color="585858"/>
              <w:bottom w:val="single" w:sz="4" w:space="0" w:color="585858"/>
            </w:tcBorders>
          </w:tcPr>
          <w:p>
            <w:pPr>
              <w:pStyle w:val="TableParagraph"/>
              <w:spacing w:before="45"/>
              <w:ind w:right="142"/>
              <w:jc w:val="right"/>
              <w:rPr>
                <w:sz w:val="16"/>
              </w:rPr>
            </w:pPr>
            <w:r>
              <w:rPr>
                <w:sz w:val="16"/>
              </w:rPr>
              <w:t>&lt;10</w:t>
            </w:r>
          </w:p>
        </w:tc>
        <w:tc>
          <w:tcPr>
            <w:tcW w:w="1311" w:type="dxa"/>
            <w:tcBorders>
              <w:top w:val="single" w:sz="4" w:space="0" w:color="585858"/>
              <w:bottom w:val="single" w:sz="4" w:space="0" w:color="585858"/>
            </w:tcBorders>
          </w:tcPr>
          <w:p>
            <w:pPr>
              <w:pStyle w:val="TableParagraph"/>
              <w:tabs>
                <w:tab w:pos="749" w:val="left" w:leader="none"/>
              </w:tabs>
              <w:spacing w:before="45"/>
              <w:ind w:left="310"/>
              <w:rPr>
                <w:sz w:val="16"/>
              </w:rPr>
            </w:pPr>
            <w:r>
              <w:rPr>
                <w:sz w:val="16"/>
              </w:rPr>
              <w:t>0.3</w:t>
              <w:tab/>
              <w:t>!</w:t>
            </w:r>
          </w:p>
        </w:tc>
        <w:tc>
          <w:tcPr>
            <w:tcW w:w="704" w:type="dxa"/>
            <w:tcBorders>
              <w:top w:val="single" w:sz="4" w:space="0" w:color="585858"/>
              <w:bottom w:val="single" w:sz="4" w:space="0" w:color="585858"/>
            </w:tcBorders>
          </w:tcPr>
          <w:p>
            <w:pPr>
              <w:pStyle w:val="TableParagraph"/>
              <w:spacing w:before="45"/>
              <w:ind w:right="141"/>
              <w:jc w:val="right"/>
              <w:rPr>
                <w:sz w:val="16"/>
              </w:rPr>
            </w:pPr>
            <w:r>
              <w:rPr>
                <w:sz w:val="16"/>
              </w:rPr>
              <w:t>&lt;10</w:t>
            </w:r>
          </w:p>
        </w:tc>
        <w:tc>
          <w:tcPr>
            <w:tcW w:w="1309" w:type="dxa"/>
            <w:tcBorders>
              <w:top w:val="single" w:sz="4" w:space="0" w:color="585858"/>
              <w:bottom w:val="single" w:sz="4" w:space="0" w:color="585858"/>
            </w:tcBorders>
          </w:tcPr>
          <w:p>
            <w:pPr>
              <w:pStyle w:val="TableParagraph"/>
              <w:tabs>
                <w:tab w:pos="746" w:val="left" w:leader="none"/>
              </w:tabs>
              <w:spacing w:before="45"/>
              <w:ind w:left="307"/>
              <w:rPr>
                <w:sz w:val="16"/>
              </w:rPr>
            </w:pPr>
            <w:r>
              <w:rPr>
                <w:sz w:val="16"/>
              </w:rPr>
              <w:t>0.0</w:t>
              <w:tab/>
              <w:t>!</w:t>
            </w:r>
          </w:p>
        </w:tc>
      </w:tr>
    </w:tbl>
    <w:p>
      <w:pPr>
        <w:spacing w:before="0"/>
        <w:ind w:left="0" w:right="214" w:firstLine="0"/>
        <w:jc w:val="right"/>
        <w:rPr>
          <w:sz w:val="18"/>
        </w:rPr>
      </w:pPr>
      <w:r>
        <w:rPr>
          <w:sz w:val="18"/>
        </w:rPr>
        <w:t>(continued)</w:t>
      </w:r>
    </w:p>
    <w:p>
      <w:pPr>
        <w:spacing w:after="0"/>
        <w:jc w:val="right"/>
        <w:rPr>
          <w:sz w:val="18"/>
        </w:rPr>
        <w:sectPr>
          <w:headerReference w:type="default" r:id="rId41"/>
          <w:footerReference w:type="default" r:id="rId42"/>
          <w:pgSz w:w="15840" w:h="12240" w:orient="landscape"/>
          <w:pgMar w:header="0" w:footer="592" w:top="1100" w:bottom="780" w:left="1320" w:right="1220"/>
          <w:pgNumType w:start="10"/>
        </w:sectPr>
      </w:pPr>
    </w:p>
    <w:p>
      <w:pPr>
        <w:pStyle w:val="BodyText"/>
      </w:pPr>
      <w:r>
        <w:rPr/>
        <w:pict>
          <v:group style="position:absolute;margin-left:72pt;margin-top:73.400002pt;width:648pt;height:45.8pt;mso-position-horizontal-relative:page;mso-position-vertical-relative:page;z-index:-261083136" coordorigin="1440,1468" coordsize="12960,916">
            <v:shape style="position:absolute;left:1440;top:1468;width:12960;height:908" coordorigin="1440,1468" coordsize="12960,908" path="m8372,2112l8264,2112,7812,2112,7704,2112,7704,2376,7812,2376,8264,2376,8372,2376,8372,2112m11064,2112l10956,2112,10496,2112,10388,2112,10280,2112,9824,2112,9716,2112,9608,2112,9152,2112,9044,2112,8936,2112,8480,2112,8372,2112,8372,2376,8480,2376,8936,2376,9044,2376,9152,2376,9608,2376,9716,2376,9824,2376,10280,2376,10388,2376,10496,2376,10956,2376,11064,2376,11064,2112m12404,1468l10388,1468,8372,1468,6356,1468,4336,1468,1440,1468,1440,2376,1548,2376,4228,2376,4336,2376,4444,2376,4900,2376,5008,2376,5116,2376,5572,2376,5680,2376,5788,2376,6248,2376,6356,2376,6464,2376,6920,2376,7028,2376,7136,2376,7592,2376,7700,2376,7700,2112,7592,2112,7136,2112,7028,2112,6920,2112,6464,2112,6356,2112,6248,2112,5788,2112,5680,2112,5572,2112,5116,2112,5008,2112,4900,2112,4444,2112,4336,2112,4336,2100,4444,2100,6248,2100,6356,2100,6464,2100,8264,2100,8372,2100,8480,2100,10280,2100,10388,2100,10496,2100,12296,2100,12404,2100,12404,1468m14400,2112l14292,2112,13856,2112,13748,2112,13640,2112,13184,2112,13076,2112,12968,2112,12512,2112,12404,2112,12296,2112,11840,2112,11732,2112,11624,2112,11172,2112,11064,2112,11064,2376,11172,2376,11624,2376,11732,2376,11840,2376,12296,2376,12404,2376,12512,2376,12968,2376,13076,2376,13184,2376,13640,2376,13748,2376,13856,2376,14292,2376,14400,2376,14400,2112m14400,1468l14292,1468,12512,1468,12404,1468,12404,2100,12512,2100,14292,2100,14400,2100,14400,1468e" filled="true" fillcolor="#09357d" stroked="false">
              <v:path arrowok="t"/>
              <v:fill type="solid"/>
            </v:shape>
            <v:line style="position:absolute" from="4336,2110" to="5008,2110" stroked="true" strokeweight=".2pt" strokecolor="#09357d">
              <v:stroke dashstyle="solid"/>
            </v:line>
            <v:rect style="position:absolute;left:5008;top:2108;width:8;height:4" filled="true" fillcolor="#09357d" stroked="false">
              <v:fill type="solid"/>
            </v:rect>
            <v:line style="position:absolute" from="5016,2110" to="5680,2110" stroked="true" strokeweight=".2pt" strokecolor="#09357d">
              <v:stroke dashstyle="solid"/>
            </v:line>
            <v:rect style="position:absolute;left:5680;top:2108;width:8;height:4" filled="true" fillcolor="#09357d" stroked="false">
              <v:fill type="solid"/>
            </v:rect>
            <v:line style="position:absolute" from="5688,2110" to="6356,2110" stroked="true" strokeweight=".2pt" strokecolor="#09357d">
              <v:stroke dashstyle="solid"/>
            </v:line>
            <v:rect style="position:absolute;left:6356;top:2108;width:8;height:4" filled="true" fillcolor="#09357d" stroked="false">
              <v:fill type="solid"/>
            </v:rect>
            <v:line style="position:absolute" from="6364,2110" to="7028,2110" stroked="true" strokeweight=".2pt" strokecolor="#09357d">
              <v:stroke dashstyle="solid"/>
            </v:line>
            <v:rect style="position:absolute;left:7028;top:2108;width:8;height:4" filled="true" fillcolor="#09357d" stroked="false">
              <v:fill type="solid"/>
            </v:rect>
            <v:line style="position:absolute" from="7036,2110" to="7704,2110" stroked="true" strokeweight=".2pt" strokecolor="#09357d">
              <v:stroke dashstyle="solid"/>
            </v:line>
            <v:rect style="position:absolute;left:7704;top:2108;width:8;height:4" filled="true" fillcolor="#09357d" stroked="false">
              <v:fill type="solid"/>
            </v:rect>
            <v:line style="position:absolute" from="7712,2110" to="8372,2110" stroked="true" strokeweight=".2pt" strokecolor="#09357d">
              <v:stroke dashstyle="solid"/>
            </v:line>
            <v:rect style="position:absolute;left:8372;top:2108;width:9;height:4" filled="true" fillcolor="#09357d" stroked="false">
              <v:fill type="solid"/>
            </v:rect>
            <v:line style="position:absolute" from="8380,2110" to="9044,2110" stroked="true" strokeweight=".2pt" strokecolor="#09357d">
              <v:stroke dashstyle="solid"/>
            </v:line>
            <v:rect style="position:absolute;left:9044;top:2108;width:9;height:4" filled="true" fillcolor="#09357d" stroked="false">
              <v:fill type="solid"/>
            </v:rect>
            <v:line style="position:absolute" from="9052,2110" to="9716,2110" stroked="true" strokeweight=".2pt" strokecolor="#09357d">
              <v:stroke dashstyle="solid"/>
            </v:line>
            <v:rect style="position:absolute;left:9716;top:2108;width:8;height:4" filled="true" fillcolor="#09357d" stroked="false">
              <v:fill type="solid"/>
            </v:rect>
            <v:line style="position:absolute" from="9724,2110" to="10388,2110" stroked="true" strokeweight=".2pt" strokecolor="#09357d">
              <v:stroke dashstyle="solid"/>
            </v:line>
            <v:rect style="position:absolute;left:10388;top:2108;width:8;height:4" filled="true" fillcolor="#09357d" stroked="false">
              <v:fill type="solid"/>
            </v:rect>
            <v:line style="position:absolute" from="10396,2110" to="11064,2110" stroked="true" strokeweight=".2pt" strokecolor="#09357d">
              <v:stroke dashstyle="solid"/>
            </v:line>
            <v:rect style="position:absolute;left:11064;top:2108;width:8;height:4" filled="true" fillcolor="#09357d" stroked="false">
              <v:fill type="solid"/>
            </v:rect>
            <v:line style="position:absolute" from="11072,2110" to="11736,2110" stroked="true" strokeweight=".2pt" strokecolor="#09357d">
              <v:stroke dashstyle="solid"/>
            </v:line>
            <v:rect style="position:absolute;left:11736;top:2108;width:8;height:4" filled="true" fillcolor="#09357d" stroked="false">
              <v:fill type="solid"/>
            </v:rect>
            <v:line style="position:absolute" from="11744,2110" to="12404,2110" stroked="true" strokeweight=".2pt" strokecolor="#09357d">
              <v:stroke dashstyle="solid"/>
            </v:line>
            <v:rect style="position:absolute;left:12404;top:2108;width:9;height:4" filled="true" fillcolor="#09357d" stroked="false">
              <v:fill type="solid"/>
            </v:rect>
            <v:line style="position:absolute" from="12412,2110" to="13076,2110" stroked="true" strokeweight=".2pt" strokecolor="#09357d">
              <v:stroke dashstyle="solid"/>
            </v:line>
            <v:rect style="position:absolute;left:13076;top:2108;width:9;height:4" filled="true" fillcolor="#09357d" stroked="false">
              <v:fill type="solid"/>
            </v:rect>
            <v:line style="position:absolute" from="13084,2110" to="13748,2110" stroked="true" strokeweight=".2pt" strokecolor="#09357d">
              <v:stroke dashstyle="solid"/>
            </v:line>
            <v:rect style="position:absolute;left:13748;top:2108;width:8;height:4" filled="true" fillcolor="#09357d" stroked="false">
              <v:fill type="solid"/>
            </v:rect>
            <v:line style="position:absolute" from="13756,2110" to="14400,2110" stroked="true" strokeweight=".2pt" strokecolor="#09357d">
              <v:stroke dashstyle="solid"/>
            </v:line>
            <v:line style="position:absolute" from="1440,2380" to="4336,2380" stroked="true" strokeweight=".4pt" strokecolor="#585858">
              <v:stroke dashstyle="solid"/>
            </v:line>
            <v:rect style="position:absolute;left:4336;top:2376;width:8;height:8" filled="true" fillcolor="#585858" stroked="false">
              <v:fill type="solid"/>
            </v:rect>
            <v:line style="position:absolute" from="4344,2380" to="5008,2380" stroked="true" strokeweight=".4pt" strokecolor="#585858">
              <v:stroke dashstyle="solid"/>
            </v:line>
            <v:rect style="position:absolute;left:5008;top:2376;width:8;height:8" filled="true" fillcolor="#585858" stroked="false">
              <v:fill type="solid"/>
            </v:rect>
            <v:line style="position:absolute" from="5016,2380" to="5680,2380" stroked="true" strokeweight=".4pt" strokecolor="#585858">
              <v:stroke dashstyle="solid"/>
            </v:line>
            <v:rect style="position:absolute;left:5680;top:2376;width:8;height:8" filled="true" fillcolor="#585858" stroked="false">
              <v:fill type="solid"/>
            </v:rect>
            <v:line style="position:absolute" from="5688,2380" to="6356,2380" stroked="true" strokeweight=".4pt" strokecolor="#585858">
              <v:stroke dashstyle="solid"/>
            </v:line>
            <v:rect style="position:absolute;left:6356;top:2376;width:8;height:8" filled="true" fillcolor="#585858" stroked="false">
              <v:fill type="solid"/>
            </v:rect>
            <v:line style="position:absolute" from="6364,2380" to="7028,2380" stroked="true" strokeweight=".4pt" strokecolor="#585858">
              <v:stroke dashstyle="solid"/>
            </v:line>
            <v:rect style="position:absolute;left:7028;top:2376;width:8;height:8" filled="true" fillcolor="#585858" stroked="false">
              <v:fill type="solid"/>
            </v:rect>
            <v:line style="position:absolute" from="7036,2380" to="7704,2380" stroked="true" strokeweight=".4pt" strokecolor="#585858">
              <v:stroke dashstyle="solid"/>
            </v:line>
            <v:rect style="position:absolute;left:7704;top:2376;width:8;height:8" filled="true" fillcolor="#585858" stroked="false">
              <v:fill type="solid"/>
            </v:rect>
            <v:line style="position:absolute" from="7712,2380" to="8372,2380" stroked="true" strokeweight=".4pt" strokecolor="#585858">
              <v:stroke dashstyle="solid"/>
            </v:line>
            <v:rect style="position:absolute;left:8372;top:2376;width:9;height:8" filled="true" fillcolor="#585858" stroked="false">
              <v:fill type="solid"/>
            </v:rect>
            <v:line style="position:absolute" from="8380,2380" to="9044,2380" stroked="true" strokeweight=".4pt" strokecolor="#585858">
              <v:stroke dashstyle="solid"/>
            </v:line>
            <v:rect style="position:absolute;left:9044;top:2376;width:9;height:8" filled="true" fillcolor="#585858" stroked="false">
              <v:fill type="solid"/>
            </v:rect>
            <v:line style="position:absolute" from="9052,2380" to="9716,2380" stroked="true" strokeweight=".4pt" strokecolor="#585858">
              <v:stroke dashstyle="solid"/>
            </v:line>
            <v:rect style="position:absolute;left:9716;top:2376;width:8;height:8" filled="true" fillcolor="#585858" stroked="false">
              <v:fill type="solid"/>
            </v:rect>
            <v:line style="position:absolute" from="9724,2380" to="10388,2380" stroked="true" strokeweight=".4pt" strokecolor="#585858">
              <v:stroke dashstyle="solid"/>
            </v:line>
            <v:rect style="position:absolute;left:10388;top:2376;width:8;height:8" filled="true" fillcolor="#585858" stroked="false">
              <v:fill type="solid"/>
            </v:rect>
            <v:line style="position:absolute" from="10396,2380" to="11064,2380" stroked="true" strokeweight=".4pt" strokecolor="#585858">
              <v:stroke dashstyle="solid"/>
            </v:line>
            <v:rect style="position:absolute;left:11064;top:2376;width:8;height:8" filled="true" fillcolor="#585858" stroked="false">
              <v:fill type="solid"/>
            </v:rect>
            <v:line style="position:absolute" from="11072,2380" to="11736,2380" stroked="true" strokeweight=".4pt" strokecolor="#585858">
              <v:stroke dashstyle="solid"/>
            </v:line>
            <v:rect style="position:absolute;left:11736;top:2376;width:8;height:8" filled="true" fillcolor="#585858" stroked="false">
              <v:fill type="solid"/>
            </v:rect>
            <v:line style="position:absolute" from="11744,2380" to="12404,2380" stroked="true" strokeweight=".4pt" strokecolor="#585858">
              <v:stroke dashstyle="solid"/>
            </v:line>
            <v:rect style="position:absolute;left:12404;top:2376;width:9;height:8" filled="true" fillcolor="#585858" stroked="false">
              <v:fill type="solid"/>
            </v:rect>
            <v:line style="position:absolute" from="12412,2380" to="13076,2380" stroked="true" strokeweight=".4pt" strokecolor="#585858">
              <v:stroke dashstyle="solid"/>
            </v:line>
            <v:rect style="position:absolute;left:13076;top:2376;width:9;height:8" filled="true" fillcolor="#585858" stroked="false">
              <v:fill type="solid"/>
            </v:rect>
            <v:line style="position:absolute" from="13084,2380" to="13748,2380" stroked="true" strokeweight=".4pt" strokecolor="#585858">
              <v:stroke dashstyle="solid"/>
            </v:line>
            <v:rect style="position:absolute;left:13748;top:2376;width:8;height:8" filled="true" fillcolor="#585858" stroked="false">
              <v:fill type="solid"/>
            </v:rect>
            <v:line style="position:absolute" from="13756,2380" to="14400,2380" stroked="true" strokeweight=".4pt" strokecolor="#585858">
              <v:stroke dashstyle="solid"/>
            </v:line>
            <w10:wrap type="none"/>
          </v:group>
        </w:pict>
      </w:r>
    </w:p>
    <w:p>
      <w:pPr>
        <w:pStyle w:val="BodyText"/>
        <w:spacing w:before="6"/>
        <w:rPr>
          <w:sz w:val="11"/>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87"/>
        <w:gridCol w:w="660"/>
        <w:gridCol w:w="1212"/>
        <w:gridCol w:w="810"/>
        <w:gridCol w:w="1146"/>
        <w:gridCol w:w="872"/>
        <w:gridCol w:w="1210"/>
        <w:gridCol w:w="810"/>
        <w:gridCol w:w="1206"/>
        <w:gridCol w:w="810"/>
        <w:gridCol w:w="600"/>
        <w:gridCol w:w="655"/>
      </w:tblGrid>
      <w:tr>
        <w:trPr>
          <w:trHeight w:val="1178" w:hRule="atLeast"/>
        </w:trPr>
        <w:tc>
          <w:tcPr>
            <w:tcW w:w="2987" w:type="dxa"/>
            <w:tcBorders>
              <w:bottom w:val="single" w:sz="4" w:space="0" w:color="585858"/>
            </w:tcBorders>
          </w:tcPr>
          <w:p>
            <w:pPr>
              <w:pStyle w:val="TableParagraph"/>
              <w:spacing w:before="0"/>
              <w:rPr>
                <w:sz w:val="20"/>
              </w:rPr>
            </w:pPr>
          </w:p>
          <w:p>
            <w:pPr>
              <w:pStyle w:val="TableParagraph"/>
              <w:spacing w:before="0"/>
              <w:rPr>
                <w:sz w:val="20"/>
              </w:rPr>
            </w:pPr>
          </w:p>
          <w:p>
            <w:pPr>
              <w:pStyle w:val="TableParagraph"/>
              <w:spacing w:before="3"/>
              <w:rPr>
                <w:sz w:val="17"/>
              </w:rPr>
            </w:pPr>
          </w:p>
          <w:p>
            <w:pPr>
              <w:pStyle w:val="TableParagraph"/>
              <w:spacing w:before="0"/>
              <w:ind w:left="854"/>
              <w:rPr>
                <w:b/>
                <w:sz w:val="18"/>
              </w:rPr>
            </w:pPr>
            <w:r>
              <w:rPr>
                <w:b/>
                <w:color w:val="FFFFFF"/>
                <w:sz w:val="18"/>
              </w:rPr>
              <w:t>Characteristic</w:t>
            </w:r>
          </w:p>
          <w:p>
            <w:pPr>
              <w:pStyle w:val="TableParagraph"/>
              <w:spacing w:before="92"/>
              <w:ind w:left="114"/>
              <w:rPr>
                <w:sz w:val="16"/>
              </w:rPr>
            </w:pPr>
            <w:r>
              <w:rPr>
                <w:sz w:val="16"/>
              </w:rPr>
              <w:t>Years of Service/a</w:t>
            </w:r>
          </w:p>
        </w:tc>
        <w:tc>
          <w:tcPr>
            <w:tcW w:w="660" w:type="dxa"/>
            <w:tcBorders>
              <w:bottom w:val="single" w:sz="4" w:space="0" w:color="585858"/>
            </w:tcBorders>
          </w:tcPr>
          <w:p>
            <w:pPr>
              <w:pStyle w:val="TableParagraph"/>
              <w:spacing w:before="7"/>
              <w:rPr>
                <w:sz w:val="19"/>
              </w:rPr>
            </w:pPr>
          </w:p>
          <w:p>
            <w:pPr>
              <w:pStyle w:val="TableParagraph"/>
              <w:spacing w:line="600" w:lineRule="auto" w:before="0"/>
              <w:ind w:left="207" w:right="-19" w:firstLine="16"/>
              <w:rPr>
                <w:b/>
                <w:sz w:val="16"/>
              </w:rPr>
            </w:pPr>
            <w:r>
              <w:rPr>
                <w:b/>
                <w:color w:val="FFFFFF"/>
                <w:sz w:val="16"/>
              </w:rPr>
              <w:t>Cisge #</w:t>
            </w:r>
          </w:p>
        </w:tc>
        <w:tc>
          <w:tcPr>
            <w:tcW w:w="1212" w:type="dxa"/>
            <w:tcBorders>
              <w:bottom w:val="single" w:sz="4" w:space="0" w:color="585858"/>
            </w:tcBorders>
          </w:tcPr>
          <w:p>
            <w:pPr>
              <w:pStyle w:val="TableParagraph"/>
              <w:spacing w:before="7"/>
              <w:rPr>
                <w:sz w:val="19"/>
              </w:rPr>
            </w:pPr>
          </w:p>
          <w:p>
            <w:pPr>
              <w:pStyle w:val="TableParagraph"/>
              <w:spacing w:before="0"/>
              <w:ind w:left="-17" w:right="228" w:firstLine="12"/>
              <w:rPr>
                <w:b/>
                <w:sz w:val="16"/>
              </w:rPr>
            </w:pPr>
            <w:r>
              <w:rPr>
                <w:b/>
                <w:color w:val="FFFFFF"/>
                <w:sz w:val="16"/>
              </w:rPr>
              <w:t>nder Women Faculty</w:t>
            </w:r>
          </w:p>
          <w:p>
            <w:pPr>
              <w:pStyle w:val="TableParagraph"/>
              <w:spacing w:before="92"/>
              <w:ind w:left="191"/>
              <w:rPr>
                <w:b/>
                <w:sz w:val="16"/>
              </w:rPr>
            </w:pPr>
            <w:r>
              <w:rPr>
                <w:b/>
                <w:color w:val="FFFFFF"/>
                <w:sz w:val="16"/>
              </w:rPr>
              <w:t>%</w:t>
            </w:r>
          </w:p>
        </w:tc>
        <w:tc>
          <w:tcPr>
            <w:tcW w:w="810" w:type="dxa"/>
            <w:tcBorders>
              <w:bottom w:val="single" w:sz="4" w:space="0" w:color="585858"/>
            </w:tcBorders>
          </w:tcPr>
          <w:p>
            <w:pPr>
              <w:pStyle w:val="TableParagraph"/>
              <w:spacing w:before="0"/>
              <w:rPr>
                <w:sz w:val="18"/>
              </w:rPr>
            </w:pPr>
          </w:p>
          <w:p>
            <w:pPr>
              <w:pStyle w:val="TableParagraph"/>
              <w:spacing w:before="7"/>
              <w:rPr>
                <w:sz w:val="17"/>
              </w:rPr>
            </w:pPr>
          </w:p>
          <w:p>
            <w:pPr>
              <w:pStyle w:val="TableParagraph"/>
              <w:spacing w:line="360" w:lineRule="auto" w:before="0"/>
              <w:ind w:left="355" w:right="-37" w:hanging="160"/>
              <w:rPr>
                <w:b/>
                <w:sz w:val="16"/>
              </w:rPr>
            </w:pPr>
            <w:r>
              <w:rPr>
                <w:b/>
                <w:color w:val="FFFFFF"/>
                <w:sz w:val="16"/>
              </w:rPr>
              <w:t>Cisgend #</w:t>
            </w:r>
          </w:p>
        </w:tc>
        <w:tc>
          <w:tcPr>
            <w:tcW w:w="1146" w:type="dxa"/>
            <w:tcBorders>
              <w:bottom w:val="single" w:sz="4" w:space="0" w:color="585858"/>
            </w:tcBorders>
          </w:tcPr>
          <w:p>
            <w:pPr>
              <w:pStyle w:val="TableParagraph"/>
              <w:spacing w:before="0"/>
              <w:rPr>
                <w:sz w:val="18"/>
              </w:rPr>
            </w:pPr>
          </w:p>
          <w:p>
            <w:pPr>
              <w:pStyle w:val="TableParagraph"/>
              <w:spacing w:before="7"/>
              <w:rPr>
                <w:sz w:val="17"/>
              </w:rPr>
            </w:pPr>
          </w:p>
          <w:p>
            <w:pPr>
              <w:pStyle w:val="TableParagraph"/>
              <w:spacing w:before="0"/>
              <w:ind w:left="12"/>
              <w:rPr>
                <w:b/>
                <w:sz w:val="16"/>
              </w:rPr>
            </w:pPr>
            <w:r>
              <w:rPr>
                <w:b/>
                <w:color w:val="FFFFFF"/>
                <w:sz w:val="16"/>
              </w:rPr>
              <w:t>er Men Faculty</w:t>
            </w:r>
          </w:p>
          <w:p>
            <w:pPr>
              <w:pStyle w:val="TableParagraph"/>
              <w:spacing w:before="92"/>
              <w:ind w:left="189"/>
              <w:rPr>
                <w:b/>
                <w:sz w:val="16"/>
              </w:rPr>
            </w:pPr>
            <w:r>
              <w:rPr>
                <w:b/>
                <w:color w:val="FFFFFF"/>
                <w:sz w:val="16"/>
              </w:rPr>
              <w:t>%</w:t>
            </w:r>
          </w:p>
        </w:tc>
        <w:tc>
          <w:tcPr>
            <w:tcW w:w="872" w:type="dxa"/>
            <w:tcBorders>
              <w:bottom w:val="single" w:sz="4" w:space="0" w:color="585858"/>
            </w:tcBorders>
          </w:tcPr>
          <w:p>
            <w:pPr>
              <w:pStyle w:val="TableParagraph"/>
              <w:spacing w:before="7"/>
              <w:rPr>
                <w:sz w:val="19"/>
              </w:rPr>
            </w:pPr>
          </w:p>
          <w:p>
            <w:pPr>
              <w:pStyle w:val="TableParagraph"/>
              <w:spacing w:line="600" w:lineRule="auto" w:before="0"/>
              <w:ind w:left="415" w:right="-15" w:firstLine="16"/>
              <w:rPr>
                <w:b/>
                <w:sz w:val="16"/>
              </w:rPr>
            </w:pPr>
            <w:r>
              <w:rPr>
                <w:b/>
                <w:color w:val="FFFFFF"/>
                <w:sz w:val="16"/>
              </w:rPr>
              <w:t>Cisge #</w:t>
            </w:r>
          </w:p>
        </w:tc>
        <w:tc>
          <w:tcPr>
            <w:tcW w:w="1210" w:type="dxa"/>
            <w:tcBorders>
              <w:bottom w:val="single" w:sz="4" w:space="0" w:color="585858"/>
            </w:tcBorders>
          </w:tcPr>
          <w:p>
            <w:pPr>
              <w:pStyle w:val="TableParagraph"/>
              <w:spacing w:before="7"/>
              <w:rPr>
                <w:sz w:val="19"/>
              </w:rPr>
            </w:pPr>
          </w:p>
          <w:p>
            <w:pPr>
              <w:pStyle w:val="TableParagraph"/>
              <w:spacing w:before="0"/>
              <w:ind w:left="79" w:right="230" w:hanging="88"/>
              <w:rPr>
                <w:b/>
                <w:sz w:val="16"/>
              </w:rPr>
            </w:pPr>
            <w:r>
              <w:rPr>
                <w:b/>
                <w:color w:val="FFFFFF"/>
                <w:sz w:val="16"/>
              </w:rPr>
              <w:t>nder Women Staff</w:t>
            </w:r>
          </w:p>
          <w:p>
            <w:pPr>
              <w:pStyle w:val="TableParagraph"/>
              <w:spacing w:before="92"/>
              <w:ind w:left="187"/>
              <w:rPr>
                <w:b/>
                <w:sz w:val="16"/>
              </w:rPr>
            </w:pPr>
            <w:r>
              <w:rPr>
                <w:b/>
                <w:color w:val="FFFFFF"/>
                <w:sz w:val="16"/>
              </w:rPr>
              <w:t>%</w:t>
            </w:r>
          </w:p>
        </w:tc>
        <w:tc>
          <w:tcPr>
            <w:tcW w:w="810" w:type="dxa"/>
            <w:tcBorders>
              <w:bottom w:val="single" w:sz="4" w:space="0" w:color="585858"/>
            </w:tcBorders>
          </w:tcPr>
          <w:p>
            <w:pPr>
              <w:pStyle w:val="TableParagraph"/>
              <w:spacing w:before="0"/>
              <w:rPr>
                <w:sz w:val="18"/>
              </w:rPr>
            </w:pPr>
          </w:p>
          <w:p>
            <w:pPr>
              <w:pStyle w:val="TableParagraph"/>
              <w:spacing w:before="7"/>
              <w:rPr>
                <w:sz w:val="17"/>
              </w:rPr>
            </w:pPr>
          </w:p>
          <w:p>
            <w:pPr>
              <w:pStyle w:val="TableParagraph"/>
              <w:spacing w:line="360" w:lineRule="auto" w:before="0"/>
              <w:ind w:left="349" w:right="-27" w:hanging="60"/>
              <w:rPr>
                <w:b/>
                <w:sz w:val="16"/>
              </w:rPr>
            </w:pPr>
            <w:r>
              <w:rPr>
                <w:b/>
                <w:color w:val="FFFFFF"/>
                <w:spacing w:val="-1"/>
                <w:sz w:val="16"/>
              </w:rPr>
              <w:t>Cisgen </w:t>
            </w:r>
            <w:r>
              <w:rPr>
                <w:b/>
                <w:color w:val="FFFFFF"/>
                <w:sz w:val="16"/>
              </w:rPr>
              <w:t>#</w:t>
            </w:r>
          </w:p>
        </w:tc>
        <w:tc>
          <w:tcPr>
            <w:tcW w:w="1206" w:type="dxa"/>
            <w:tcBorders>
              <w:bottom w:val="single" w:sz="4" w:space="0" w:color="585858"/>
            </w:tcBorders>
          </w:tcPr>
          <w:p>
            <w:pPr>
              <w:pStyle w:val="TableParagraph"/>
              <w:spacing w:before="0"/>
              <w:rPr>
                <w:sz w:val="18"/>
              </w:rPr>
            </w:pPr>
          </w:p>
          <w:p>
            <w:pPr>
              <w:pStyle w:val="TableParagraph"/>
              <w:spacing w:before="7"/>
              <w:rPr>
                <w:sz w:val="17"/>
              </w:rPr>
            </w:pPr>
          </w:p>
          <w:p>
            <w:pPr>
              <w:pStyle w:val="TableParagraph"/>
              <w:spacing w:before="0"/>
              <w:ind w:left="10"/>
              <w:rPr>
                <w:b/>
                <w:sz w:val="16"/>
              </w:rPr>
            </w:pPr>
            <w:r>
              <w:rPr>
                <w:b/>
                <w:color w:val="FFFFFF"/>
                <w:sz w:val="16"/>
              </w:rPr>
              <w:t>der Men Staff</w:t>
            </w:r>
          </w:p>
          <w:p>
            <w:pPr>
              <w:pStyle w:val="TableParagraph"/>
              <w:spacing w:before="92"/>
              <w:ind w:left="187"/>
              <w:rPr>
                <w:b/>
                <w:sz w:val="16"/>
              </w:rPr>
            </w:pPr>
            <w:r>
              <w:rPr>
                <w:b/>
                <w:color w:val="FFFFFF"/>
                <w:sz w:val="16"/>
              </w:rPr>
              <w:t>%</w:t>
            </w:r>
          </w:p>
        </w:tc>
        <w:tc>
          <w:tcPr>
            <w:tcW w:w="2065" w:type="dxa"/>
            <w:gridSpan w:val="3"/>
            <w:tcBorders>
              <w:bottom w:val="single" w:sz="4" w:space="0" w:color="585858"/>
            </w:tcBorders>
          </w:tcPr>
          <w:p>
            <w:pPr>
              <w:pStyle w:val="TableParagraph"/>
              <w:spacing w:before="42"/>
              <w:ind w:left="281"/>
              <w:rPr>
                <w:b/>
                <w:sz w:val="16"/>
              </w:rPr>
            </w:pPr>
            <w:r>
              <w:rPr>
                <w:b/>
                <w:color w:val="FFFFFF"/>
                <w:sz w:val="16"/>
              </w:rPr>
              <w:t>Transge</w:t>
            </w:r>
          </w:p>
          <w:p>
            <w:pPr>
              <w:pStyle w:val="TableParagraph"/>
              <w:spacing w:before="0"/>
              <w:ind w:left="661"/>
              <w:rPr>
                <w:b/>
                <w:sz w:val="16"/>
              </w:rPr>
            </w:pPr>
            <w:r>
              <w:rPr>
                <w:b/>
                <w:color w:val="FFFFFF"/>
                <w:sz w:val="16"/>
              </w:rPr>
              <w:t>N</w:t>
            </w:r>
          </w:p>
          <w:p>
            <w:pPr>
              <w:pStyle w:val="TableParagraph"/>
              <w:spacing w:before="0"/>
              <w:ind w:left="573"/>
              <w:rPr>
                <w:b/>
                <w:sz w:val="16"/>
              </w:rPr>
            </w:pPr>
            <w:r>
              <w:rPr>
                <w:b/>
                <w:color w:val="FFFFFF"/>
                <w:sz w:val="16"/>
              </w:rPr>
              <w:t>Fac</w:t>
            </w:r>
          </w:p>
        </w:tc>
      </w:tr>
      <w:tr>
        <w:trPr>
          <w:trHeight w:val="266"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0–1 year</w:t>
            </w:r>
          </w:p>
        </w:tc>
        <w:tc>
          <w:tcPr>
            <w:tcW w:w="660" w:type="dxa"/>
            <w:tcBorders>
              <w:top w:val="single" w:sz="4" w:space="0" w:color="585858"/>
              <w:bottom w:val="single" w:sz="4" w:space="0" w:color="585858"/>
            </w:tcBorders>
          </w:tcPr>
          <w:p>
            <w:pPr>
              <w:pStyle w:val="TableParagraph"/>
              <w:spacing w:before="45"/>
              <w:ind w:left="186" w:right="160"/>
              <w:jc w:val="center"/>
              <w:rPr>
                <w:sz w:val="16"/>
              </w:rPr>
            </w:pPr>
            <w:r>
              <w:rPr>
                <w:sz w:val="16"/>
              </w:rPr>
              <w:t>123</w:t>
            </w:r>
          </w:p>
        </w:tc>
        <w:tc>
          <w:tcPr>
            <w:tcW w:w="1212" w:type="dxa"/>
            <w:tcBorders>
              <w:top w:val="single" w:sz="4" w:space="0" w:color="585858"/>
              <w:bottom w:val="single" w:sz="4" w:space="0" w:color="585858"/>
            </w:tcBorders>
          </w:tcPr>
          <w:p>
            <w:pPr>
              <w:pStyle w:val="TableParagraph"/>
              <w:tabs>
                <w:tab w:pos="706" w:val="left" w:leader="none"/>
              </w:tabs>
              <w:spacing w:before="45"/>
              <w:ind w:left="179"/>
              <w:rPr>
                <w:sz w:val="16"/>
              </w:rPr>
            </w:pPr>
            <w:r>
              <w:rPr>
                <w:sz w:val="16"/>
              </w:rPr>
              <w:t>15.3</w:t>
              <w:tab/>
              <w:t>%</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73</w:t>
            </w:r>
          </w:p>
        </w:tc>
        <w:tc>
          <w:tcPr>
            <w:tcW w:w="1146" w:type="dxa"/>
            <w:tcBorders>
              <w:top w:val="single" w:sz="4" w:space="0" w:color="585858"/>
              <w:bottom w:val="single" w:sz="4" w:space="0" w:color="585858"/>
            </w:tcBorders>
          </w:tcPr>
          <w:p>
            <w:pPr>
              <w:pStyle w:val="TableParagraph"/>
              <w:tabs>
                <w:tab w:pos="708" w:val="left" w:leader="none"/>
              </w:tabs>
              <w:spacing w:before="45"/>
              <w:ind w:left="177"/>
              <w:rPr>
                <w:sz w:val="16"/>
              </w:rPr>
            </w:pPr>
            <w:r>
              <w:rPr>
                <w:sz w:val="16"/>
              </w:rPr>
              <w:t>11.5</w:t>
              <w:tab/>
              <w:t>%</w:t>
            </w:r>
          </w:p>
        </w:tc>
        <w:tc>
          <w:tcPr>
            <w:tcW w:w="872" w:type="dxa"/>
            <w:tcBorders>
              <w:top w:val="single" w:sz="4" w:space="0" w:color="585858"/>
              <w:bottom w:val="single" w:sz="4" w:space="0" w:color="585858"/>
            </w:tcBorders>
          </w:tcPr>
          <w:p>
            <w:pPr>
              <w:pStyle w:val="TableParagraph"/>
              <w:spacing w:before="45"/>
              <w:ind w:right="188"/>
              <w:jc w:val="right"/>
              <w:rPr>
                <w:sz w:val="16"/>
              </w:rPr>
            </w:pPr>
            <w:r>
              <w:rPr>
                <w:sz w:val="16"/>
              </w:rPr>
              <w:t>241</w:t>
            </w:r>
          </w:p>
        </w:tc>
        <w:tc>
          <w:tcPr>
            <w:tcW w:w="1210" w:type="dxa"/>
            <w:tcBorders>
              <w:top w:val="single" w:sz="4" w:space="0" w:color="585858"/>
              <w:bottom w:val="single" w:sz="4" w:space="0" w:color="585858"/>
            </w:tcBorders>
          </w:tcPr>
          <w:p>
            <w:pPr>
              <w:pStyle w:val="TableParagraph"/>
              <w:tabs>
                <w:tab w:pos="702" w:val="left" w:leader="none"/>
              </w:tabs>
              <w:spacing w:before="45"/>
              <w:ind w:left="175"/>
              <w:rPr>
                <w:sz w:val="16"/>
              </w:rPr>
            </w:pPr>
            <w:r>
              <w:rPr>
                <w:sz w:val="16"/>
              </w:rPr>
              <w:t>16.4</w:t>
              <w:tab/>
              <w:t>%</w:t>
            </w:r>
          </w:p>
        </w:tc>
        <w:tc>
          <w:tcPr>
            <w:tcW w:w="810" w:type="dxa"/>
            <w:tcBorders>
              <w:top w:val="single" w:sz="4" w:space="0" w:color="585858"/>
              <w:bottom w:val="single" w:sz="4" w:space="0" w:color="585858"/>
            </w:tcBorders>
          </w:tcPr>
          <w:p>
            <w:pPr>
              <w:pStyle w:val="TableParagraph"/>
              <w:spacing w:before="45"/>
              <w:ind w:right="192"/>
              <w:jc w:val="right"/>
              <w:rPr>
                <w:sz w:val="16"/>
              </w:rPr>
            </w:pPr>
            <w:r>
              <w:rPr>
                <w:sz w:val="16"/>
              </w:rPr>
              <w:t>123</w:t>
            </w:r>
          </w:p>
        </w:tc>
        <w:tc>
          <w:tcPr>
            <w:tcW w:w="1206" w:type="dxa"/>
            <w:tcBorders>
              <w:top w:val="single" w:sz="4" w:space="0" w:color="585858"/>
              <w:bottom w:val="single" w:sz="4" w:space="0" w:color="585858"/>
            </w:tcBorders>
          </w:tcPr>
          <w:p>
            <w:pPr>
              <w:pStyle w:val="TableParagraph"/>
              <w:tabs>
                <w:tab w:pos="698" w:val="left" w:leader="none"/>
              </w:tabs>
              <w:spacing w:before="45"/>
              <w:ind w:left="175"/>
              <w:rPr>
                <w:sz w:val="16"/>
              </w:rPr>
            </w:pPr>
            <w:r>
              <w:rPr>
                <w:sz w:val="16"/>
              </w:rPr>
              <w:t>17.9</w:t>
              <w:tab/>
              <w:t>%</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33</w:t>
            </w:r>
          </w:p>
        </w:tc>
        <w:tc>
          <w:tcPr>
            <w:tcW w:w="1255" w:type="dxa"/>
            <w:gridSpan w:val="2"/>
            <w:tcBorders>
              <w:top w:val="single" w:sz="4" w:space="0" w:color="585858"/>
              <w:bottom w:val="single" w:sz="4" w:space="0" w:color="585858"/>
            </w:tcBorders>
          </w:tcPr>
          <w:p>
            <w:pPr>
              <w:pStyle w:val="TableParagraph"/>
              <w:tabs>
                <w:tab w:pos="698" w:val="left" w:leader="none"/>
              </w:tabs>
              <w:spacing w:before="45"/>
              <w:ind w:left="171"/>
              <w:rPr>
                <w:sz w:val="16"/>
              </w:rPr>
            </w:pPr>
            <w:r>
              <w:rPr>
                <w:sz w:val="16"/>
              </w:rPr>
              <w:t>34.0</w:t>
              <w:tab/>
              <w:t>%</w:t>
            </w:r>
          </w:p>
        </w:tc>
      </w:tr>
      <w:tr>
        <w:trPr>
          <w:trHeight w:val="261"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2–3 years</w:t>
            </w:r>
          </w:p>
        </w:tc>
        <w:tc>
          <w:tcPr>
            <w:tcW w:w="660" w:type="dxa"/>
            <w:tcBorders>
              <w:top w:val="single" w:sz="4" w:space="0" w:color="585858"/>
              <w:bottom w:val="single" w:sz="4" w:space="0" w:color="585858"/>
            </w:tcBorders>
          </w:tcPr>
          <w:p>
            <w:pPr>
              <w:pStyle w:val="TableParagraph"/>
              <w:spacing w:before="41"/>
              <w:ind w:left="186" w:right="160"/>
              <w:jc w:val="center"/>
              <w:rPr>
                <w:sz w:val="16"/>
              </w:rPr>
            </w:pPr>
            <w:r>
              <w:rPr>
                <w:sz w:val="16"/>
              </w:rPr>
              <w:t>109</w:t>
            </w:r>
          </w:p>
        </w:tc>
        <w:tc>
          <w:tcPr>
            <w:tcW w:w="1212" w:type="dxa"/>
            <w:tcBorders>
              <w:top w:val="single" w:sz="4" w:space="0" w:color="585858"/>
              <w:bottom w:val="single" w:sz="4" w:space="0" w:color="585858"/>
            </w:tcBorders>
          </w:tcPr>
          <w:p>
            <w:pPr>
              <w:pStyle w:val="TableParagraph"/>
              <w:spacing w:before="41"/>
              <w:ind w:left="179"/>
              <w:rPr>
                <w:sz w:val="16"/>
              </w:rPr>
            </w:pPr>
            <w:r>
              <w:rPr>
                <w:sz w:val="16"/>
              </w:rPr>
              <w:t>13.6</w:t>
            </w:r>
          </w:p>
        </w:tc>
        <w:tc>
          <w:tcPr>
            <w:tcW w:w="810" w:type="dxa"/>
            <w:tcBorders>
              <w:top w:val="single" w:sz="4" w:space="0" w:color="585858"/>
              <w:bottom w:val="single" w:sz="4" w:space="0" w:color="585858"/>
            </w:tcBorders>
          </w:tcPr>
          <w:p>
            <w:pPr>
              <w:pStyle w:val="TableParagraph"/>
              <w:spacing w:before="41"/>
              <w:ind w:right="182"/>
              <w:jc w:val="right"/>
              <w:rPr>
                <w:sz w:val="16"/>
              </w:rPr>
            </w:pPr>
            <w:r>
              <w:rPr>
                <w:sz w:val="16"/>
              </w:rPr>
              <w:t>80</w:t>
            </w:r>
          </w:p>
        </w:tc>
        <w:tc>
          <w:tcPr>
            <w:tcW w:w="1146" w:type="dxa"/>
            <w:tcBorders>
              <w:top w:val="single" w:sz="4" w:space="0" w:color="585858"/>
              <w:bottom w:val="single" w:sz="4" w:space="0" w:color="585858"/>
            </w:tcBorders>
          </w:tcPr>
          <w:p>
            <w:pPr>
              <w:pStyle w:val="TableParagraph"/>
              <w:spacing w:before="41"/>
              <w:ind w:left="177"/>
              <w:rPr>
                <w:sz w:val="16"/>
              </w:rPr>
            </w:pPr>
            <w:r>
              <w:rPr>
                <w:sz w:val="16"/>
              </w:rPr>
              <w:t>12.6</w:t>
            </w:r>
          </w:p>
        </w:tc>
        <w:tc>
          <w:tcPr>
            <w:tcW w:w="872" w:type="dxa"/>
            <w:tcBorders>
              <w:top w:val="single" w:sz="4" w:space="0" w:color="585858"/>
              <w:bottom w:val="single" w:sz="4" w:space="0" w:color="585858"/>
            </w:tcBorders>
          </w:tcPr>
          <w:p>
            <w:pPr>
              <w:pStyle w:val="TableParagraph"/>
              <w:spacing w:before="41"/>
              <w:ind w:right="188"/>
              <w:jc w:val="right"/>
              <w:rPr>
                <w:sz w:val="16"/>
              </w:rPr>
            </w:pPr>
            <w:r>
              <w:rPr>
                <w:sz w:val="16"/>
              </w:rPr>
              <w:t>190</w:t>
            </w:r>
          </w:p>
        </w:tc>
        <w:tc>
          <w:tcPr>
            <w:tcW w:w="1210" w:type="dxa"/>
            <w:tcBorders>
              <w:top w:val="single" w:sz="4" w:space="0" w:color="585858"/>
              <w:bottom w:val="single" w:sz="4" w:space="0" w:color="585858"/>
            </w:tcBorders>
          </w:tcPr>
          <w:p>
            <w:pPr>
              <w:pStyle w:val="TableParagraph"/>
              <w:spacing w:before="41"/>
              <w:ind w:left="175"/>
              <w:rPr>
                <w:sz w:val="16"/>
              </w:rPr>
            </w:pPr>
            <w:r>
              <w:rPr>
                <w:sz w:val="16"/>
              </w:rPr>
              <w:t>12.9</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77</w:t>
            </w:r>
          </w:p>
        </w:tc>
        <w:tc>
          <w:tcPr>
            <w:tcW w:w="1206" w:type="dxa"/>
            <w:tcBorders>
              <w:top w:val="single" w:sz="4" w:space="0" w:color="585858"/>
              <w:bottom w:val="single" w:sz="4" w:space="0" w:color="585858"/>
            </w:tcBorders>
          </w:tcPr>
          <w:p>
            <w:pPr>
              <w:pStyle w:val="TableParagraph"/>
              <w:spacing w:before="41"/>
              <w:ind w:left="175"/>
              <w:rPr>
                <w:sz w:val="16"/>
              </w:rPr>
            </w:pPr>
            <w:r>
              <w:rPr>
                <w:sz w:val="16"/>
              </w:rPr>
              <w:t>11.2</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19</w:t>
            </w:r>
          </w:p>
        </w:tc>
        <w:tc>
          <w:tcPr>
            <w:tcW w:w="1255" w:type="dxa"/>
            <w:gridSpan w:val="2"/>
            <w:tcBorders>
              <w:top w:val="single" w:sz="4" w:space="0" w:color="585858"/>
              <w:bottom w:val="single" w:sz="4" w:space="0" w:color="585858"/>
            </w:tcBorders>
          </w:tcPr>
          <w:p>
            <w:pPr>
              <w:pStyle w:val="TableParagraph"/>
              <w:spacing w:before="41"/>
              <w:ind w:left="171"/>
              <w:rPr>
                <w:sz w:val="16"/>
              </w:rPr>
            </w:pPr>
            <w:r>
              <w:rPr>
                <w:sz w:val="16"/>
              </w:rPr>
              <w:t>19.6</w:t>
            </w:r>
          </w:p>
        </w:tc>
      </w:tr>
      <w:tr>
        <w:trPr>
          <w:trHeight w:val="266"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4–7 years</w:t>
            </w:r>
          </w:p>
        </w:tc>
        <w:tc>
          <w:tcPr>
            <w:tcW w:w="660" w:type="dxa"/>
            <w:tcBorders>
              <w:top w:val="single" w:sz="4" w:space="0" w:color="585858"/>
              <w:bottom w:val="single" w:sz="4" w:space="0" w:color="585858"/>
            </w:tcBorders>
          </w:tcPr>
          <w:p>
            <w:pPr>
              <w:pStyle w:val="TableParagraph"/>
              <w:spacing w:before="45"/>
              <w:ind w:left="186" w:right="160"/>
              <w:jc w:val="center"/>
              <w:rPr>
                <w:sz w:val="16"/>
              </w:rPr>
            </w:pPr>
            <w:r>
              <w:rPr>
                <w:sz w:val="16"/>
              </w:rPr>
              <w:t>176</w:t>
            </w:r>
          </w:p>
        </w:tc>
        <w:tc>
          <w:tcPr>
            <w:tcW w:w="1212" w:type="dxa"/>
            <w:tcBorders>
              <w:top w:val="single" w:sz="4" w:space="0" w:color="585858"/>
              <w:bottom w:val="single" w:sz="4" w:space="0" w:color="585858"/>
            </w:tcBorders>
          </w:tcPr>
          <w:p>
            <w:pPr>
              <w:pStyle w:val="TableParagraph"/>
              <w:spacing w:before="45"/>
              <w:ind w:left="179"/>
              <w:rPr>
                <w:sz w:val="16"/>
              </w:rPr>
            </w:pPr>
            <w:r>
              <w:rPr>
                <w:sz w:val="16"/>
              </w:rPr>
              <w:t>21.9</w:t>
            </w:r>
          </w:p>
        </w:tc>
        <w:tc>
          <w:tcPr>
            <w:tcW w:w="810" w:type="dxa"/>
            <w:tcBorders>
              <w:top w:val="single" w:sz="4" w:space="0" w:color="585858"/>
              <w:bottom w:val="single" w:sz="4" w:space="0" w:color="585858"/>
            </w:tcBorders>
          </w:tcPr>
          <w:p>
            <w:pPr>
              <w:pStyle w:val="TableParagraph"/>
              <w:spacing w:before="45"/>
              <w:ind w:right="186"/>
              <w:jc w:val="right"/>
              <w:rPr>
                <w:sz w:val="16"/>
              </w:rPr>
            </w:pPr>
            <w:r>
              <w:rPr>
                <w:sz w:val="16"/>
              </w:rPr>
              <w:t>123</w:t>
            </w:r>
          </w:p>
        </w:tc>
        <w:tc>
          <w:tcPr>
            <w:tcW w:w="1146" w:type="dxa"/>
            <w:tcBorders>
              <w:top w:val="single" w:sz="4" w:space="0" w:color="585858"/>
              <w:bottom w:val="single" w:sz="4" w:space="0" w:color="585858"/>
            </w:tcBorders>
          </w:tcPr>
          <w:p>
            <w:pPr>
              <w:pStyle w:val="TableParagraph"/>
              <w:spacing w:before="45"/>
              <w:ind w:left="177"/>
              <w:rPr>
                <w:sz w:val="16"/>
              </w:rPr>
            </w:pPr>
            <w:r>
              <w:rPr>
                <w:sz w:val="16"/>
              </w:rPr>
              <w:t>19.3</w:t>
            </w:r>
          </w:p>
        </w:tc>
        <w:tc>
          <w:tcPr>
            <w:tcW w:w="872" w:type="dxa"/>
            <w:tcBorders>
              <w:top w:val="single" w:sz="4" w:space="0" w:color="585858"/>
              <w:bottom w:val="single" w:sz="4" w:space="0" w:color="585858"/>
            </w:tcBorders>
          </w:tcPr>
          <w:p>
            <w:pPr>
              <w:pStyle w:val="TableParagraph"/>
              <w:spacing w:before="45"/>
              <w:ind w:right="188"/>
              <w:jc w:val="right"/>
              <w:rPr>
                <w:sz w:val="16"/>
              </w:rPr>
            </w:pPr>
            <w:r>
              <w:rPr>
                <w:sz w:val="16"/>
              </w:rPr>
              <w:t>306</w:t>
            </w:r>
          </w:p>
        </w:tc>
        <w:tc>
          <w:tcPr>
            <w:tcW w:w="1210" w:type="dxa"/>
            <w:tcBorders>
              <w:top w:val="single" w:sz="4" w:space="0" w:color="585858"/>
              <w:bottom w:val="single" w:sz="4" w:space="0" w:color="585858"/>
            </w:tcBorders>
          </w:tcPr>
          <w:p>
            <w:pPr>
              <w:pStyle w:val="TableParagraph"/>
              <w:spacing w:before="45"/>
              <w:ind w:left="175"/>
              <w:rPr>
                <w:sz w:val="16"/>
              </w:rPr>
            </w:pPr>
            <w:r>
              <w:rPr>
                <w:sz w:val="16"/>
              </w:rPr>
              <w:t>20.8</w:t>
            </w:r>
          </w:p>
        </w:tc>
        <w:tc>
          <w:tcPr>
            <w:tcW w:w="810" w:type="dxa"/>
            <w:tcBorders>
              <w:top w:val="single" w:sz="4" w:space="0" w:color="585858"/>
              <w:bottom w:val="single" w:sz="4" w:space="0" w:color="585858"/>
            </w:tcBorders>
          </w:tcPr>
          <w:p>
            <w:pPr>
              <w:pStyle w:val="TableParagraph"/>
              <w:spacing w:before="45"/>
              <w:ind w:right="192"/>
              <w:jc w:val="right"/>
              <w:rPr>
                <w:sz w:val="16"/>
              </w:rPr>
            </w:pPr>
            <w:r>
              <w:rPr>
                <w:sz w:val="16"/>
              </w:rPr>
              <w:t>149</w:t>
            </w:r>
          </w:p>
        </w:tc>
        <w:tc>
          <w:tcPr>
            <w:tcW w:w="1206" w:type="dxa"/>
            <w:tcBorders>
              <w:top w:val="single" w:sz="4" w:space="0" w:color="585858"/>
              <w:bottom w:val="single" w:sz="4" w:space="0" w:color="585858"/>
            </w:tcBorders>
          </w:tcPr>
          <w:p>
            <w:pPr>
              <w:pStyle w:val="TableParagraph"/>
              <w:spacing w:before="45"/>
              <w:ind w:left="175"/>
              <w:rPr>
                <w:sz w:val="16"/>
              </w:rPr>
            </w:pPr>
            <w:r>
              <w:rPr>
                <w:sz w:val="16"/>
              </w:rPr>
              <w:t>21.7</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17</w:t>
            </w:r>
          </w:p>
        </w:tc>
        <w:tc>
          <w:tcPr>
            <w:tcW w:w="1255" w:type="dxa"/>
            <w:gridSpan w:val="2"/>
            <w:tcBorders>
              <w:top w:val="single" w:sz="4" w:space="0" w:color="585858"/>
              <w:bottom w:val="single" w:sz="4" w:space="0" w:color="585858"/>
            </w:tcBorders>
          </w:tcPr>
          <w:p>
            <w:pPr>
              <w:pStyle w:val="TableParagraph"/>
              <w:spacing w:before="45"/>
              <w:ind w:left="171"/>
              <w:rPr>
                <w:sz w:val="16"/>
              </w:rPr>
            </w:pPr>
            <w:r>
              <w:rPr>
                <w:sz w:val="16"/>
              </w:rPr>
              <w:t>17.5</w:t>
            </w:r>
          </w:p>
        </w:tc>
      </w:tr>
      <w:tr>
        <w:trPr>
          <w:trHeight w:val="262"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8–16 years</w:t>
            </w:r>
          </w:p>
        </w:tc>
        <w:tc>
          <w:tcPr>
            <w:tcW w:w="660" w:type="dxa"/>
            <w:tcBorders>
              <w:top w:val="single" w:sz="4" w:space="0" w:color="585858"/>
              <w:bottom w:val="single" w:sz="4" w:space="0" w:color="585858"/>
            </w:tcBorders>
          </w:tcPr>
          <w:p>
            <w:pPr>
              <w:pStyle w:val="TableParagraph"/>
              <w:spacing w:before="41"/>
              <w:ind w:left="186" w:right="160"/>
              <w:jc w:val="center"/>
              <w:rPr>
                <w:sz w:val="16"/>
              </w:rPr>
            </w:pPr>
            <w:r>
              <w:rPr>
                <w:sz w:val="16"/>
              </w:rPr>
              <w:t>198</w:t>
            </w:r>
          </w:p>
        </w:tc>
        <w:tc>
          <w:tcPr>
            <w:tcW w:w="1212" w:type="dxa"/>
            <w:tcBorders>
              <w:top w:val="single" w:sz="4" w:space="0" w:color="585858"/>
              <w:bottom w:val="single" w:sz="4" w:space="0" w:color="585858"/>
            </w:tcBorders>
          </w:tcPr>
          <w:p>
            <w:pPr>
              <w:pStyle w:val="TableParagraph"/>
              <w:spacing w:before="41"/>
              <w:ind w:left="179"/>
              <w:rPr>
                <w:sz w:val="16"/>
              </w:rPr>
            </w:pPr>
            <w:r>
              <w:rPr>
                <w:sz w:val="16"/>
              </w:rPr>
              <w:t>24.7</w:t>
            </w:r>
          </w:p>
        </w:tc>
        <w:tc>
          <w:tcPr>
            <w:tcW w:w="810" w:type="dxa"/>
            <w:tcBorders>
              <w:top w:val="single" w:sz="4" w:space="0" w:color="585858"/>
              <w:bottom w:val="single" w:sz="4" w:space="0" w:color="585858"/>
            </w:tcBorders>
          </w:tcPr>
          <w:p>
            <w:pPr>
              <w:pStyle w:val="TableParagraph"/>
              <w:spacing w:before="41"/>
              <w:ind w:right="186"/>
              <w:jc w:val="right"/>
              <w:rPr>
                <w:sz w:val="16"/>
              </w:rPr>
            </w:pPr>
            <w:r>
              <w:rPr>
                <w:sz w:val="16"/>
              </w:rPr>
              <w:t>149</w:t>
            </w:r>
          </w:p>
        </w:tc>
        <w:tc>
          <w:tcPr>
            <w:tcW w:w="1146" w:type="dxa"/>
            <w:tcBorders>
              <w:top w:val="single" w:sz="4" w:space="0" w:color="585858"/>
              <w:bottom w:val="single" w:sz="4" w:space="0" w:color="585858"/>
            </w:tcBorders>
          </w:tcPr>
          <w:p>
            <w:pPr>
              <w:pStyle w:val="TableParagraph"/>
              <w:spacing w:before="41"/>
              <w:ind w:left="177"/>
              <w:rPr>
                <w:sz w:val="16"/>
              </w:rPr>
            </w:pPr>
            <w:r>
              <w:rPr>
                <w:sz w:val="16"/>
              </w:rPr>
              <w:t>23.4</w:t>
            </w:r>
          </w:p>
        </w:tc>
        <w:tc>
          <w:tcPr>
            <w:tcW w:w="872" w:type="dxa"/>
            <w:tcBorders>
              <w:top w:val="single" w:sz="4" w:space="0" w:color="585858"/>
              <w:bottom w:val="single" w:sz="4" w:space="0" w:color="585858"/>
            </w:tcBorders>
          </w:tcPr>
          <w:p>
            <w:pPr>
              <w:pStyle w:val="TableParagraph"/>
              <w:spacing w:before="41"/>
              <w:ind w:right="188"/>
              <w:jc w:val="right"/>
              <w:rPr>
                <w:sz w:val="16"/>
              </w:rPr>
            </w:pPr>
            <w:r>
              <w:rPr>
                <w:sz w:val="16"/>
              </w:rPr>
              <w:t>355</w:t>
            </w:r>
          </w:p>
        </w:tc>
        <w:tc>
          <w:tcPr>
            <w:tcW w:w="1210" w:type="dxa"/>
            <w:tcBorders>
              <w:top w:val="single" w:sz="4" w:space="0" w:color="585858"/>
              <w:bottom w:val="single" w:sz="4" w:space="0" w:color="585858"/>
            </w:tcBorders>
          </w:tcPr>
          <w:p>
            <w:pPr>
              <w:pStyle w:val="TableParagraph"/>
              <w:spacing w:before="41"/>
              <w:ind w:left="175"/>
              <w:rPr>
                <w:sz w:val="16"/>
              </w:rPr>
            </w:pPr>
            <w:r>
              <w:rPr>
                <w:sz w:val="16"/>
              </w:rPr>
              <w:t>24.1</w:t>
            </w:r>
          </w:p>
        </w:tc>
        <w:tc>
          <w:tcPr>
            <w:tcW w:w="810" w:type="dxa"/>
            <w:tcBorders>
              <w:top w:val="single" w:sz="4" w:space="0" w:color="585858"/>
              <w:bottom w:val="single" w:sz="4" w:space="0" w:color="585858"/>
            </w:tcBorders>
          </w:tcPr>
          <w:p>
            <w:pPr>
              <w:pStyle w:val="TableParagraph"/>
              <w:spacing w:before="41"/>
              <w:ind w:right="192"/>
              <w:jc w:val="right"/>
              <w:rPr>
                <w:sz w:val="16"/>
              </w:rPr>
            </w:pPr>
            <w:r>
              <w:rPr>
                <w:sz w:val="16"/>
              </w:rPr>
              <w:t>170</w:t>
            </w:r>
          </w:p>
        </w:tc>
        <w:tc>
          <w:tcPr>
            <w:tcW w:w="1206" w:type="dxa"/>
            <w:tcBorders>
              <w:top w:val="single" w:sz="4" w:space="0" w:color="585858"/>
              <w:bottom w:val="single" w:sz="4" w:space="0" w:color="585858"/>
            </w:tcBorders>
          </w:tcPr>
          <w:p>
            <w:pPr>
              <w:pStyle w:val="TableParagraph"/>
              <w:spacing w:before="41"/>
              <w:ind w:left="175"/>
              <w:rPr>
                <w:sz w:val="16"/>
              </w:rPr>
            </w:pPr>
            <w:r>
              <w:rPr>
                <w:sz w:val="16"/>
              </w:rPr>
              <w:t>24.7</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13</w:t>
            </w:r>
          </w:p>
        </w:tc>
        <w:tc>
          <w:tcPr>
            <w:tcW w:w="1255" w:type="dxa"/>
            <w:gridSpan w:val="2"/>
            <w:tcBorders>
              <w:top w:val="single" w:sz="4" w:space="0" w:color="585858"/>
              <w:bottom w:val="single" w:sz="4" w:space="0" w:color="585858"/>
            </w:tcBorders>
          </w:tcPr>
          <w:p>
            <w:pPr>
              <w:pStyle w:val="TableParagraph"/>
              <w:spacing w:before="41"/>
              <w:ind w:left="171"/>
              <w:rPr>
                <w:sz w:val="16"/>
              </w:rPr>
            </w:pPr>
            <w:r>
              <w:rPr>
                <w:sz w:val="16"/>
              </w:rPr>
              <w:t>13.4</w:t>
            </w:r>
          </w:p>
        </w:tc>
      </w:tr>
      <w:tr>
        <w:trPr>
          <w:trHeight w:val="265"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17 years or more</w:t>
            </w:r>
          </w:p>
        </w:tc>
        <w:tc>
          <w:tcPr>
            <w:tcW w:w="660" w:type="dxa"/>
            <w:tcBorders>
              <w:top w:val="single" w:sz="4" w:space="0" w:color="585858"/>
              <w:bottom w:val="single" w:sz="4" w:space="0" w:color="585858"/>
            </w:tcBorders>
          </w:tcPr>
          <w:p>
            <w:pPr>
              <w:pStyle w:val="TableParagraph"/>
              <w:spacing w:before="45"/>
              <w:ind w:left="186" w:right="160"/>
              <w:jc w:val="center"/>
              <w:rPr>
                <w:sz w:val="16"/>
              </w:rPr>
            </w:pPr>
            <w:r>
              <w:rPr>
                <w:sz w:val="16"/>
              </w:rPr>
              <w:t>196</w:t>
            </w:r>
          </w:p>
        </w:tc>
        <w:tc>
          <w:tcPr>
            <w:tcW w:w="1212" w:type="dxa"/>
            <w:tcBorders>
              <w:top w:val="single" w:sz="4" w:space="0" w:color="585858"/>
              <w:bottom w:val="single" w:sz="4" w:space="0" w:color="585858"/>
            </w:tcBorders>
          </w:tcPr>
          <w:p>
            <w:pPr>
              <w:pStyle w:val="TableParagraph"/>
              <w:spacing w:before="45"/>
              <w:ind w:left="179"/>
              <w:rPr>
                <w:sz w:val="16"/>
              </w:rPr>
            </w:pPr>
            <w:r>
              <w:rPr>
                <w:sz w:val="16"/>
              </w:rPr>
              <w:t>24.4</w:t>
            </w:r>
          </w:p>
        </w:tc>
        <w:tc>
          <w:tcPr>
            <w:tcW w:w="810" w:type="dxa"/>
            <w:tcBorders>
              <w:top w:val="single" w:sz="4" w:space="0" w:color="585858"/>
              <w:bottom w:val="single" w:sz="4" w:space="0" w:color="585858"/>
            </w:tcBorders>
          </w:tcPr>
          <w:p>
            <w:pPr>
              <w:pStyle w:val="TableParagraph"/>
              <w:spacing w:before="45"/>
              <w:ind w:right="186"/>
              <w:jc w:val="right"/>
              <w:rPr>
                <w:sz w:val="16"/>
              </w:rPr>
            </w:pPr>
            <w:r>
              <w:rPr>
                <w:sz w:val="16"/>
              </w:rPr>
              <w:t>211</w:t>
            </w:r>
          </w:p>
        </w:tc>
        <w:tc>
          <w:tcPr>
            <w:tcW w:w="1146" w:type="dxa"/>
            <w:tcBorders>
              <w:top w:val="single" w:sz="4" w:space="0" w:color="585858"/>
              <w:bottom w:val="single" w:sz="4" w:space="0" w:color="585858"/>
            </w:tcBorders>
          </w:tcPr>
          <w:p>
            <w:pPr>
              <w:pStyle w:val="TableParagraph"/>
              <w:spacing w:before="45"/>
              <w:ind w:left="177"/>
              <w:rPr>
                <w:sz w:val="16"/>
              </w:rPr>
            </w:pPr>
            <w:r>
              <w:rPr>
                <w:sz w:val="16"/>
              </w:rPr>
              <w:t>33.2</w:t>
            </w:r>
          </w:p>
        </w:tc>
        <w:tc>
          <w:tcPr>
            <w:tcW w:w="872" w:type="dxa"/>
            <w:tcBorders>
              <w:top w:val="single" w:sz="4" w:space="0" w:color="585858"/>
              <w:bottom w:val="single" w:sz="4" w:space="0" w:color="585858"/>
            </w:tcBorders>
          </w:tcPr>
          <w:p>
            <w:pPr>
              <w:pStyle w:val="TableParagraph"/>
              <w:spacing w:before="45"/>
              <w:ind w:right="188"/>
              <w:jc w:val="right"/>
              <w:rPr>
                <w:sz w:val="16"/>
              </w:rPr>
            </w:pPr>
            <w:r>
              <w:rPr>
                <w:sz w:val="16"/>
              </w:rPr>
              <w:t>381</w:t>
            </w:r>
          </w:p>
        </w:tc>
        <w:tc>
          <w:tcPr>
            <w:tcW w:w="1210" w:type="dxa"/>
            <w:tcBorders>
              <w:top w:val="single" w:sz="4" w:space="0" w:color="585858"/>
              <w:bottom w:val="single" w:sz="4" w:space="0" w:color="585858"/>
            </w:tcBorders>
          </w:tcPr>
          <w:p>
            <w:pPr>
              <w:pStyle w:val="TableParagraph"/>
              <w:spacing w:before="45"/>
              <w:ind w:left="175"/>
              <w:rPr>
                <w:sz w:val="16"/>
              </w:rPr>
            </w:pPr>
            <w:r>
              <w:rPr>
                <w:sz w:val="16"/>
              </w:rPr>
              <w:t>25.9</w:t>
            </w:r>
          </w:p>
        </w:tc>
        <w:tc>
          <w:tcPr>
            <w:tcW w:w="810" w:type="dxa"/>
            <w:tcBorders>
              <w:top w:val="single" w:sz="4" w:space="0" w:color="585858"/>
              <w:bottom w:val="single" w:sz="4" w:space="0" w:color="585858"/>
            </w:tcBorders>
          </w:tcPr>
          <w:p>
            <w:pPr>
              <w:pStyle w:val="TableParagraph"/>
              <w:spacing w:before="45"/>
              <w:ind w:right="192"/>
              <w:jc w:val="right"/>
              <w:rPr>
                <w:sz w:val="16"/>
              </w:rPr>
            </w:pPr>
            <w:r>
              <w:rPr>
                <w:sz w:val="16"/>
              </w:rPr>
              <w:t>168</w:t>
            </w:r>
          </w:p>
        </w:tc>
        <w:tc>
          <w:tcPr>
            <w:tcW w:w="1206" w:type="dxa"/>
            <w:tcBorders>
              <w:top w:val="single" w:sz="4" w:space="0" w:color="585858"/>
              <w:bottom w:val="single" w:sz="4" w:space="0" w:color="585858"/>
            </w:tcBorders>
          </w:tcPr>
          <w:p>
            <w:pPr>
              <w:pStyle w:val="TableParagraph"/>
              <w:spacing w:before="45"/>
              <w:ind w:left="175"/>
              <w:rPr>
                <w:sz w:val="16"/>
              </w:rPr>
            </w:pPr>
            <w:r>
              <w:rPr>
                <w:sz w:val="16"/>
              </w:rPr>
              <w:t>24.5</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15</w:t>
            </w:r>
          </w:p>
        </w:tc>
        <w:tc>
          <w:tcPr>
            <w:tcW w:w="1255" w:type="dxa"/>
            <w:gridSpan w:val="2"/>
            <w:tcBorders>
              <w:top w:val="single" w:sz="4" w:space="0" w:color="585858"/>
              <w:bottom w:val="single" w:sz="4" w:space="0" w:color="585858"/>
            </w:tcBorders>
          </w:tcPr>
          <w:p>
            <w:pPr>
              <w:pStyle w:val="TableParagraph"/>
              <w:spacing w:before="45"/>
              <w:ind w:left="171"/>
              <w:rPr>
                <w:sz w:val="16"/>
              </w:rPr>
            </w:pPr>
            <w:r>
              <w:rPr>
                <w:sz w:val="16"/>
              </w:rPr>
              <w:t>15.5</w:t>
            </w:r>
          </w:p>
        </w:tc>
      </w:tr>
      <w:tr>
        <w:trPr>
          <w:trHeight w:val="262" w:hRule="atLeast"/>
        </w:trPr>
        <w:tc>
          <w:tcPr>
            <w:tcW w:w="2987" w:type="dxa"/>
            <w:tcBorders>
              <w:top w:val="single" w:sz="4" w:space="0" w:color="585858"/>
              <w:bottom w:val="single" w:sz="4" w:space="0" w:color="585858"/>
            </w:tcBorders>
          </w:tcPr>
          <w:p>
            <w:pPr>
              <w:pStyle w:val="TableParagraph"/>
              <w:spacing w:before="41"/>
              <w:ind w:left="114"/>
              <w:rPr>
                <w:sz w:val="16"/>
              </w:rPr>
            </w:pPr>
            <w:r>
              <w:rPr>
                <w:sz w:val="16"/>
              </w:rPr>
              <w:t>Faculty Rank</w:t>
            </w:r>
          </w:p>
        </w:tc>
        <w:tc>
          <w:tcPr>
            <w:tcW w:w="660" w:type="dxa"/>
            <w:tcBorders>
              <w:top w:val="single" w:sz="4" w:space="0" w:color="585858"/>
              <w:bottom w:val="single" w:sz="4" w:space="0" w:color="585858"/>
            </w:tcBorders>
          </w:tcPr>
          <w:p>
            <w:pPr>
              <w:pStyle w:val="TableParagraph"/>
              <w:spacing w:before="0"/>
              <w:rPr>
                <w:rFonts w:ascii="Times New Roman"/>
                <w:sz w:val="16"/>
              </w:rPr>
            </w:pPr>
          </w:p>
        </w:tc>
        <w:tc>
          <w:tcPr>
            <w:tcW w:w="1212"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146" w:type="dxa"/>
            <w:tcBorders>
              <w:top w:val="single" w:sz="4" w:space="0" w:color="585858"/>
              <w:bottom w:val="single" w:sz="4" w:space="0" w:color="585858"/>
            </w:tcBorders>
          </w:tcPr>
          <w:p>
            <w:pPr>
              <w:pStyle w:val="TableParagraph"/>
              <w:spacing w:before="0"/>
              <w:rPr>
                <w:rFonts w:ascii="Times New Roman"/>
                <w:sz w:val="16"/>
              </w:rPr>
            </w:pPr>
          </w:p>
        </w:tc>
        <w:tc>
          <w:tcPr>
            <w:tcW w:w="872" w:type="dxa"/>
            <w:tcBorders>
              <w:top w:val="single" w:sz="4" w:space="0" w:color="585858"/>
              <w:bottom w:val="single" w:sz="4" w:space="0" w:color="585858"/>
            </w:tcBorders>
          </w:tcPr>
          <w:p>
            <w:pPr>
              <w:pStyle w:val="TableParagraph"/>
              <w:spacing w:before="0"/>
              <w:rPr>
                <w:rFonts w:ascii="Times New Roman"/>
                <w:sz w:val="16"/>
              </w:rPr>
            </w:pPr>
          </w:p>
        </w:tc>
        <w:tc>
          <w:tcPr>
            <w:tcW w:w="1210"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06"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55"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66" w:hRule="atLeast"/>
        </w:trPr>
        <w:tc>
          <w:tcPr>
            <w:tcW w:w="2987" w:type="dxa"/>
            <w:tcBorders>
              <w:top w:val="single" w:sz="4" w:space="0" w:color="585858"/>
              <w:bottom w:val="single" w:sz="4" w:space="0" w:color="585858"/>
            </w:tcBorders>
          </w:tcPr>
          <w:p>
            <w:pPr>
              <w:pStyle w:val="TableParagraph"/>
              <w:spacing w:before="45"/>
              <w:ind w:right="253"/>
              <w:jc w:val="right"/>
              <w:rPr>
                <w:sz w:val="16"/>
              </w:rPr>
            </w:pPr>
            <w:r>
              <w:rPr>
                <w:sz w:val="16"/>
              </w:rPr>
              <w:t>Assistant professor (tenure-track)</w:t>
            </w:r>
          </w:p>
        </w:tc>
        <w:tc>
          <w:tcPr>
            <w:tcW w:w="660" w:type="dxa"/>
            <w:tcBorders>
              <w:top w:val="single" w:sz="4" w:space="0" w:color="585858"/>
              <w:bottom w:val="single" w:sz="4" w:space="0" w:color="585858"/>
            </w:tcBorders>
          </w:tcPr>
          <w:p>
            <w:pPr>
              <w:pStyle w:val="TableParagraph"/>
              <w:spacing w:before="45"/>
              <w:ind w:left="189" w:right="67"/>
              <w:jc w:val="center"/>
              <w:rPr>
                <w:sz w:val="16"/>
              </w:rPr>
            </w:pPr>
            <w:r>
              <w:rPr>
                <w:sz w:val="16"/>
              </w:rPr>
              <w:t>58</w:t>
            </w:r>
          </w:p>
        </w:tc>
        <w:tc>
          <w:tcPr>
            <w:tcW w:w="1212" w:type="dxa"/>
            <w:tcBorders>
              <w:top w:val="single" w:sz="4" w:space="0" w:color="585858"/>
              <w:bottom w:val="single" w:sz="4" w:space="0" w:color="585858"/>
            </w:tcBorders>
          </w:tcPr>
          <w:p>
            <w:pPr>
              <w:pStyle w:val="TableParagraph"/>
              <w:tabs>
                <w:tab w:pos="706" w:val="left" w:leader="none"/>
              </w:tabs>
              <w:spacing w:before="45"/>
              <w:ind w:left="267"/>
              <w:rPr>
                <w:sz w:val="16"/>
              </w:rPr>
            </w:pPr>
            <w:r>
              <w:rPr>
                <w:sz w:val="16"/>
              </w:rPr>
              <w:t>7.2</w:t>
              <w:tab/>
              <w:t>%</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47</w:t>
            </w:r>
          </w:p>
        </w:tc>
        <w:tc>
          <w:tcPr>
            <w:tcW w:w="1146" w:type="dxa"/>
            <w:tcBorders>
              <w:top w:val="single" w:sz="4" w:space="0" w:color="585858"/>
              <w:bottom w:val="single" w:sz="4" w:space="0" w:color="585858"/>
            </w:tcBorders>
          </w:tcPr>
          <w:p>
            <w:pPr>
              <w:pStyle w:val="TableParagraph"/>
              <w:tabs>
                <w:tab w:pos="708" w:val="left" w:leader="none"/>
              </w:tabs>
              <w:spacing w:before="45"/>
              <w:ind w:left="265"/>
              <w:rPr>
                <w:sz w:val="16"/>
              </w:rPr>
            </w:pPr>
            <w:r>
              <w:rPr>
                <w:sz w:val="16"/>
              </w:rPr>
              <w:t>7.4</w:t>
              <w:tab/>
              <w:t>%</w:t>
            </w:r>
          </w:p>
        </w:tc>
        <w:tc>
          <w:tcPr>
            <w:tcW w:w="872" w:type="dxa"/>
            <w:tcBorders>
              <w:top w:val="single" w:sz="4" w:space="0" w:color="585858"/>
              <w:bottom w:val="single" w:sz="4" w:space="0" w:color="585858"/>
            </w:tcBorders>
          </w:tcPr>
          <w:p>
            <w:pPr>
              <w:pStyle w:val="TableParagraph"/>
              <w:spacing w:before="45"/>
              <w:ind w:right="186"/>
              <w:jc w:val="right"/>
              <w:rPr>
                <w:sz w:val="16"/>
              </w:rPr>
            </w:pPr>
            <w:r>
              <w:rPr>
                <w:sz w:val="16"/>
              </w:rPr>
              <w:t>n/a</w:t>
            </w:r>
          </w:p>
        </w:tc>
        <w:tc>
          <w:tcPr>
            <w:tcW w:w="1210" w:type="dxa"/>
            <w:tcBorders>
              <w:top w:val="single" w:sz="4" w:space="0" w:color="585858"/>
              <w:bottom w:val="single" w:sz="4" w:space="0" w:color="585858"/>
            </w:tcBorders>
          </w:tcPr>
          <w:p>
            <w:pPr>
              <w:pStyle w:val="TableParagraph"/>
              <w:tabs>
                <w:tab w:pos="702" w:val="left" w:leader="none"/>
              </w:tabs>
              <w:spacing w:before="45"/>
              <w:ind w:left="263"/>
              <w:rPr>
                <w:sz w:val="16"/>
              </w:rPr>
            </w:pPr>
            <w:r>
              <w:rPr>
                <w:sz w:val="16"/>
              </w:rPr>
              <w:t>n/a</w:t>
              <w:tab/>
              <w:t>%</w:t>
            </w:r>
          </w:p>
        </w:tc>
        <w:tc>
          <w:tcPr>
            <w:tcW w:w="810" w:type="dxa"/>
            <w:tcBorders>
              <w:top w:val="single" w:sz="4" w:space="0" w:color="585858"/>
              <w:bottom w:val="single" w:sz="4" w:space="0" w:color="585858"/>
            </w:tcBorders>
          </w:tcPr>
          <w:p>
            <w:pPr>
              <w:pStyle w:val="TableParagraph"/>
              <w:spacing w:before="45"/>
              <w:ind w:right="190"/>
              <w:jc w:val="right"/>
              <w:rPr>
                <w:sz w:val="16"/>
              </w:rPr>
            </w:pPr>
            <w:r>
              <w:rPr>
                <w:sz w:val="16"/>
              </w:rPr>
              <w:t>n/a</w:t>
            </w:r>
          </w:p>
        </w:tc>
        <w:tc>
          <w:tcPr>
            <w:tcW w:w="1206" w:type="dxa"/>
            <w:tcBorders>
              <w:top w:val="single" w:sz="4" w:space="0" w:color="585858"/>
              <w:bottom w:val="single" w:sz="4" w:space="0" w:color="585858"/>
            </w:tcBorders>
          </w:tcPr>
          <w:p>
            <w:pPr>
              <w:pStyle w:val="TableParagraph"/>
              <w:tabs>
                <w:tab w:pos="698" w:val="left" w:leader="none"/>
              </w:tabs>
              <w:spacing w:before="45"/>
              <w:ind w:left="263"/>
              <w:rPr>
                <w:sz w:val="16"/>
              </w:rPr>
            </w:pPr>
            <w:r>
              <w:rPr>
                <w:sz w:val="16"/>
              </w:rPr>
              <w:t>n/a</w:t>
              <w:tab/>
              <w:t>%</w:t>
            </w:r>
          </w:p>
        </w:tc>
        <w:tc>
          <w:tcPr>
            <w:tcW w:w="810" w:type="dxa"/>
            <w:tcBorders>
              <w:top w:val="single" w:sz="4" w:space="0" w:color="585858"/>
              <w:bottom w:val="single" w:sz="4" w:space="0" w:color="585858"/>
            </w:tcBorders>
          </w:tcPr>
          <w:p>
            <w:pPr>
              <w:pStyle w:val="TableParagraph"/>
              <w:spacing w:before="45"/>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5"/>
              <w:ind w:right="118"/>
              <w:jc w:val="right"/>
              <w:rPr>
                <w:sz w:val="16"/>
              </w:rPr>
            </w:pPr>
            <w:r>
              <w:rPr>
                <w:sz w:val="16"/>
              </w:rPr>
              <w:t>3.1</w:t>
            </w:r>
          </w:p>
        </w:tc>
        <w:tc>
          <w:tcPr>
            <w:tcW w:w="655" w:type="dxa"/>
            <w:tcBorders>
              <w:top w:val="single" w:sz="4" w:space="0" w:color="585858"/>
              <w:bottom w:val="single" w:sz="4" w:space="0" w:color="585858"/>
            </w:tcBorders>
          </w:tcPr>
          <w:p>
            <w:pPr>
              <w:pStyle w:val="TableParagraph"/>
              <w:spacing w:before="45"/>
              <w:ind w:left="99"/>
              <w:rPr>
                <w:sz w:val="16"/>
              </w:rPr>
            </w:pPr>
            <w:r>
              <w:rPr>
                <w:sz w:val="16"/>
              </w:rPr>
              <w:t>%!</w:t>
            </w:r>
          </w:p>
        </w:tc>
      </w:tr>
      <w:tr>
        <w:trPr>
          <w:trHeight w:val="261" w:hRule="atLeast"/>
        </w:trPr>
        <w:tc>
          <w:tcPr>
            <w:tcW w:w="2987" w:type="dxa"/>
            <w:tcBorders>
              <w:top w:val="single" w:sz="4" w:space="0" w:color="585858"/>
              <w:bottom w:val="single" w:sz="4" w:space="0" w:color="585858"/>
            </w:tcBorders>
          </w:tcPr>
          <w:p>
            <w:pPr>
              <w:pStyle w:val="TableParagraph"/>
              <w:spacing w:before="41"/>
              <w:ind w:right="209"/>
              <w:jc w:val="right"/>
              <w:rPr>
                <w:sz w:val="16"/>
              </w:rPr>
            </w:pPr>
            <w:r>
              <w:rPr>
                <w:sz w:val="16"/>
              </w:rPr>
              <w:t>Associate professor (tenure-track)</w:t>
            </w:r>
          </w:p>
        </w:tc>
        <w:tc>
          <w:tcPr>
            <w:tcW w:w="660" w:type="dxa"/>
            <w:tcBorders>
              <w:top w:val="single" w:sz="4" w:space="0" w:color="585858"/>
              <w:bottom w:val="single" w:sz="4" w:space="0" w:color="585858"/>
            </w:tcBorders>
          </w:tcPr>
          <w:p>
            <w:pPr>
              <w:pStyle w:val="TableParagraph"/>
              <w:spacing w:before="41"/>
              <w:ind w:left="189" w:right="67"/>
              <w:jc w:val="center"/>
              <w:rPr>
                <w:sz w:val="16"/>
              </w:rPr>
            </w:pPr>
            <w:r>
              <w:rPr>
                <w:sz w:val="16"/>
              </w:rPr>
              <w:t>95</w:t>
            </w:r>
          </w:p>
        </w:tc>
        <w:tc>
          <w:tcPr>
            <w:tcW w:w="1212" w:type="dxa"/>
            <w:tcBorders>
              <w:top w:val="single" w:sz="4" w:space="0" w:color="585858"/>
              <w:bottom w:val="single" w:sz="4" w:space="0" w:color="585858"/>
            </w:tcBorders>
          </w:tcPr>
          <w:p>
            <w:pPr>
              <w:pStyle w:val="TableParagraph"/>
              <w:spacing w:before="41"/>
              <w:ind w:left="179"/>
              <w:rPr>
                <w:sz w:val="16"/>
              </w:rPr>
            </w:pPr>
            <w:r>
              <w:rPr>
                <w:sz w:val="16"/>
              </w:rPr>
              <w:t>11.8</w:t>
            </w:r>
          </w:p>
        </w:tc>
        <w:tc>
          <w:tcPr>
            <w:tcW w:w="810" w:type="dxa"/>
            <w:tcBorders>
              <w:top w:val="single" w:sz="4" w:space="0" w:color="585858"/>
              <w:bottom w:val="single" w:sz="4" w:space="0" w:color="585858"/>
            </w:tcBorders>
          </w:tcPr>
          <w:p>
            <w:pPr>
              <w:pStyle w:val="TableParagraph"/>
              <w:spacing w:before="41"/>
              <w:ind w:right="182"/>
              <w:jc w:val="right"/>
              <w:rPr>
                <w:sz w:val="16"/>
              </w:rPr>
            </w:pPr>
            <w:r>
              <w:rPr>
                <w:sz w:val="16"/>
              </w:rPr>
              <w:t>73</w:t>
            </w:r>
          </w:p>
        </w:tc>
        <w:tc>
          <w:tcPr>
            <w:tcW w:w="1146" w:type="dxa"/>
            <w:tcBorders>
              <w:top w:val="single" w:sz="4" w:space="0" w:color="585858"/>
              <w:bottom w:val="single" w:sz="4" w:space="0" w:color="585858"/>
            </w:tcBorders>
          </w:tcPr>
          <w:p>
            <w:pPr>
              <w:pStyle w:val="TableParagraph"/>
              <w:spacing w:before="41"/>
              <w:ind w:left="177"/>
              <w:rPr>
                <w:sz w:val="16"/>
              </w:rPr>
            </w:pPr>
            <w:r>
              <w:rPr>
                <w:sz w:val="16"/>
              </w:rPr>
              <w:t>11.5</w:t>
            </w:r>
          </w:p>
        </w:tc>
        <w:tc>
          <w:tcPr>
            <w:tcW w:w="872" w:type="dxa"/>
            <w:tcBorders>
              <w:top w:val="single" w:sz="4" w:space="0" w:color="585858"/>
              <w:bottom w:val="single" w:sz="4" w:space="0" w:color="585858"/>
            </w:tcBorders>
          </w:tcPr>
          <w:p>
            <w:pPr>
              <w:pStyle w:val="TableParagraph"/>
              <w:spacing w:before="41"/>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1"/>
              <w:ind w:right="118"/>
              <w:jc w:val="right"/>
              <w:rPr>
                <w:sz w:val="16"/>
              </w:rPr>
            </w:pPr>
            <w:r>
              <w:rPr>
                <w:sz w:val="16"/>
              </w:rPr>
              <w:t>4.1</w:t>
            </w:r>
          </w:p>
        </w:tc>
        <w:tc>
          <w:tcPr>
            <w:tcW w:w="655" w:type="dxa"/>
            <w:tcBorders>
              <w:top w:val="single" w:sz="4" w:space="0" w:color="585858"/>
              <w:bottom w:val="single" w:sz="4" w:space="0" w:color="585858"/>
            </w:tcBorders>
          </w:tcPr>
          <w:p>
            <w:pPr>
              <w:pStyle w:val="TableParagraph"/>
              <w:spacing w:before="41"/>
              <w:ind w:left="99"/>
              <w:rPr>
                <w:sz w:val="16"/>
              </w:rPr>
            </w:pPr>
            <w:r>
              <w:rPr>
                <w:sz w:val="16"/>
              </w:rPr>
              <w:t>!</w:t>
            </w:r>
          </w:p>
        </w:tc>
      </w:tr>
      <w:tr>
        <w:trPr>
          <w:trHeight w:val="265"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Professor (tenure-track)</w:t>
            </w:r>
          </w:p>
        </w:tc>
        <w:tc>
          <w:tcPr>
            <w:tcW w:w="660" w:type="dxa"/>
            <w:tcBorders>
              <w:top w:val="single" w:sz="4" w:space="0" w:color="585858"/>
              <w:bottom w:val="single" w:sz="4" w:space="0" w:color="585858"/>
            </w:tcBorders>
          </w:tcPr>
          <w:p>
            <w:pPr>
              <w:pStyle w:val="TableParagraph"/>
              <w:spacing w:before="45"/>
              <w:ind w:left="189" w:right="67"/>
              <w:jc w:val="center"/>
              <w:rPr>
                <w:sz w:val="16"/>
              </w:rPr>
            </w:pPr>
            <w:r>
              <w:rPr>
                <w:sz w:val="16"/>
              </w:rPr>
              <w:t>89</w:t>
            </w:r>
          </w:p>
        </w:tc>
        <w:tc>
          <w:tcPr>
            <w:tcW w:w="1212" w:type="dxa"/>
            <w:tcBorders>
              <w:top w:val="single" w:sz="4" w:space="0" w:color="585858"/>
              <w:bottom w:val="single" w:sz="4" w:space="0" w:color="585858"/>
            </w:tcBorders>
          </w:tcPr>
          <w:p>
            <w:pPr>
              <w:pStyle w:val="TableParagraph"/>
              <w:spacing w:before="45"/>
              <w:ind w:left="179"/>
              <w:rPr>
                <w:sz w:val="16"/>
              </w:rPr>
            </w:pPr>
            <w:r>
              <w:rPr>
                <w:sz w:val="16"/>
              </w:rPr>
              <w:t>11.1</w:t>
            </w:r>
          </w:p>
        </w:tc>
        <w:tc>
          <w:tcPr>
            <w:tcW w:w="810" w:type="dxa"/>
            <w:tcBorders>
              <w:top w:val="single" w:sz="4" w:space="0" w:color="585858"/>
              <w:bottom w:val="single" w:sz="4" w:space="0" w:color="585858"/>
            </w:tcBorders>
          </w:tcPr>
          <w:p>
            <w:pPr>
              <w:pStyle w:val="TableParagraph"/>
              <w:spacing w:before="45"/>
              <w:ind w:right="186"/>
              <w:jc w:val="right"/>
              <w:rPr>
                <w:sz w:val="16"/>
              </w:rPr>
            </w:pPr>
            <w:r>
              <w:rPr>
                <w:sz w:val="16"/>
              </w:rPr>
              <w:t>153</w:t>
            </w:r>
          </w:p>
        </w:tc>
        <w:tc>
          <w:tcPr>
            <w:tcW w:w="1146" w:type="dxa"/>
            <w:tcBorders>
              <w:top w:val="single" w:sz="4" w:space="0" w:color="585858"/>
              <w:bottom w:val="single" w:sz="4" w:space="0" w:color="585858"/>
            </w:tcBorders>
          </w:tcPr>
          <w:p>
            <w:pPr>
              <w:pStyle w:val="TableParagraph"/>
              <w:spacing w:before="45"/>
              <w:ind w:left="177"/>
              <w:rPr>
                <w:sz w:val="16"/>
              </w:rPr>
            </w:pPr>
            <w:r>
              <w:rPr>
                <w:sz w:val="16"/>
              </w:rPr>
              <w:t>24.1</w:t>
            </w:r>
          </w:p>
        </w:tc>
        <w:tc>
          <w:tcPr>
            <w:tcW w:w="872" w:type="dxa"/>
            <w:tcBorders>
              <w:top w:val="single" w:sz="4" w:space="0" w:color="585858"/>
              <w:bottom w:val="single" w:sz="4" w:space="0" w:color="585858"/>
            </w:tcBorders>
          </w:tcPr>
          <w:p>
            <w:pPr>
              <w:pStyle w:val="TableParagraph"/>
              <w:spacing w:before="45"/>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5"/>
              <w:ind w:left="263"/>
              <w:rPr>
                <w:sz w:val="16"/>
              </w:rPr>
            </w:pPr>
            <w:r>
              <w:rPr>
                <w:sz w:val="16"/>
              </w:rPr>
              <w:t>n/a</w:t>
            </w:r>
          </w:p>
        </w:tc>
        <w:tc>
          <w:tcPr>
            <w:tcW w:w="810" w:type="dxa"/>
            <w:tcBorders>
              <w:top w:val="single" w:sz="4" w:space="0" w:color="585858"/>
              <w:bottom w:val="single" w:sz="4" w:space="0" w:color="585858"/>
            </w:tcBorders>
          </w:tcPr>
          <w:p>
            <w:pPr>
              <w:pStyle w:val="TableParagraph"/>
              <w:spacing w:before="45"/>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5"/>
              <w:ind w:left="263"/>
              <w:rPr>
                <w:sz w:val="16"/>
              </w:rPr>
            </w:pPr>
            <w:r>
              <w:rPr>
                <w:sz w:val="16"/>
              </w:rPr>
              <w:t>n/a</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10</w:t>
            </w:r>
          </w:p>
        </w:tc>
        <w:tc>
          <w:tcPr>
            <w:tcW w:w="1255" w:type="dxa"/>
            <w:gridSpan w:val="2"/>
            <w:tcBorders>
              <w:top w:val="single" w:sz="4" w:space="0" w:color="585858"/>
              <w:bottom w:val="single" w:sz="4" w:space="0" w:color="585858"/>
            </w:tcBorders>
          </w:tcPr>
          <w:p>
            <w:pPr>
              <w:pStyle w:val="TableParagraph"/>
              <w:spacing w:before="45"/>
              <w:ind w:left="171"/>
              <w:rPr>
                <w:sz w:val="16"/>
              </w:rPr>
            </w:pPr>
            <w:r>
              <w:rPr>
                <w:sz w:val="16"/>
              </w:rPr>
              <w:t>10.3</w:t>
            </w:r>
          </w:p>
        </w:tc>
      </w:tr>
      <w:tr>
        <w:trPr>
          <w:trHeight w:val="262"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Instructor (non-tenure track)</w:t>
            </w:r>
          </w:p>
        </w:tc>
        <w:tc>
          <w:tcPr>
            <w:tcW w:w="660" w:type="dxa"/>
            <w:tcBorders>
              <w:top w:val="single" w:sz="4" w:space="0" w:color="585858"/>
              <w:bottom w:val="single" w:sz="4" w:space="0" w:color="585858"/>
            </w:tcBorders>
          </w:tcPr>
          <w:p>
            <w:pPr>
              <w:pStyle w:val="TableParagraph"/>
              <w:spacing w:before="41"/>
              <w:ind w:left="186" w:right="160"/>
              <w:jc w:val="center"/>
              <w:rPr>
                <w:sz w:val="16"/>
              </w:rPr>
            </w:pPr>
            <w:r>
              <w:rPr>
                <w:sz w:val="16"/>
              </w:rPr>
              <w:t>169</w:t>
            </w:r>
          </w:p>
        </w:tc>
        <w:tc>
          <w:tcPr>
            <w:tcW w:w="1212" w:type="dxa"/>
            <w:tcBorders>
              <w:top w:val="single" w:sz="4" w:space="0" w:color="585858"/>
              <w:bottom w:val="single" w:sz="4" w:space="0" w:color="585858"/>
            </w:tcBorders>
          </w:tcPr>
          <w:p>
            <w:pPr>
              <w:pStyle w:val="TableParagraph"/>
              <w:spacing w:before="41"/>
              <w:ind w:left="179"/>
              <w:rPr>
                <w:sz w:val="16"/>
              </w:rPr>
            </w:pPr>
            <w:r>
              <w:rPr>
                <w:sz w:val="16"/>
              </w:rPr>
              <w:t>21.1</w:t>
            </w:r>
          </w:p>
        </w:tc>
        <w:tc>
          <w:tcPr>
            <w:tcW w:w="810" w:type="dxa"/>
            <w:tcBorders>
              <w:top w:val="single" w:sz="4" w:space="0" w:color="585858"/>
              <w:bottom w:val="single" w:sz="4" w:space="0" w:color="585858"/>
            </w:tcBorders>
          </w:tcPr>
          <w:p>
            <w:pPr>
              <w:pStyle w:val="TableParagraph"/>
              <w:spacing w:before="41"/>
              <w:ind w:right="186"/>
              <w:jc w:val="right"/>
              <w:rPr>
                <w:sz w:val="16"/>
              </w:rPr>
            </w:pPr>
            <w:r>
              <w:rPr>
                <w:sz w:val="16"/>
              </w:rPr>
              <w:t>113</w:t>
            </w:r>
          </w:p>
        </w:tc>
        <w:tc>
          <w:tcPr>
            <w:tcW w:w="1146" w:type="dxa"/>
            <w:tcBorders>
              <w:top w:val="single" w:sz="4" w:space="0" w:color="585858"/>
              <w:bottom w:val="single" w:sz="4" w:space="0" w:color="585858"/>
            </w:tcBorders>
          </w:tcPr>
          <w:p>
            <w:pPr>
              <w:pStyle w:val="TableParagraph"/>
              <w:spacing w:before="41"/>
              <w:ind w:left="177"/>
              <w:rPr>
                <w:sz w:val="16"/>
              </w:rPr>
            </w:pPr>
            <w:r>
              <w:rPr>
                <w:sz w:val="16"/>
              </w:rPr>
              <w:t>17.8</w:t>
            </w:r>
          </w:p>
        </w:tc>
        <w:tc>
          <w:tcPr>
            <w:tcW w:w="872" w:type="dxa"/>
            <w:tcBorders>
              <w:top w:val="single" w:sz="4" w:space="0" w:color="585858"/>
              <w:bottom w:val="single" w:sz="4" w:space="0" w:color="585858"/>
            </w:tcBorders>
          </w:tcPr>
          <w:p>
            <w:pPr>
              <w:pStyle w:val="TableParagraph"/>
              <w:spacing w:before="41"/>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1"/>
              <w:ind w:right="118"/>
              <w:jc w:val="right"/>
              <w:rPr>
                <w:sz w:val="16"/>
              </w:rPr>
            </w:pPr>
            <w:r>
              <w:rPr>
                <w:sz w:val="16"/>
              </w:rPr>
              <w:t>7.2</w:t>
            </w:r>
          </w:p>
        </w:tc>
        <w:tc>
          <w:tcPr>
            <w:tcW w:w="655" w:type="dxa"/>
            <w:tcBorders>
              <w:top w:val="single" w:sz="4" w:space="0" w:color="585858"/>
              <w:bottom w:val="single" w:sz="4" w:space="0" w:color="585858"/>
            </w:tcBorders>
          </w:tcPr>
          <w:p>
            <w:pPr>
              <w:pStyle w:val="TableParagraph"/>
              <w:spacing w:before="41"/>
              <w:ind w:left="99"/>
              <w:rPr>
                <w:sz w:val="16"/>
              </w:rPr>
            </w:pPr>
            <w:r>
              <w:rPr>
                <w:sz w:val="16"/>
              </w:rPr>
              <w:t>!</w:t>
            </w:r>
          </w:p>
        </w:tc>
      </w:tr>
      <w:tr>
        <w:trPr>
          <w:trHeight w:val="633" w:hRule="atLeast"/>
        </w:trPr>
        <w:tc>
          <w:tcPr>
            <w:tcW w:w="2987" w:type="dxa"/>
            <w:tcBorders>
              <w:top w:val="single" w:sz="4" w:space="0" w:color="585858"/>
              <w:bottom w:val="single" w:sz="4" w:space="0" w:color="585858"/>
            </w:tcBorders>
          </w:tcPr>
          <w:p>
            <w:pPr>
              <w:pStyle w:val="TableParagraph"/>
              <w:spacing w:before="45"/>
              <w:ind w:left="370" w:right="498"/>
              <w:rPr>
                <w:sz w:val="16"/>
              </w:rPr>
            </w:pPr>
            <w:r>
              <w:rPr>
                <w:sz w:val="16"/>
              </w:rPr>
              <w:t>Temporary/non-tenure track (including adjunct, lecturer, visiting scholar, etc.)</w:t>
            </w:r>
          </w:p>
        </w:tc>
        <w:tc>
          <w:tcPr>
            <w:tcW w:w="660" w:type="dxa"/>
            <w:tcBorders>
              <w:top w:val="single" w:sz="4" w:space="0" w:color="585858"/>
              <w:bottom w:val="single" w:sz="4" w:space="0" w:color="585858"/>
            </w:tcBorders>
          </w:tcPr>
          <w:p>
            <w:pPr>
              <w:pStyle w:val="TableParagraph"/>
              <w:spacing w:before="45"/>
              <w:ind w:left="189" w:right="67"/>
              <w:jc w:val="center"/>
              <w:rPr>
                <w:sz w:val="16"/>
              </w:rPr>
            </w:pPr>
            <w:r>
              <w:rPr>
                <w:sz w:val="16"/>
              </w:rPr>
              <w:t>24</w:t>
            </w:r>
          </w:p>
        </w:tc>
        <w:tc>
          <w:tcPr>
            <w:tcW w:w="1212" w:type="dxa"/>
            <w:tcBorders>
              <w:top w:val="single" w:sz="4" w:space="0" w:color="585858"/>
              <w:bottom w:val="single" w:sz="4" w:space="0" w:color="585858"/>
            </w:tcBorders>
          </w:tcPr>
          <w:p>
            <w:pPr>
              <w:pStyle w:val="TableParagraph"/>
              <w:spacing w:before="45"/>
              <w:ind w:left="267"/>
              <w:rPr>
                <w:sz w:val="16"/>
              </w:rPr>
            </w:pPr>
            <w:r>
              <w:rPr>
                <w:sz w:val="16"/>
              </w:rPr>
              <w:t>3.0</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21</w:t>
            </w:r>
          </w:p>
        </w:tc>
        <w:tc>
          <w:tcPr>
            <w:tcW w:w="1146" w:type="dxa"/>
            <w:tcBorders>
              <w:top w:val="single" w:sz="4" w:space="0" w:color="585858"/>
              <w:bottom w:val="single" w:sz="4" w:space="0" w:color="585858"/>
            </w:tcBorders>
          </w:tcPr>
          <w:p>
            <w:pPr>
              <w:pStyle w:val="TableParagraph"/>
              <w:spacing w:before="45"/>
              <w:ind w:left="265"/>
              <w:rPr>
                <w:sz w:val="16"/>
              </w:rPr>
            </w:pPr>
            <w:r>
              <w:rPr>
                <w:sz w:val="16"/>
              </w:rPr>
              <w:t>3.3</w:t>
            </w:r>
          </w:p>
        </w:tc>
        <w:tc>
          <w:tcPr>
            <w:tcW w:w="872" w:type="dxa"/>
            <w:tcBorders>
              <w:top w:val="single" w:sz="4" w:space="0" w:color="585858"/>
              <w:bottom w:val="single" w:sz="4" w:space="0" w:color="585858"/>
            </w:tcBorders>
          </w:tcPr>
          <w:p>
            <w:pPr>
              <w:pStyle w:val="TableParagraph"/>
              <w:spacing w:before="45"/>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5"/>
              <w:ind w:left="263"/>
              <w:rPr>
                <w:sz w:val="16"/>
              </w:rPr>
            </w:pPr>
            <w:r>
              <w:rPr>
                <w:sz w:val="16"/>
              </w:rPr>
              <w:t>n/a</w:t>
            </w:r>
          </w:p>
        </w:tc>
        <w:tc>
          <w:tcPr>
            <w:tcW w:w="810" w:type="dxa"/>
            <w:tcBorders>
              <w:top w:val="single" w:sz="4" w:space="0" w:color="585858"/>
              <w:bottom w:val="single" w:sz="4" w:space="0" w:color="585858"/>
            </w:tcBorders>
          </w:tcPr>
          <w:p>
            <w:pPr>
              <w:pStyle w:val="TableParagraph"/>
              <w:spacing w:before="45"/>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5"/>
              <w:ind w:left="263"/>
              <w:rPr>
                <w:sz w:val="16"/>
              </w:rPr>
            </w:pPr>
            <w:r>
              <w:rPr>
                <w:sz w:val="16"/>
              </w:rPr>
              <w:t>n/a</w:t>
            </w:r>
          </w:p>
        </w:tc>
        <w:tc>
          <w:tcPr>
            <w:tcW w:w="810" w:type="dxa"/>
            <w:tcBorders>
              <w:top w:val="single" w:sz="4" w:space="0" w:color="585858"/>
              <w:bottom w:val="single" w:sz="4" w:space="0" w:color="585858"/>
            </w:tcBorders>
          </w:tcPr>
          <w:p>
            <w:pPr>
              <w:pStyle w:val="TableParagraph"/>
              <w:spacing w:before="45"/>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5"/>
              <w:ind w:right="118"/>
              <w:jc w:val="right"/>
              <w:rPr>
                <w:sz w:val="16"/>
              </w:rPr>
            </w:pPr>
            <w:r>
              <w:rPr>
                <w:sz w:val="16"/>
              </w:rPr>
              <w:t>0.0</w:t>
            </w:r>
          </w:p>
        </w:tc>
        <w:tc>
          <w:tcPr>
            <w:tcW w:w="655" w:type="dxa"/>
            <w:tcBorders>
              <w:top w:val="single" w:sz="4" w:space="0" w:color="585858"/>
              <w:bottom w:val="single" w:sz="4" w:space="0" w:color="585858"/>
            </w:tcBorders>
          </w:tcPr>
          <w:p>
            <w:pPr>
              <w:pStyle w:val="TableParagraph"/>
              <w:spacing w:before="45"/>
              <w:ind w:left="99"/>
              <w:rPr>
                <w:sz w:val="16"/>
              </w:rPr>
            </w:pPr>
            <w:r>
              <w:rPr>
                <w:sz w:val="16"/>
              </w:rPr>
              <w:t>!</w:t>
            </w:r>
          </w:p>
        </w:tc>
      </w:tr>
      <w:tr>
        <w:trPr>
          <w:trHeight w:val="261"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Academic specialist</w:t>
            </w:r>
          </w:p>
        </w:tc>
        <w:tc>
          <w:tcPr>
            <w:tcW w:w="660" w:type="dxa"/>
            <w:tcBorders>
              <w:top w:val="single" w:sz="4" w:space="0" w:color="585858"/>
              <w:bottom w:val="single" w:sz="4" w:space="0" w:color="585858"/>
            </w:tcBorders>
          </w:tcPr>
          <w:p>
            <w:pPr>
              <w:pStyle w:val="TableParagraph"/>
              <w:spacing w:before="41"/>
              <w:ind w:left="189" w:right="67"/>
              <w:jc w:val="center"/>
              <w:rPr>
                <w:sz w:val="16"/>
              </w:rPr>
            </w:pPr>
            <w:r>
              <w:rPr>
                <w:sz w:val="16"/>
              </w:rPr>
              <w:t>22</w:t>
            </w:r>
          </w:p>
        </w:tc>
        <w:tc>
          <w:tcPr>
            <w:tcW w:w="1212" w:type="dxa"/>
            <w:tcBorders>
              <w:top w:val="single" w:sz="4" w:space="0" w:color="585858"/>
              <w:bottom w:val="single" w:sz="4" w:space="0" w:color="585858"/>
            </w:tcBorders>
          </w:tcPr>
          <w:p>
            <w:pPr>
              <w:pStyle w:val="TableParagraph"/>
              <w:spacing w:before="41"/>
              <w:ind w:left="267"/>
              <w:rPr>
                <w:sz w:val="16"/>
              </w:rPr>
            </w:pPr>
            <w:r>
              <w:rPr>
                <w:sz w:val="16"/>
              </w:rPr>
              <w:t>2.7</w:t>
            </w:r>
          </w:p>
        </w:tc>
        <w:tc>
          <w:tcPr>
            <w:tcW w:w="810" w:type="dxa"/>
            <w:tcBorders>
              <w:top w:val="single" w:sz="4" w:space="0" w:color="585858"/>
              <w:bottom w:val="single" w:sz="4" w:space="0" w:color="585858"/>
            </w:tcBorders>
          </w:tcPr>
          <w:p>
            <w:pPr>
              <w:pStyle w:val="TableParagraph"/>
              <w:spacing w:before="41"/>
              <w:ind w:right="182"/>
              <w:jc w:val="right"/>
              <w:rPr>
                <w:sz w:val="16"/>
              </w:rPr>
            </w:pPr>
            <w:r>
              <w:rPr>
                <w:sz w:val="16"/>
              </w:rPr>
              <w:t>26</w:t>
            </w:r>
          </w:p>
        </w:tc>
        <w:tc>
          <w:tcPr>
            <w:tcW w:w="1146" w:type="dxa"/>
            <w:tcBorders>
              <w:top w:val="single" w:sz="4" w:space="0" w:color="585858"/>
              <w:bottom w:val="single" w:sz="4" w:space="0" w:color="585858"/>
            </w:tcBorders>
          </w:tcPr>
          <w:p>
            <w:pPr>
              <w:pStyle w:val="TableParagraph"/>
              <w:spacing w:before="41"/>
              <w:ind w:left="265"/>
              <w:rPr>
                <w:sz w:val="16"/>
              </w:rPr>
            </w:pPr>
            <w:r>
              <w:rPr>
                <w:sz w:val="16"/>
              </w:rPr>
              <w:t>4.1</w:t>
            </w:r>
          </w:p>
        </w:tc>
        <w:tc>
          <w:tcPr>
            <w:tcW w:w="872" w:type="dxa"/>
            <w:tcBorders>
              <w:top w:val="single" w:sz="4" w:space="0" w:color="585858"/>
              <w:bottom w:val="single" w:sz="4" w:space="0" w:color="585858"/>
            </w:tcBorders>
          </w:tcPr>
          <w:p>
            <w:pPr>
              <w:pStyle w:val="TableParagraph"/>
              <w:spacing w:before="41"/>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1"/>
              <w:ind w:right="118"/>
              <w:jc w:val="right"/>
              <w:rPr>
                <w:sz w:val="16"/>
              </w:rPr>
            </w:pPr>
            <w:r>
              <w:rPr>
                <w:sz w:val="16"/>
              </w:rPr>
              <w:t>0.0</w:t>
            </w:r>
          </w:p>
        </w:tc>
        <w:tc>
          <w:tcPr>
            <w:tcW w:w="655" w:type="dxa"/>
            <w:tcBorders>
              <w:top w:val="single" w:sz="4" w:space="0" w:color="585858"/>
              <w:bottom w:val="single" w:sz="4" w:space="0" w:color="585858"/>
            </w:tcBorders>
          </w:tcPr>
          <w:p>
            <w:pPr>
              <w:pStyle w:val="TableParagraph"/>
              <w:spacing w:before="41"/>
              <w:ind w:left="99"/>
              <w:rPr>
                <w:sz w:val="16"/>
              </w:rPr>
            </w:pPr>
            <w:r>
              <w:rPr>
                <w:sz w:val="16"/>
              </w:rPr>
              <w:t>!</w:t>
            </w:r>
          </w:p>
        </w:tc>
      </w:tr>
      <w:tr>
        <w:trPr>
          <w:trHeight w:val="450"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Clinical, health programs, or other specialized faculty appointment</w:t>
            </w:r>
          </w:p>
        </w:tc>
        <w:tc>
          <w:tcPr>
            <w:tcW w:w="660" w:type="dxa"/>
            <w:tcBorders>
              <w:top w:val="single" w:sz="4" w:space="0" w:color="585858"/>
              <w:bottom w:val="single" w:sz="4" w:space="0" w:color="585858"/>
            </w:tcBorders>
          </w:tcPr>
          <w:p>
            <w:pPr>
              <w:pStyle w:val="TableParagraph"/>
              <w:spacing w:before="45"/>
              <w:ind w:left="189" w:right="67"/>
              <w:jc w:val="center"/>
              <w:rPr>
                <w:sz w:val="16"/>
              </w:rPr>
            </w:pPr>
            <w:r>
              <w:rPr>
                <w:sz w:val="16"/>
              </w:rPr>
              <w:t>31</w:t>
            </w:r>
          </w:p>
        </w:tc>
        <w:tc>
          <w:tcPr>
            <w:tcW w:w="1212" w:type="dxa"/>
            <w:tcBorders>
              <w:top w:val="single" w:sz="4" w:space="0" w:color="585858"/>
              <w:bottom w:val="single" w:sz="4" w:space="0" w:color="585858"/>
            </w:tcBorders>
          </w:tcPr>
          <w:p>
            <w:pPr>
              <w:pStyle w:val="TableParagraph"/>
              <w:spacing w:before="45"/>
              <w:ind w:left="267"/>
              <w:rPr>
                <w:sz w:val="16"/>
              </w:rPr>
            </w:pPr>
            <w:r>
              <w:rPr>
                <w:sz w:val="16"/>
              </w:rPr>
              <w:t>3.9</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27</w:t>
            </w:r>
          </w:p>
        </w:tc>
        <w:tc>
          <w:tcPr>
            <w:tcW w:w="1146" w:type="dxa"/>
            <w:tcBorders>
              <w:top w:val="single" w:sz="4" w:space="0" w:color="585858"/>
              <w:bottom w:val="single" w:sz="4" w:space="0" w:color="585858"/>
            </w:tcBorders>
          </w:tcPr>
          <w:p>
            <w:pPr>
              <w:pStyle w:val="TableParagraph"/>
              <w:spacing w:before="45"/>
              <w:ind w:left="265"/>
              <w:rPr>
                <w:sz w:val="16"/>
              </w:rPr>
            </w:pPr>
            <w:r>
              <w:rPr>
                <w:sz w:val="16"/>
              </w:rPr>
              <w:t>4.2</w:t>
            </w:r>
          </w:p>
        </w:tc>
        <w:tc>
          <w:tcPr>
            <w:tcW w:w="872" w:type="dxa"/>
            <w:tcBorders>
              <w:top w:val="single" w:sz="4" w:space="0" w:color="585858"/>
              <w:bottom w:val="single" w:sz="4" w:space="0" w:color="585858"/>
            </w:tcBorders>
          </w:tcPr>
          <w:p>
            <w:pPr>
              <w:pStyle w:val="TableParagraph"/>
              <w:spacing w:before="45"/>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5"/>
              <w:ind w:left="263"/>
              <w:rPr>
                <w:sz w:val="16"/>
              </w:rPr>
            </w:pPr>
            <w:r>
              <w:rPr>
                <w:sz w:val="16"/>
              </w:rPr>
              <w:t>n/a</w:t>
            </w:r>
          </w:p>
        </w:tc>
        <w:tc>
          <w:tcPr>
            <w:tcW w:w="810" w:type="dxa"/>
            <w:tcBorders>
              <w:top w:val="single" w:sz="4" w:space="0" w:color="585858"/>
              <w:bottom w:val="single" w:sz="4" w:space="0" w:color="585858"/>
            </w:tcBorders>
          </w:tcPr>
          <w:p>
            <w:pPr>
              <w:pStyle w:val="TableParagraph"/>
              <w:spacing w:before="45"/>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5"/>
              <w:ind w:left="263"/>
              <w:rPr>
                <w:sz w:val="16"/>
              </w:rPr>
            </w:pPr>
            <w:r>
              <w:rPr>
                <w:sz w:val="16"/>
              </w:rPr>
              <w:t>n/a</w:t>
            </w:r>
          </w:p>
        </w:tc>
        <w:tc>
          <w:tcPr>
            <w:tcW w:w="810" w:type="dxa"/>
            <w:tcBorders>
              <w:top w:val="single" w:sz="4" w:space="0" w:color="585858"/>
              <w:bottom w:val="single" w:sz="4" w:space="0" w:color="585858"/>
            </w:tcBorders>
          </w:tcPr>
          <w:p>
            <w:pPr>
              <w:pStyle w:val="TableParagraph"/>
              <w:spacing w:before="45"/>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5"/>
              <w:ind w:right="118"/>
              <w:jc w:val="right"/>
              <w:rPr>
                <w:sz w:val="16"/>
              </w:rPr>
            </w:pPr>
            <w:r>
              <w:rPr>
                <w:sz w:val="16"/>
              </w:rPr>
              <w:t>0.0</w:t>
            </w:r>
          </w:p>
        </w:tc>
        <w:tc>
          <w:tcPr>
            <w:tcW w:w="655" w:type="dxa"/>
            <w:tcBorders>
              <w:top w:val="single" w:sz="4" w:space="0" w:color="585858"/>
              <w:bottom w:val="single" w:sz="4" w:space="0" w:color="585858"/>
            </w:tcBorders>
          </w:tcPr>
          <w:p>
            <w:pPr>
              <w:pStyle w:val="TableParagraph"/>
              <w:spacing w:before="45"/>
              <w:ind w:left="99"/>
              <w:rPr>
                <w:sz w:val="16"/>
              </w:rPr>
            </w:pPr>
            <w:r>
              <w:rPr>
                <w:sz w:val="16"/>
              </w:rPr>
              <w:t>!</w:t>
            </w:r>
          </w:p>
        </w:tc>
      </w:tr>
      <w:tr>
        <w:trPr>
          <w:trHeight w:val="261"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Other</w:t>
            </w:r>
          </w:p>
        </w:tc>
        <w:tc>
          <w:tcPr>
            <w:tcW w:w="660" w:type="dxa"/>
            <w:tcBorders>
              <w:top w:val="single" w:sz="4" w:space="0" w:color="585858"/>
              <w:bottom w:val="single" w:sz="4" w:space="0" w:color="585858"/>
            </w:tcBorders>
          </w:tcPr>
          <w:p>
            <w:pPr>
              <w:pStyle w:val="TableParagraph"/>
              <w:spacing w:before="41"/>
              <w:ind w:left="189" w:right="67"/>
              <w:jc w:val="center"/>
              <w:rPr>
                <w:sz w:val="16"/>
              </w:rPr>
            </w:pPr>
            <w:r>
              <w:rPr>
                <w:sz w:val="16"/>
              </w:rPr>
              <w:t>48</w:t>
            </w:r>
          </w:p>
        </w:tc>
        <w:tc>
          <w:tcPr>
            <w:tcW w:w="1212" w:type="dxa"/>
            <w:tcBorders>
              <w:top w:val="single" w:sz="4" w:space="0" w:color="585858"/>
              <w:bottom w:val="single" w:sz="4" w:space="0" w:color="585858"/>
            </w:tcBorders>
          </w:tcPr>
          <w:p>
            <w:pPr>
              <w:pStyle w:val="TableParagraph"/>
              <w:spacing w:before="41"/>
              <w:ind w:left="267"/>
              <w:rPr>
                <w:sz w:val="16"/>
              </w:rPr>
            </w:pPr>
            <w:r>
              <w:rPr>
                <w:sz w:val="16"/>
              </w:rPr>
              <w:t>6.0</w:t>
            </w:r>
          </w:p>
        </w:tc>
        <w:tc>
          <w:tcPr>
            <w:tcW w:w="810" w:type="dxa"/>
            <w:tcBorders>
              <w:top w:val="single" w:sz="4" w:space="0" w:color="585858"/>
              <w:bottom w:val="single" w:sz="4" w:space="0" w:color="585858"/>
            </w:tcBorders>
          </w:tcPr>
          <w:p>
            <w:pPr>
              <w:pStyle w:val="TableParagraph"/>
              <w:spacing w:before="41"/>
              <w:ind w:right="182"/>
              <w:jc w:val="right"/>
              <w:rPr>
                <w:sz w:val="16"/>
              </w:rPr>
            </w:pPr>
            <w:r>
              <w:rPr>
                <w:sz w:val="16"/>
              </w:rPr>
              <w:t>29</w:t>
            </w:r>
          </w:p>
        </w:tc>
        <w:tc>
          <w:tcPr>
            <w:tcW w:w="1146" w:type="dxa"/>
            <w:tcBorders>
              <w:top w:val="single" w:sz="4" w:space="0" w:color="585858"/>
              <w:bottom w:val="single" w:sz="4" w:space="0" w:color="585858"/>
            </w:tcBorders>
          </w:tcPr>
          <w:p>
            <w:pPr>
              <w:pStyle w:val="TableParagraph"/>
              <w:spacing w:before="41"/>
              <w:ind w:left="265"/>
              <w:rPr>
                <w:sz w:val="16"/>
              </w:rPr>
            </w:pPr>
            <w:r>
              <w:rPr>
                <w:sz w:val="16"/>
              </w:rPr>
              <w:t>4.6</w:t>
            </w:r>
          </w:p>
        </w:tc>
        <w:tc>
          <w:tcPr>
            <w:tcW w:w="872" w:type="dxa"/>
            <w:tcBorders>
              <w:top w:val="single" w:sz="4" w:space="0" w:color="585858"/>
              <w:bottom w:val="single" w:sz="4" w:space="0" w:color="585858"/>
            </w:tcBorders>
          </w:tcPr>
          <w:p>
            <w:pPr>
              <w:pStyle w:val="TableParagraph"/>
              <w:spacing w:before="41"/>
              <w:ind w:right="186"/>
              <w:jc w:val="right"/>
              <w:rPr>
                <w:sz w:val="16"/>
              </w:rPr>
            </w:pPr>
            <w:r>
              <w:rPr>
                <w:sz w:val="16"/>
              </w:rPr>
              <w:t>n/a</w:t>
            </w:r>
          </w:p>
        </w:tc>
        <w:tc>
          <w:tcPr>
            <w:tcW w:w="1210"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90"/>
              <w:jc w:val="right"/>
              <w:rPr>
                <w:sz w:val="16"/>
              </w:rPr>
            </w:pPr>
            <w:r>
              <w:rPr>
                <w:sz w:val="16"/>
              </w:rPr>
              <w:t>n/a</w:t>
            </w:r>
          </w:p>
        </w:tc>
        <w:tc>
          <w:tcPr>
            <w:tcW w:w="1206" w:type="dxa"/>
            <w:tcBorders>
              <w:top w:val="single" w:sz="4" w:space="0" w:color="585858"/>
              <w:bottom w:val="single" w:sz="4" w:space="0" w:color="585858"/>
            </w:tcBorders>
          </w:tcPr>
          <w:p>
            <w:pPr>
              <w:pStyle w:val="TableParagraph"/>
              <w:spacing w:before="41"/>
              <w:ind w:left="263"/>
              <w:rPr>
                <w:sz w:val="16"/>
              </w:rPr>
            </w:pPr>
            <w:r>
              <w:rPr>
                <w:sz w:val="16"/>
              </w:rPr>
              <w:t>n/a</w:t>
            </w:r>
          </w:p>
        </w:tc>
        <w:tc>
          <w:tcPr>
            <w:tcW w:w="810" w:type="dxa"/>
            <w:tcBorders>
              <w:top w:val="single" w:sz="4" w:space="0" w:color="585858"/>
              <w:bottom w:val="single" w:sz="4" w:space="0" w:color="585858"/>
            </w:tcBorders>
          </w:tcPr>
          <w:p>
            <w:pPr>
              <w:pStyle w:val="TableParagraph"/>
              <w:spacing w:before="41"/>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1"/>
              <w:ind w:right="118"/>
              <w:jc w:val="right"/>
              <w:rPr>
                <w:sz w:val="16"/>
              </w:rPr>
            </w:pPr>
            <w:r>
              <w:rPr>
                <w:sz w:val="16"/>
              </w:rPr>
              <w:t>2.1</w:t>
            </w:r>
          </w:p>
        </w:tc>
        <w:tc>
          <w:tcPr>
            <w:tcW w:w="655" w:type="dxa"/>
            <w:tcBorders>
              <w:top w:val="single" w:sz="4" w:space="0" w:color="585858"/>
              <w:bottom w:val="single" w:sz="4" w:space="0" w:color="585858"/>
            </w:tcBorders>
          </w:tcPr>
          <w:p>
            <w:pPr>
              <w:pStyle w:val="TableParagraph"/>
              <w:spacing w:before="41"/>
              <w:ind w:left="99"/>
              <w:rPr>
                <w:sz w:val="16"/>
              </w:rPr>
            </w:pPr>
            <w:r>
              <w:rPr>
                <w:sz w:val="16"/>
              </w:rPr>
              <w:t>!</w:t>
            </w:r>
          </w:p>
        </w:tc>
      </w:tr>
      <w:tr>
        <w:trPr>
          <w:trHeight w:val="266" w:hRule="atLeast"/>
        </w:trPr>
        <w:tc>
          <w:tcPr>
            <w:tcW w:w="2987" w:type="dxa"/>
            <w:tcBorders>
              <w:top w:val="single" w:sz="4" w:space="0" w:color="585858"/>
              <w:bottom w:val="single" w:sz="4" w:space="0" w:color="585858"/>
            </w:tcBorders>
          </w:tcPr>
          <w:p>
            <w:pPr>
              <w:pStyle w:val="TableParagraph"/>
              <w:spacing w:before="41"/>
              <w:ind w:left="114"/>
              <w:rPr>
                <w:sz w:val="10"/>
              </w:rPr>
            </w:pPr>
            <w:r>
              <w:rPr>
                <w:sz w:val="16"/>
              </w:rPr>
              <w:t>Campus location </w:t>
            </w:r>
            <w:r>
              <w:rPr>
                <w:position w:val="6"/>
                <w:sz w:val="10"/>
              </w:rPr>
              <w:t>a</w:t>
            </w:r>
          </w:p>
        </w:tc>
        <w:tc>
          <w:tcPr>
            <w:tcW w:w="660" w:type="dxa"/>
            <w:tcBorders>
              <w:top w:val="single" w:sz="4" w:space="0" w:color="585858"/>
              <w:bottom w:val="single" w:sz="4" w:space="0" w:color="585858"/>
            </w:tcBorders>
          </w:tcPr>
          <w:p>
            <w:pPr>
              <w:pStyle w:val="TableParagraph"/>
              <w:spacing w:before="0"/>
              <w:rPr>
                <w:rFonts w:ascii="Times New Roman"/>
                <w:sz w:val="16"/>
              </w:rPr>
            </w:pPr>
          </w:p>
        </w:tc>
        <w:tc>
          <w:tcPr>
            <w:tcW w:w="1212"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146" w:type="dxa"/>
            <w:tcBorders>
              <w:top w:val="single" w:sz="4" w:space="0" w:color="585858"/>
              <w:bottom w:val="single" w:sz="4" w:space="0" w:color="585858"/>
            </w:tcBorders>
          </w:tcPr>
          <w:p>
            <w:pPr>
              <w:pStyle w:val="TableParagraph"/>
              <w:spacing w:before="0"/>
              <w:rPr>
                <w:rFonts w:ascii="Times New Roman"/>
                <w:sz w:val="16"/>
              </w:rPr>
            </w:pPr>
          </w:p>
        </w:tc>
        <w:tc>
          <w:tcPr>
            <w:tcW w:w="872" w:type="dxa"/>
            <w:tcBorders>
              <w:top w:val="single" w:sz="4" w:space="0" w:color="585858"/>
              <w:bottom w:val="single" w:sz="4" w:space="0" w:color="585858"/>
            </w:tcBorders>
          </w:tcPr>
          <w:p>
            <w:pPr>
              <w:pStyle w:val="TableParagraph"/>
              <w:spacing w:before="0"/>
              <w:rPr>
                <w:rFonts w:ascii="Times New Roman"/>
                <w:sz w:val="16"/>
              </w:rPr>
            </w:pPr>
          </w:p>
        </w:tc>
        <w:tc>
          <w:tcPr>
            <w:tcW w:w="1210"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06"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55"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61"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Main</w:t>
            </w:r>
          </w:p>
        </w:tc>
        <w:tc>
          <w:tcPr>
            <w:tcW w:w="660" w:type="dxa"/>
            <w:tcBorders>
              <w:top w:val="single" w:sz="4" w:space="0" w:color="585858"/>
              <w:bottom w:val="single" w:sz="4" w:space="0" w:color="585858"/>
            </w:tcBorders>
          </w:tcPr>
          <w:p>
            <w:pPr>
              <w:pStyle w:val="TableParagraph"/>
              <w:spacing w:before="41"/>
              <w:ind w:left="186" w:right="160"/>
              <w:jc w:val="center"/>
              <w:rPr>
                <w:sz w:val="16"/>
              </w:rPr>
            </w:pPr>
            <w:r>
              <w:rPr>
                <w:sz w:val="16"/>
              </w:rPr>
              <w:t>773</w:t>
            </w:r>
          </w:p>
        </w:tc>
        <w:tc>
          <w:tcPr>
            <w:tcW w:w="1212" w:type="dxa"/>
            <w:tcBorders>
              <w:top w:val="single" w:sz="4" w:space="0" w:color="585858"/>
              <w:bottom w:val="single" w:sz="4" w:space="0" w:color="585858"/>
            </w:tcBorders>
          </w:tcPr>
          <w:p>
            <w:pPr>
              <w:pStyle w:val="TableParagraph"/>
              <w:tabs>
                <w:tab w:pos="706" w:val="left" w:leader="none"/>
              </w:tabs>
              <w:spacing w:before="41"/>
              <w:ind w:left="179"/>
              <w:rPr>
                <w:sz w:val="16"/>
              </w:rPr>
            </w:pPr>
            <w:r>
              <w:rPr>
                <w:sz w:val="16"/>
              </w:rPr>
              <w:t>96.4</w:t>
              <w:tab/>
              <w:t>%</w:t>
            </w:r>
          </w:p>
        </w:tc>
        <w:tc>
          <w:tcPr>
            <w:tcW w:w="810" w:type="dxa"/>
            <w:tcBorders>
              <w:top w:val="single" w:sz="4" w:space="0" w:color="585858"/>
              <w:bottom w:val="single" w:sz="4" w:space="0" w:color="585858"/>
            </w:tcBorders>
          </w:tcPr>
          <w:p>
            <w:pPr>
              <w:pStyle w:val="TableParagraph"/>
              <w:spacing w:before="41"/>
              <w:ind w:right="186"/>
              <w:jc w:val="right"/>
              <w:rPr>
                <w:sz w:val="16"/>
              </w:rPr>
            </w:pPr>
            <w:r>
              <w:rPr>
                <w:sz w:val="16"/>
              </w:rPr>
              <w:t>606</w:t>
            </w:r>
          </w:p>
        </w:tc>
        <w:tc>
          <w:tcPr>
            <w:tcW w:w="1146" w:type="dxa"/>
            <w:tcBorders>
              <w:top w:val="single" w:sz="4" w:space="0" w:color="585858"/>
              <w:bottom w:val="single" w:sz="4" w:space="0" w:color="585858"/>
            </w:tcBorders>
          </w:tcPr>
          <w:p>
            <w:pPr>
              <w:pStyle w:val="TableParagraph"/>
              <w:tabs>
                <w:tab w:pos="708" w:val="left" w:leader="none"/>
              </w:tabs>
              <w:spacing w:before="41"/>
              <w:ind w:left="177"/>
              <w:rPr>
                <w:sz w:val="16"/>
              </w:rPr>
            </w:pPr>
            <w:r>
              <w:rPr>
                <w:sz w:val="16"/>
              </w:rPr>
              <w:t>95.3</w:t>
              <w:tab/>
              <w:t>%</w:t>
            </w:r>
          </w:p>
        </w:tc>
        <w:tc>
          <w:tcPr>
            <w:tcW w:w="872" w:type="dxa"/>
            <w:tcBorders>
              <w:top w:val="single" w:sz="4" w:space="0" w:color="585858"/>
              <w:bottom w:val="single" w:sz="4" w:space="0" w:color="585858"/>
            </w:tcBorders>
          </w:tcPr>
          <w:p>
            <w:pPr>
              <w:pStyle w:val="TableParagraph"/>
              <w:spacing w:before="41"/>
              <w:ind w:right="187"/>
              <w:jc w:val="right"/>
              <w:rPr>
                <w:sz w:val="16"/>
              </w:rPr>
            </w:pPr>
            <w:r>
              <w:rPr>
                <w:sz w:val="16"/>
              </w:rPr>
              <w:t>1,362</w:t>
            </w:r>
          </w:p>
        </w:tc>
        <w:tc>
          <w:tcPr>
            <w:tcW w:w="1210" w:type="dxa"/>
            <w:tcBorders>
              <w:top w:val="single" w:sz="4" w:space="0" w:color="585858"/>
              <w:bottom w:val="single" w:sz="4" w:space="0" w:color="585858"/>
            </w:tcBorders>
          </w:tcPr>
          <w:p>
            <w:pPr>
              <w:pStyle w:val="TableParagraph"/>
              <w:tabs>
                <w:tab w:pos="702" w:val="left" w:leader="none"/>
              </w:tabs>
              <w:spacing w:before="41"/>
              <w:ind w:left="175"/>
              <w:rPr>
                <w:sz w:val="16"/>
              </w:rPr>
            </w:pPr>
            <w:r>
              <w:rPr>
                <w:sz w:val="16"/>
              </w:rPr>
              <w:t>92.5</w:t>
              <w:tab/>
              <w:t>%</w:t>
            </w:r>
          </w:p>
        </w:tc>
        <w:tc>
          <w:tcPr>
            <w:tcW w:w="810" w:type="dxa"/>
            <w:tcBorders>
              <w:top w:val="single" w:sz="4" w:space="0" w:color="585858"/>
              <w:bottom w:val="single" w:sz="4" w:space="0" w:color="585858"/>
            </w:tcBorders>
          </w:tcPr>
          <w:p>
            <w:pPr>
              <w:pStyle w:val="TableParagraph"/>
              <w:spacing w:before="41"/>
              <w:ind w:right="192"/>
              <w:jc w:val="right"/>
              <w:rPr>
                <w:sz w:val="16"/>
              </w:rPr>
            </w:pPr>
            <w:r>
              <w:rPr>
                <w:sz w:val="16"/>
              </w:rPr>
              <w:t>650</w:t>
            </w:r>
          </w:p>
        </w:tc>
        <w:tc>
          <w:tcPr>
            <w:tcW w:w="1206" w:type="dxa"/>
            <w:tcBorders>
              <w:top w:val="single" w:sz="4" w:space="0" w:color="585858"/>
              <w:bottom w:val="single" w:sz="4" w:space="0" w:color="585858"/>
            </w:tcBorders>
          </w:tcPr>
          <w:p>
            <w:pPr>
              <w:pStyle w:val="TableParagraph"/>
              <w:tabs>
                <w:tab w:pos="698" w:val="left" w:leader="none"/>
              </w:tabs>
              <w:spacing w:before="41"/>
              <w:ind w:left="175"/>
              <w:rPr>
                <w:sz w:val="16"/>
              </w:rPr>
            </w:pPr>
            <w:r>
              <w:rPr>
                <w:sz w:val="16"/>
              </w:rPr>
              <w:t>94.6</w:t>
              <w:tab/>
              <w:t>%</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93</w:t>
            </w:r>
          </w:p>
        </w:tc>
        <w:tc>
          <w:tcPr>
            <w:tcW w:w="1255" w:type="dxa"/>
            <w:gridSpan w:val="2"/>
            <w:tcBorders>
              <w:top w:val="single" w:sz="4" w:space="0" w:color="585858"/>
              <w:bottom w:val="single" w:sz="4" w:space="0" w:color="585858"/>
            </w:tcBorders>
          </w:tcPr>
          <w:p>
            <w:pPr>
              <w:pStyle w:val="TableParagraph"/>
              <w:tabs>
                <w:tab w:pos="698" w:val="left" w:leader="none"/>
              </w:tabs>
              <w:spacing w:before="41"/>
              <w:ind w:left="171"/>
              <w:rPr>
                <w:sz w:val="16"/>
              </w:rPr>
            </w:pPr>
            <w:r>
              <w:rPr>
                <w:sz w:val="16"/>
              </w:rPr>
              <w:t>95.9</w:t>
              <w:tab/>
              <w:t>%</w:t>
            </w:r>
          </w:p>
        </w:tc>
      </w:tr>
      <w:tr>
        <w:trPr>
          <w:trHeight w:val="266"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Off</w:t>
            </w:r>
          </w:p>
        </w:tc>
        <w:tc>
          <w:tcPr>
            <w:tcW w:w="660" w:type="dxa"/>
            <w:tcBorders>
              <w:top w:val="single" w:sz="4" w:space="0" w:color="585858"/>
              <w:bottom w:val="single" w:sz="4" w:space="0" w:color="585858"/>
            </w:tcBorders>
          </w:tcPr>
          <w:p>
            <w:pPr>
              <w:pStyle w:val="TableParagraph"/>
              <w:spacing w:before="45"/>
              <w:ind w:left="189" w:right="67"/>
              <w:jc w:val="center"/>
              <w:rPr>
                <w:sz w:val="16"/>
              </w:rPr>
            </w:pPr>
            <w:r>
              <w:rPr>
                <w:sz w:val="16"/>
              </w:rPr>
              <w:t>29</w:t>
            </w:r>
          </w:p>
        </w:tc>
        <w:tc>
          <w:tcPr>
            <w:tcW w:w="1212" w:type="dxa"/>
            <w:tcBorders>
              <w:top w:val="single" w:sz="4" w:space="0" w:color="585858"/>
              <w:bottom w:val="single" w:sz="4" w:space="0" w:color="585858"/>
            </w:tcBorders>
          </w:tcPr>
          <w:p>
            <w:pPr>
              <w:pStyle w:val="TableParagraph"/>
              <w:spacing w:before="45"/>
              <w:ind w:left="267"/>
              <w:rPr>
                <w:sz w:val="16"/>
              </w:rPr>
            </w:pPr>
            <w:r>
              <w:rPr>
                <w:sz w:val="16"/>
              </w:rPr>
              <w:t>3.6</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30</w:t>
            </w:r>
          </w:p>
        </w:tc>
        <w:tc>
          <w:tcPr>
            <w:tcW w:w="1146" w:type="dxa"/>
            <w:tcBorders>
              <w:top w:val="single" w:sz="4" w:space="0" w:color="585858"/>
              <w:bottom w:val="single" w:sz="4" w:space="0" w:color="585858"/>
            </w:tcBorders>
          </w:tcPr>
          <w:p>
            <w:pPr>
              <w:pStyle w:val="TableParagraph"/>
              <w:spacing w:before="45"/>
              <w:ind w:left="265"/>
              <w:rPr>
                <w:sz w:val="16"/>
              </w:rPr>
            </w:pPr>
            <w:r>
              <w:rPr>
                <w:sz w:val="16"/>
              </w:rPr>
              <w:t>4.7</w:t>
            </w:r>
          </w:p>
        </w:tc>
        <w:tc>
          <w:tcPr>
            <w:tcW w:w="872" w:type="dxa"/>
            <w:tcBorders>
              <w:top w:val="single" w:sz="4" w:space="0" w:color="585858"/>
              <w:bottom w:val="single" w:sz="4" w:space="0" w:color="585858"/>
            </w:tcBorders>
          </w:tcPr>
          <w:p>
            <w:pPr>
              <w:pStyle w:val="TableParagraph"/>
              <w:spacing w:before="45"/>
              <w:ind w:right="188"/>
              <w:jc w:val="right"/>
              <w:rPr>
                <w:sz w:val="16"/>
              </w:rPr>
            </w:pPr>
            <w:r>
              <w:rPr>
                <w:sz w:val="16"/>
              </w:rPr>
              <w:t>111</w:t>
            </w:r>
          </w:p>
        </w:tc>
        <w:tc>
          <w:tcPr>
            <w:tcW w:w="1210" w:type="dxa"/>
            <w:tcBorders>
              <w:top w:val="single" w:sz="4" w:space="0" w:color="585858"/>
              <w:bottom w:val="single" w:sz="4" w:space="0" w:color="585858"/>
            </w:tcBorders>
          </w:tcPr>
          <w:p>
            <w:pPr>
              <w:pStyle w:val="TableParagraph"/>
              <w:spacing w:before="45"/>
              <w:ind w:left="263"/>
              <w:rPr>
                <w:sz w:val="16"/>
              </w:rPr>
            </w:pPr>
            <w:r>
              <w:rPr>
                <w:sz w:val="16"/>
              </w:rPr>
              <w:t>7.5</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37</w:t>
            </w:r>
          </w:p>
        </w:tc>
        <w:tc>
          <w:tcPr>
            <w:tcW w:w="1206" w:type="dxa"/>
            <w:tcBorders>
              <w:top w:val="single" w:sz="4" w:space="0" w:color="585858"/>
              <w:bottom w:val="single" w:sz="4" w:space="0" w:color="585858"/>
            </w:tcBorders>
          </w:tcPr>
          <w:p>
            <w:pPr>
              <w:pStyle w:val="TableParagraph"/>
              <w:spacing w:before="45"/>
              <w:ind w:left="263"/>
              <w:rPr>
                <w:sz w:val="16"/>
              </w:rPr>
            </w:pPr>
            <w:r>
              <w:rPr>
                <w:sz w:val="16"/>
              </w:rPr>
              <w:t>5.4</w:t>
            </w:r>
          </w:p>
        </w:tc>
        <w:tc>
          <w:tcPr>
            <w:tcW w:w="810" w:type="dxa"/>
            <w:tcBorders>
              <w:top w:val="single" w:sz="4" w:space="0" w:color="585858"/>
              <w:bottom w:val="single" w:sz="4" w:space="0" w:color="585858"/>
            </w:tcBorders>
          </w:tcPr>
          <w:p>
            <w:pPr>
              <w:pStyle w:val="TableParagraph"/>
              <w:spacing w:before="45"/>
              <w:ind w:right="189"/>
              <w:jc w:val="right"/>
              <w:rPr>
                <w:sz w:val="16"/>
              </w:rPr>
            </w:pPr>
            <w:r>
              <w:rPr>
                <w:sz w:val="16"/>
              </w:rPr>
              <w:t>&lt;10</w:t>
            </w:r>
          </w:p>
        </w:tc>
        <w:tc>
          <w:tcPr>
            <w:tcW w:w="600" w:type="dxa"/>
            <w:tcBorders>
              <w:top w:val="single" w:sz="4" w:space="0" w:color="585858"/>
              <w:bottom w:val="single" w:sz="4" w:space="0" w:color="585858"/>
            </w:tcBorders>
          </w:tcPr>
          <w:p>
            <w:pPr>
              <w:pStyle w:val="TableParagraph"/>
              <w:spacing w:before="45"/>
              <w:ind w:right="118"/>
              <w:jc w:val="right"/>
              <w:rPr>
                <w:sz w:val="16"/>
              </w:rPr>
            </w:pPr>
            <w:r>
              <w:rPr>
                <w:sz w:val="16"/>
              </w:rPr>
              <w:t>4.1</w:t>
            </w:r>
          </w:p>
        </w:tc>
        <w:tc>
          <w:tcPr>
            <w:tcW w:w="655" w:type="dxa"/>
            <w:tcBorders>
              <w:top w:val="single" w:sz="4" w:space="0" w:color="585858"/>
              <w:bottom w:val="single" w:sz="4" w:space="0" w:color="585858"/>
            </w:tcBorders>
          </w:tcPr>
          <w:p>
            <w:pPr>
              <w:pStyle w:val="TableParagraph"/>
              <w:spacing w:before="45"/>
              <w:ind w:left="99"/>
              <w:rPr>
                <w:sz w:val="16"/>
              </w:rPr>
            </w:pPr>
            <w:r>
              <w:rPr>
                <w:sz w:val="16"/>
              </w:rPr>
              <w:t>!</w:t>
            </w:r>
          </w:p>
        </w:tc>
      </w:tr>
      <w:tr>
        <w:trPr>
          <w:trHeight w:val="262" w:hRule="atLeast"/>
        </w:trPr>
        <w:tc>
          <w:tcPr>
            <w:tcW w:w="2987" w:type="dxa"/>
            <w:tcBorders>
              <w:top w:val="single" w:sz="4" w:space="0" w:color="585858"/>
              <w:bottom w:val="single" w:sz="4" w:space="0" w:color="585858"/>
            </w:tcBorders>
          </w:tcPr>
          <w:p>
            <w:pPr>
              <w:pStyle w:val="TableParagraph"/>
              <w:spacing w:before="37"/>
              <w:ind w:left="114"/>
              <w:rPr>
                <w:sz w:val="10"/>
              </w:rPr>
            </w:pPr>
            <w:r>
              <w:rPr>
                <w:sz w:val="16"/>
              </w:rPr>
              <w:t>Employee group </w:t>
            </w:r>
            <w:r>
              <w:rPr>
                <w:position w:val="6"/>
                <w:sz w:val="10"/>
              </w:rPr>
              <w:t>a</w:t>
            </w:r>
          </w:p>
        </w:tc>
        <w:tc>
          <w:tcPr>
            <w:tcW w:w="660" w:type="dxa"/>
            <w:tcBorders>
              <w:top w:val="single" w:sz="4" w:space="0" w:color="585858"/>
              <w:bottom w:val="single" w:sz="4" w:space="0" w:color="585858"/>
            </w:tcBorders>
          </w:tcPr>
          <w:p>
            <w:pPr>
              <w:pStyle w:val="TableParagraph"/>
              <w:spacing w:before="0"/>
              <w:rPr>
                <w:rFonts w:ascii="Times New Roman"/>
                <w:sz w:val="16"/>
              </w:rPr>
            </w:pPr>
          </w:p>
        </w:tc>
        <w:tc>
          <w:tcPr>
            <w:tcW w:w="1212"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146" w:type="dxa"/>
            <w:tcBorders>
              <w:top w:val="single" w:sz="4" w:space="0" w:color="585858"/>
              <w:bottom w:val="single" w:sz="4" w:space="0" w:color="585858"/>
            </w:tcBorders>
          </w:tcPr>
          <w:p>
            <w:pPr>
              <w:pStyle w:val="TableParagraph"/>
              <w:spacing w:before="0"/>
              <w:rPr>
                <w:rFonts w:ascii="Times New Roman"/>
                <w:sz w:val="16"/>
              </w:rPr>
            </w:pPr>
          </w:p>
        </w:tc>
        <w:tc>
          <w:tcPr>
            <w:tcW w:w="872" w:type="dxa"/>
            <w:tcBorders>
              <w:top w:val="single" w:sz="4" w:space="0" w:color="585858"/>
              <w:bottom w:val="single" w:sz="4" w:space="0" w:color="585858"/>
            </w:tcBorders>
          </w:tcPr>
          <w:p>
            <w:pPr>
              <w:pStyle w:val="TableParagraph"/>
              <w:spacing w:before="0"/>
              <w:rPr>
                <w:rFonts w:ascii="Times New Roman"/>
                <w:sz w:val="16"/>
              </w:rPr>
            </w:pPr>
          </w:p>
        </w:tc>
        <w:tc>
          <w:tcPr>
            <w:tcW w:w="1210"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06"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55"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66" w:hRule="atLeast"/>
        </w:trPr>
        <w:tc>
          <w:tcPr>
            <w:tcW w:w="2987" w:type="dxa"/>
            <w:tcBorders>
              <w:top w:val="single" w:sz="4" w:space="0" w:color="585858"/>
              <w:bottom w:val="single" w:sz="4" w:space="0" w:color="585858"/>
            </w:tcBorders>
          </w:tcPr>
          <w:p>
            <w:pPr>
              <w:pStyle w:val="TableParagraph"/>
              <w:spacing w:before="45"/>
              <w:ind w:left="370"/>
              <w:rPr>
                <w:sz w:val="16"/>
              </w:rPr>
            </w:pPr>
            <w:r>
              <w:rPr>
                <w:sz w:val="16"/>
              </w:rPr>
              <w:t>Union</w:t>
            </w:r>
          </w:p>
        </w:tc>
        <w:tc>
          <w:tcPr>
            <w:tcW w:w="660" w:type="dxa"/>
            <w:tcBorders>
              <w:top w:val="single" w:sz="4" w:space="0" w:color="585858"/>
              <w:bottom w:val="single" w:sz="4" w:space="0" w:color="585858"/>
            </w:tcBorders>
          </w:tcPr>
          <w:p>
            <w:pPr>
              <w:pStyle w:val="TableParagraph"/>
              <w:spacing w:before="45"/>
              <w:ind w:left="186" w:right="160"/>
              <w:jc w:val="center"/>
              <w:rPr>
                <w:sz w:val="16"/>
              </w:rPr>
            </w:pPr>
            <w:r>
              <w:rPr>
                <w:sz w:val="16"/>
              </w:rPr>
              <w:t>127</w:t>
            </w:r>
          </w:p>
        </w:tc>
        <w:tc>
          <w:tcPr>
            <w:tcW w:w="1212" w:type="dxa"/>
            <w:tcBorders>
              <w:top w:val="single" w:sz="4" w:space="0" w:color="585858"/>
              <w:bottom w:val="single" w:sz="4" w:space="0" w:color="585858"/>
            </w:tcBorders>
          </w:tcPr>
          <w:p>
            <w:pPr>
              <w:pStyle w:val="TableParagraph"/>
              <w:tabs>
                <w:tab w:pos="706" w:val="left" w:leader="none"/>
              </w:tabs>
              <w:spacing w:before="45"/>
              <w:ind w:left="179"/>
              <w:rPr>
                <w:sz w:val="16"/>
              </w:rPr>
            </w:pPr>
            <w:r>
              <w:rPr>
                <w:sz w:val="16"/>
              </w:rPr>
              <w:t>15.8</w:t>
              <w:tab/>
              <w:t>%</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77</w:t>
            </w:r>
          </w:p>
        </w:tc>
        <w:tc>
          <w:tcPr>
            <w:tcW w:w="1146" w:type="dxa"/>
            <w:tcBorders>
              <w:top w:val="single" w:sz="4" w:space="0" w:color="585858"/>
              <w:bottom w:val="single" w:sz="4" w:space="0" w:color="585858"/>
            </w:tcBorders>
          </w:tcPr>
          <w:p>
            <w:pPr>
              <w:pStyle w:val="TableParagraph"/>
              <w:tabs>
                <w:tab w:pos="708" w:val="left" w:leader="none"/>
              </w:tabs>
              <w:spacing w:before="45"/>
              <w:ind w:left="177"/>
              <w:rPr>
                <w:sz w:val="16"/>
              </w:rPr>
            </w:pPr>
            <w:r>
              <w:rPr>
                <w:sz w:val="16"/>
              </w:rPr>
              <w:t>12.1</w:t>
              <w:tab/>
              <w:t>%</w:t>
            </w:r>
          </w:p>
        </w:tc>
        <w:tc>
          <w:tcPr>
            <w:tcW w:w="872" w:type="dxa"/>
            <w:tcBorders>
              <w:top w:val="single" w:sz="4" w:space="0" w:color="585858"/>
              <w:bottom w:val="single" w:sz="4" w:space="0" w:color="585858"/>
            </w:tcBorders>
          </w:tcPr>
          <w:p>
            <w:pPr>
              <w:pStyle w:val="TableParagraph"/>
              <w:spacing w:before="45"/>
              <w:ind w:right="187"/>
              <w:jc w:val="right"/>
              <w:rPr>
                <w:sz w:val="16"/>
              </w:rPr>
            </w:pPr>
            <w:r>
              <w:rPr>
                <w:sz w:val="16"/>
              </w:rPr>
              <w:t>1,181</w:t>
            </w:r>
          </w:p>
        </w:tc>
        <w:tc>
          <w:tcPr>
            <w:tcW w:w="1210" w:type="dxa"/>
            <w:tcBorders>
              <w:top w:val="single" w:sz="4" w:space="0" w:color="585858"/>
              <w:bottom w:val="single" w:sz="4" w:space="0" w:color="585858"/>
            </w:tcBorders>
          </w:tcPr>
          <w:p>
            <w:pPr>
              <w:pStyle w:val="TableParagraph"/>
              <w:tabs>
                <w:tab w:pos="702" w:val="left" w:leader="none"/>
              </w:tabs>
              <w:spacing w:before="45"/>
              <w:ind w:left="175"/>
              <w:rPr>
                <w:sz w:val="16"/>
              </w:rPr>
            </w:pPr>
            <w:r>
              <w:rPr>
                <w:sz w:val="16"/>
              </w:rPr>
              <w:t>80.2</w:t>
              <w:tab/>
              <w:t>%</w:t>
            </w:r>
          </w:p>
        </w:tc>
        <w:tc>
          <w:tcPr>
            <w:tcW w:w="810" w:type="dxa"/>
            <w:tcBorders>
              <w:top w:val="single" w:sz="4" w:space="0" w:color="585858"/>
              <w:bottom w:val="single" w:sz="4" w:space="0" w:color="585858"/>
            </w:tcBorders>
          </w:tcPr>
          <w:p>
            <w:pPr>
              <w:pStyle w:val="TableParagraph"/>
              <w:spacing w:before="45"/>
              <w:ind w:right="192"/>
              <w:jc w:val="right"/>
              <w:rPr>
                <w:sz w:val="16"/>
              </w:rPr>
            </w:pPr>
            <w:r>
              <w:rPr>
                <w:sz w:val="16"/>
              </w:rPr>
              <w:t>542</w:t>
            </w:r>
          </w:p>
        </w:tc>
        <w:tc>
          <w:tcPr>
            <w:tcW w:w="1206" w:type="dxa"/>
            <w:tcBorders>
              <w:top w:val="single" w:sz="4" w:space="0" w:color="585858"/>
              <w:bottom w:val="single" w:sz="4" w:space="0" w:color="585858"/>
            </w:tcBorders>
          </w:tcPr>
          <w:p>
            <w:pPr>
              <w:pStyle w:val="TableParagraph"/>
              <w:tabs>
                <w:tab w:pos="698" w:val="left" w:leader="none"/>
              </w:tabs>
              <w:spacing w:before="45"/>
              <w:ind w:left="175"/>
              <w:rPr>
                <w:sz w:val="16"/>
              </w:rPr>
            </w:pPr>
            <w:r>
              <w:rPr>
                <w:sz w:val="16"/>
              </w:rPr>
              <w:t>78.9</w:t>
              <w:tab/>
              <w:t>%</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52</w:t>
            </w:r>
          </w:p>
        </w:tc>
        <w:tc>
          <w:tcPr>
            <w:tcW w:w="1255" w:type="dxa"/>
            <w:gridSpan w:val="2"/>
            <w:tcBorders>
              <w:top w:val="single" w:sz="4" w:space="0" w:color="585858"/>
              <w:bottom w:val="single" w:sz="4" w:space="0" w:color="585858"/>
            </w:tcBorders>
          </w:tcPr>
          <w:p>
            <w:pPr>
              <w:pStyle w:val="TableParagraph"/>
              <w:tabs>
                <w:tab w:pos="698" w:val="left" w:leader="none"/>
              </w:tabs>
              <w:spacing w:before="45"/>
              <w:ind w:left="171"/>
              <w:rPr>
                <w:sz w:val="16"/>
              </w:rPr>
            </w:pPr>
            <w:r>
              <w:rPr>
                <w:sz w:val="16"/>
              </w:rPr>
              <w:t>53.6</w:t>
              <w:tab/>
              <w:t>%</w:t>
            </w:r>
          </w:p>
        </w:tc>
      </w:tr>
      <w:tr>
        <w:trPr>
          <w:trHeight w:val="261"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Non-Union</w:t>
            </w:r>
          </w:p>
        </w:tc>
        <w:tc>
          <w:tcPr>
            <w:tcW w:w="660" w:type="dxa"/>
            <w:tcBorders>
              <w:top w:val="single" w:sz="4" w:space="0" w:color="585858"/>
              <w:bottom w:val="single" w:sz="4" w:space="0" w:color="585858"/>
            </w:tcBorders>
          </w:tcPr>
          <w:p>
            <w:pPr>
              <w:pStyle w:val="TableParagraph"/>
              <w:spacing w:before="41"/>
              <w:ind w:left="186" w:right="160"/>
              <w:jc w:val="center"/>
              <w:rPr>
                <w:sz w:val="16"/>
              </w:rPr>
            </w:pPr>
            <w:r>
              <w:rPr>
                <w:sz w:val="16"/>
              </w:rPr>
              <w:t>658</w:t>
            </w:r>
          </w:p>
        </w:tc>
        <w:tc>
          <w:tcPr>
            <w:tcW w:w="1212" w:type="dxa"/>
            <w:tcBorders>
              <w:top w:val="single" w:sz="4" w:space="0" w:color="585858"/>
              <w:bottom w:val="single" w:sz="4" w:space="0" w:color="585858"/>
            </w:tcBorders>
          </w:tcPr>
          <w:p>
            <w:pPr>
              <w:pStyle w:val="TableParagraph"/>
              <w:spacing w:before="41"/>
              <w:ind w:left="179"/>
              <w:rPr>
                <w:sz w:val="16"/>
              </w:rPr>
            </w:pPr>
            <w:r>
              <w:rPr>
                <w:sz w:val="16"/>
              </w:rPr>
              <w:t>82.0</w:t>
            </w:r>
          </w:p>
        </w:tc>
        <w:tc>
          <w:tcPr>
            <w:tcW w:w="810" w:type="dxa"/>
            <w:tcBorders>
              <w:top w:val="single" w:sz="4" w:space="0" w:color="585858"/>
              <w:bottom w:val="single" w:sz="4" w:space="0" w:color="585858"/>
            </w:tcBorders>
          </w:tcPr>
          <w:p>
            <w:pPr>
              <w:pStyle w:val="TableParagraph"/>
              <w:spacing w:before="41"/>
              <w:ind w:right="186"/>
              <w:jc w:val="right"/>
              <w:rPr>
                <w:sz w:val="16"/>
              </w:rPr>
            </w:pPr>
            <w:r>
              <w:rPr>
                <w:sz w:val="16"/>
              </w:rPr>
              <w:t>539</w:t>
            </w:r>
          </w:p>
        </w:tc>
        <w:tc>
          <w:tcPr>
            <w:tcW w:w="1146" w:type="dxa"/>
            <w:tcBorders>
              <w:top w:val="single" w:sz="4" w:space="0" w:color="585858"/>
              <w:bottom w:val="single" w:sz="4" w:space="0" w:color="585858"/>
            </w:tcBorders>
          </w:tcPr>
          <w:p>
            <w:pPr>
              <w:pStyle w:val="TableParagraph"/>
              <w:spacing w:before="41"/>
              <w:ind w:left="177"/>
              <w:rPr>
                <w:sz w:val="16"/>
              </w:rPr>
            </w:pPr>
            <w:r>
              <w:rPr>
                <w:sz w:val="16"/>
              </w:rPr>
              <w:t>84.7</w:t>
            </w:r>
          </w:p>
        </w:tc>
        <w:tc>
          <w:tcPr>
            <w:tcW w:w="872" w:type="dxa"/>
            <w:tcBorders>
              <w:top w:val="single" w:sz="4" w:space="0" w:color="585858"/>
              <w:bottom w:val="single" w:sz="4" w:space="0" w:color="585858"/>
            </w:tcBorders>
          </w:tcPr>
          <w:p>
            <w:pPr>
              <w:pStyle w:val="TableParagraph"/>
              <w:spacing w:before="41"/>
              <w:ind w:right="188"/>
              <w:jc w:val="right"/>
              <w:rPr>
                <w:sz w:val="16"/>
              </w:rPr>
            </w:pPr>
            <w:r>
              <w:rPr>
                <w:sz w:val="16"/>
              </w:rPr>
              <w:t>282</w:t>
            </w:r>
          </w:p>
        </w:tc>
        <w:tc>
          <w:tcPr>
            <w:tcW w:w="1210" w:type="dxa"/>
            <w:tcBorders>
              <w:top w:val="single" w:sz="4" w:space="0" w:color="585858"/>
              <w:bottom w:val="single" w:sz="4" w:space="0" w:color="585858"/>
            </w:tcBorders>
          </w:tcPr>
          <w:p>
            <w:pPr>
              <w:pStyle w:val="TableParagraph"/>
              <w:spacing w:before="41"/>
              <w:ind w:left="175"/>
              <w:rPr>
                <w:sz w:val="16"/>
              </w:rPr>
            </w:pPr>
            <w:r>
              <w:rPr>
                <w:sz w:val="16"/>
              </w:rPr>
              <w:t>19.1</w:t>
            </w:r>
          </w:p>
        </w:tc>
        <w:tc>
          <w:tcPr>
            <w:tcW w:w="810" w:type="dxa"/>
            <w:tcBorders>
              <w:top w:val="single" w:sz="4" w:space="0" w:color="585858"/>
              <w:bottom w:val="single" w:sz="4" w:space="0" w:color="585858"/>
            </w:tcBorders>
          </w:tcPr>
          <w:p>
            <w:pPr>
              <w:pStyle w:val="TableParagraph"/>
              <w:spacing w:before="41"/>
              <w:ind w:right="192"/>
              <w:jc w:val="right"/>
              <w:rPr>
                <w:sz w:val="16"/>
              </w:rPr>
            </w:pPr>
            <w:r>
              <w:rPr>
                <w:sz w:val="16"/>
              </w:rPr>
              <w:t>139</w:t>
            </w:r>
          </w:p>
        </w:tc>
        <w:tc>
          <w:tcPr>
            <w:tcW w:w="1206" w:type="dxa"/>
            <w:tcBorders>
              <w:top w:val="single" w:sz="4" w:space="0" w:color="585858"/>
              <w:bottom w:val="single" w:sz="4" w:space="0" w:color="585858"/>
            </w:tcBorders>
          </w:tcPr>
          <w:p>
            <w:pPr>
              <w:pStyle w:val="TableParagraph"/>
              <w:spacing w:before="41"/>
              <w:ind w:left="175"/>
              <w:rPr>
                <w:sz w:val="16"/>
              </w:rPr>
            </w:pPr>
            <w:r>
              <w:rPr>
                <w:sz w:val="16"/>
              </w:rPr>
              <w:t>20.2</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44</w:t>
            </w:r>
          </w:p>
        </w:tc>
        <w:tc>
          <w:tcPr>
            <w:tcW w:w="1255" w:type="dxa"/>
            <w:gridSpan w:val="2"/>
            <w:tcBorders>
              <w:top w:val="single" w:sz="4" w:space="0" w:color="585858"/>
              <w:bottom w:val="single" w:sz="4" w:space="0" w:color="585858"/>
            </w:tcBorders>
          </w:tcPr>
          <w:p>
            <w:pPr>
              <w:pStyle w:val="TableParagraph"/>
              <w:spacing w:before="41"/>
              <w:ind w:left="171"/>
              <w:rPr>
                <w:sz w:val="16"/>
              </w:rPr>
            </w:pPr>
            <w:r>
              <w:rPr>
                <w:sz w:val="16"/>
              </w:rPr>
              <w:t>45.4</w:t>
            </w:r>
          </w:p>
        </w:tc>
      </w:tr>
      <w:tr>
        <w:trPr>
          <w:trHeight w:val="266" w:hRule="atLeast"/>
        </w:trPr>
        <w:tc>
          <w:tcPr>
            <w:tcW w:w="2987" w:type="dxa"/>
            <w:tcBorders>
              <w:top w:val="single" w:sz="4" w:space="0" w:color="585858"/>
              <w:bottom w:val="single" w:sz="4" w:space="0" w:color="585858"/>
            </w:tcBorders>
          </w:tcPr>
          <w:p>
            <w:pPr>
              <w:pStyle w:val="TableParagraph"/>
              <w:spacing w:before="45"/>
              <w:ind w:left="114"/>
              <w:rPr>
                <w:sz w:val="16"/>
              </w:rPr>
            </w:pPr>
            <w:r>
              <w:rPr>
                <w:sz w:val="16"/>
              </w:rPr>
              <w:t>Sexual orientation</w:t>
            </w:r>
          </w:p>
        </w:tc>
        <w:tc>
          <w:tcPr>
            <w:tcW w:w="660" w:type="dxa"/>
            <w:tcBorders>
              <w:top w:val="single" w:sz="4" w:space="0" w:color="585858"/>
              <w:bottom w:val="single" w:sz="4" w:space="0" w:color="585858"/>
            </w:tcBorders>
          </w:tcPr>
          <w:p>
            <w:pPr>
              <w:pStyle w:val="TableParagraph"/>
              <w:spacing w:before="0"/>
              <w:rPr>
                <w:rFonts w:ascii="Times New Roman"/>
                <w:sz w:val="16"/>
              </w:rPr>
            </w:pPr>
          </w:p>
        </w:tc>
        <w:tc>
          <w:tcPr>
            <w:tcW w:w="1212"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146" w:type="dxa"/>
            <w:tcBorders>
              <w:top w:val="single" w:sz="4" w:space="0" w:color="585858"/>
              <w:bottom w:val="single" w:sz="4" w:space="0" w:color="585858"/>
            </w:tcBorders>
          </w:tcPr>
          <w:p>
            <w:pPr>
              <w:pStyle w:val="TableParagraph"/>
              <w:spacing w:before="0"/>
              <w:rPr>
                <w:rFonts w:ascii="Times New Roman"/>
                <w:sz w:val="16"/>
              </w:rPr>
            </w:pPr>
          </w:p>
        </w:tc>
        <w:tc>
          <w:tcPr>
            <w:tcW w:w="872" w:type="dxa"/>
            <w:tcBorders>
              <w:top w:val="single" w:sz="4" w:space="0" w:color="585858"/>
              <w:bottom w:val="single" w:sz="4" w:space="0" w:color="585858"/>
            </w:tcBorders>
          </w:tcPr>
          <w:p>
            <w:pPr>
              <w:pStyle w:val="TableParagraph"/>
              <w:spacing w:before="0"/>
              <w:rPr>
                <w:rFonts w:ascii="Times New Roman"/>
                <w:sz w:val="16"/>
              </w:rPr>
            </w:pPr>
          </w:p>
        </w:tc>
        <w:tc>
          <w:tcPr>
            <w:tcW w:w="1210"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06" w:type="dxa"/>
            <w:tcBorders>
              <w:top w:val="single" w:sz="4" w:space="0" w:color="585858"/>
              <w:bottom w:val="single" w:sz="4" w:space="0" w:color="585858"/>
            </w:tcBorders>
          </w:tcPr>
          <w:p>
            <w:pPr>
              <w:pStyle w:val="TableParagraph"/>
              <w:spacing w:before="0"/>
              <w:rPr>
                <w:rFonts w:ascii="Times New Roman"/>
                <w:sz w:val="16"/>
              </w:rPr>
            </w:pPr>
          </w:p>
        </w:tc>
        <w:tc>
          <w:tcPr>
            <w:tcW w:w="810" w:type="dxa"/>
            <w:tcBorders>
              <w:top w:val="single" w:sz="4" w:space="0" w:color="585858"/>
              <w:bottom w:val="single" w:sz="4" w:space="0" w:color="585858"/>
            </w:tcBorders>
          </w:tcPr>
          <w:p>
            <w:pPr>
              <w:pStyle w:val="TableParagraph"/>
              <w:spacing w:before="0"/>
              <w:rPr>
                <w:rFonts w:ascii="Times New Roman"/>
                <w:sz w:val="16"/>
              </w:rPr>
            </w:pPr>
          </w:p>
        </w:tc>
        <w:tc>
          <w:tcPr>
            <w:tcW w:w="1255"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62"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Straight/Heterosexual</w:t>
            </w:r>
          </w:p>
        </w:tc>
        <w:tc>
          <w:tcPr>
            <w:tcW w:w="660" w:type="dxa"/>
            <w:tcBorders>
              <w:top w:val="single" w:sz="4" w:space="0" w:color="585858"/>
              <w:bottom w:val="single" w:sz="4" w:space="0" w:color="585858"/>
            </w:tcBorders>
          </w:tcPr>
          <w:p>
            <w:pPr>
              <w:pStyle w:val="TableParagraph"/>
              <w:spacing w:before="41"/>
              <w:ind w:left="186" w:right="160"/>
              <w:jc w:val="center"/>
              <w:rPr>
                <w:sz w:val="16"/>
              </w:rPr>
            </w:pPr>
            <w:r>
              <w:rPr>
                <w:sz w:val="16"/>
              </w:rPr>
              <w:t>677</w:t>
            </w:r>
          </w:p>
        </w:tc>
        <w:tc>
          <w:tcPr>
            <w:tcW w:w="1212" w:type="dxa"/>
            <w:tcBorders>
              <w:top w:val="single" w:sz="4" w:space="0" w:color="585858"/>
              <w:bottom w:val="single" w:sz="4" w:space="0" w:color="585858"/>
            </w:tcBorders>
          </w:tcPr>
          <w:p>
            <w:pPr>
              <w:pStyle w:val="TableParagraph"/>
              <w:tabs>
                <w:tab w:pos="706" w:val="left" w:leader="none"/>
              </w:tabs>
              <w:spacing w:before="41"/>
              <w:ind w:left="179"/>
              <w:rPr>
                <w:sz w:val="16"/>
              </w:rPr>
            </w:pPr>
            <w:r>
              <w:rPr>
                <w:sz w:val="16"/>
              </w:rPr>
              <w:t>84.4</w:t>
              <w:tab/>
              <w:t>%</w:t>
            </w:r>
          </w:p>
        </w:tc>
        <w:tc>
          <w:tcPr>
            <w:tcW w:w="810" w:type="dxa"/>
            <w:tcBorders>
              <w:top w:val="single" w:sz="4" w:space="0" w:color="585858"/>
              <w:bottom w:val="single" w:sz="4" w:space="0" w:color="585858"/>
            </w:tcBorders>
          </w:tcPr>
          <w:p>
            <w:pPr>
              <w:pStyle w:val="TableParagraph"/>
              <w:spacing w:before="41"/>
              <w:ind w:right="186"/>
              <w:jc w:val="right"/>
              <w:rPr>
                <w:sz w:val="16"/>
              </w:rPr>
            </w:pPr>
            <w:r>
              <w:rPr>
                <w:sz w:val="16"/>
              </w:rPr>
              <w:t>553</w:t>
            </w:r>
          </w:p>
        </w:tc>
        <w:tc>
          <w:tcPr>
            <w:tcW w:w="1146" w:type="dxa"/>
            <w:tcBorders>
              <w:top w:val="single" w:sz="4" w:space="0" w:color="585858"/>
              <w:bottom w:val="single" w:sz="4" w:space="0" w:color="585858"/>
            </w:tcBorders>
          </w:tcPr>
          <w:p>
            <w:pPr>
              <w:pStyle w:val="TableParagraph"/>
              <w:tabs>
                <w:tab w:pos="708" w:val="left" w:leader="none"/>
              </w:tabs>
              <w:spacing w:before="41"/>
              <w:ind w:left="177"/>
              <w:rPr>
                <w:sz w:val="16"/>
              </w:rPr>
            </w:pPr>
            <w:r>
              <w:rPr>
                <w:sz w:val="16"/>
              </w:rPr>
              <w:t>86.9</w:t>
              <w:tab/>
              <w:t>%</w:t>
            </w:r>
          </w:p>
        </w:tc>
        <w:tc>
          <w:tcPr>
            <w:tcW w:w="872" w:type="dxa"/>
            <w:tcBorders>
              <w:top w:val="single" w:sz="4" w:space="0" w:color="585858"/>
              <w:bottom w:val="single" w:sz="4" w:space="0" w:color="585858"/>
            </w:tcBorders>
          </w:tcPr>
          <w:p>
            <w:pPr>
              <w:pStyle w:val="TableParagraph"/>
              <w:spacing w:before="41"/>
              <w:ind w:right="187"/>
              <w:jc w:val="right"/>
              <w:rPr>
                <w:sz w:val="16"/>
              </w:rPr>
            </w:pPr>
            <w:r>
              <w:rPr>
                <w:sz w:val="16"/>
              </w:rPr>
              <w:t>1,265</w:t>
            </w:r>
          </w:p>
        </w:tc>
        <w:tc>
          <w:tcPr>
            <w:tcW w:w="1210" w:type="dxa"/>
            <w:tcBorders>
              <w:top w:val="single" w:sz="4" w:space="0" w:color="585858"/>
              <w:bottom w:val="single" w:sz="4" w:space="0" w:color="585858"/>
            </w:tcBorders>
          </w:tcPr>
          <w:p>
            <w:pPr>
              <w:pStyle w:val="TableParagraph"/>
              <w:tabs>
                <w:tab w:pos="702" w:val="left" w:leader="none"/>
              </w:tabs>
              <w:spacing w:before="41"/>
              <w:ind w:left="175"/>
              <w:rPr>
                <w:sz w:val="16"/>
              </w:rPr>
            </w:pPr>
            <w:r>
              <w:rPr>
                <w:sz w:val="16"/>
              </w:rPr>
              <w:t>85.9</w:t>
              <w:tab/>
              <w:t>%</w:t>
            </w:r>
          </w:p>
        </w:tc>
        <w:tc>
          <w:tcPr>
            <w:tcW w:w="810" w:type="dxa"/>
            <w:tcBorders>
              <w:top w:val="single" w:sz="4" w:space="0" w:color="585858"/>
              <w:bottom w:val="single" w:sz="4" w:space="0" w:color="585858"/>
            </w:tcBorders>
          </w:tcPr>
          <w:p>
            <w:pPr>
              <w:pStyle w:val="TableParagraph"/>
              <w:spacing w:before="41"/>
              <w:ind w:right="192"/>
              <w:jc w:val="right"/>
              <w:rPr>
                <w:sz w:val="16"/>
              </w:rPr>
            </w:pPr>
            <w:r>
              <w:rPr>
                <w:sz w:val="16"/>
              </w:rPr>
              <w:t>603</w:t>
            </w:r>
          </w:p>
        </w:tc>
        <w:tc>
          <w:tcPr>
            <w:tcW w:w="1206" w:type="dxa"/>
            <w:tcBorders>
              <w:top w:val="single" w:sz="4" w:space="0" w:color="585858"/>
              <w:bottom w:val="single" w:sz="4" w:space="0" w:color="585858"/>
            </w:tcBorders>
          </w:tcPr>
          <w:p>
            <w:pPr>
              <w:pStyle w:val="TableParagraph"/>
              <w:tabs>
                <w:tab w:pos="698" w:val="left" w:leader="none"/>
              </w:tabs>
              <w:spacing w:before="41"/>
              <w:ind w:left="175"/>
              <w:rPr>
                <w:sz w:val="16"/>
              </w:rPr>
            </w:pPr>
            <w:r>
              <w:rPr>
                <w:sz w:val="16"/>
              </w:rPr>
              <w:t>87.8</w:t>
              <w:tab/>
              <w:t>%</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17</w:t>
            </w:r>
          </w:p>
        </w:tc>
        <w:tc>
          <w:tcPr>
            <w:tcW w:w="1255" w:type="dxa"/>
            <w:gridSpan w:val="2"/>
            <w:tcBorders>
              <w:top w:val="single" w:sz="4" w:space="0" w:color="585858"/>
              <w:bottom w:val="single" w:sz="4" w:space="0" w:color="585858"/>
            </w:tcBorders>
          </w:tcPr>
          <w:p>
            <w:pPr>
              <w:pStyle w:val="TableParagraph"/>
              <w:tabs>
                <w:tab w:pos="698" w:val="left" w:leader="none"/>
              </w:tabs>
              <w:spacing w:before="41"/>
              <w:ind w:left="171"/>
              <w:rPr>
                <w:sz w:val="16"/>
              </w:rPr>
            </w:pPr>
            <w:r>
              <w:rPr>
                <w:sz w:val="16"/>
              </w:rPr>
              <w:t>17.5</w:t>
              <w:tab/>
              <w:t>%</w:t>
            </w:r>
          </w:p>
        </w:tc>
      </w:tr>
      <w:tr>
        <w:trPr>
          <w:trHeight w:val="449" w:hRule="atLeast"/>
        </w:trPr>
        <w:tc>
          <w:tcPr>
            <w:tcW w:w="2987" w:type="dxa"/>
            <w:tcBorders>
              <w:top w:val="single" w:sz="4" w:space="0" w:color="585858"/>
              <w:bottom w:val="single" w:sz="4" w:space="0" w:color="585858"/>
            </w:tcBorders>
          </w:tcPr>
          <w:p>
            <w:pPr>
              <w:pStyle w:val="TableParagraph"/>
              <w:spacing w:before="45"/>
              <w:ind w:left="370" w:right="498"/>
              <w:rPr>
                <w:sz w:val="16"/>
              </w:rPr>
            </w:pPr>
            <w:r>
              <w:rPr>
                <w:sz w:val="16"/>
              </w:rPr>
              <w:t>Gay, lesbian, or same gender loving</w:t>
            </w:r>
          </w:p>
        </w:tc>
        <w:tc>
          <w:tcPr>
            <w:tcW w:w="660" w:type="dxa"/>
            <w:tcBorders>
              <w:top w:val="single" w:sz="4" w:space="0" w:color="585858"/>
              <w:bottom w:val="single" w:sz="4" w:space="0" w:color="585858"/>
            </w:tcBorders>
          </w:tcPr>
          <w:p>
            <w:pPr>
              <w:pStyle w:val="TableParagraph"/>
              <w:spacing w:before="45"/>
              <w:ind w:left="189" w:right="67"/>
              <w:jc w:val="center"/>
              <w:rPr>
                <w:sz w:val="16"/>
              </w:rPr>
            </w:pPr>
            <w:r>
              <w:rPr>
                <w:sz w:val="16"/>
              </w:rPr>
              <w:t>12</w:t>
            </w:r>
          </w:p>
        </w:tc>
        <w:tc>
          <w:tcPr>
            <w:tcW w:w="1212" w:type="dxa"/>
            <w:tcBorders>
              <w:top w:val="single" w:sz="4" w:space="0" w:color="585858"/>
              <w:bottom w:val="single" w:sz="4" w:space="0" w:color="585858"/>
            </w:tcBorders>
          </w:tcPr>
          <w:p>
            <w:pPr>
              <w:pStyle w:val="TableParagraph"/>
              <w:spacing w:before="45"/>
              <w:ind w:left="267"/>
              <w:rPr>
                <w:sz w:val="16"/>
              </w:rPr>
            </w:pPr>
            <w:r>
              <w:rPr>
                <w:sz w:val="16"/>
              </w:rPr>
              <w:t>1.5</w:t>
            </w:r>
          </w:p>
        </w:tc>
        <w:tc>
          <w:tcPr>
            <w:tcW w:w="810" w:type="dxa"/>
            <w:tcBorders>
              <w:top w:val="single" w:sz="4" w:space="0" w:color="585858"/>
              <w:bottom w:val="single" w:sz="4" w:space="0" w:color="585858"/>
            </w:tcBorders>
          </w:tcPr>
          <w:p>
            <w:pPr>
              <w:pStyle w:val="TableParagraph"/>
              <w:spacing w:before="45"/>
              <w:ind w:right="182"/>
              <w:jc w:val="right"/>
              <w:rPr>
                <w:sz w:val="16"/>
              </w:rPr>
            </w:pPr>
            <w:r>
              <w:rPr>
                <w:sz w:val="16"/>
              </w:rPr>
              <w:t>28</w:t>
            </w:r>
          </w:p>
        </w:tc>
        <w:tc>
          <w:tcPr>
            <w:tcW w:w="1146" w:type="dxa"/>
            <w:tcBorders>
              <w:top w:val="single" w:sz="4" w:space="0" w:color="585858"/>
              <w:bottom w:val="single" w:sz="4" w:space="0" w:color="585858"/>
            </w:tcBorders>
          </w:tcPr>
          <w:p>
            <w:pPr>
              <w:pStyle w:val="TableParagraph"/>
              <w:spacing w:before="45"/>
              <w:ind w:left="265"/>
              <w:rPr>
                <w:sz w:val="16"/>
              </w:rPr>
            </w:pPr>
            <w:r>
              <w:rPr>
                <w:sz w:val="16"/>
              </w:rPr>
              <w:t>4.4</w:t>
            </w:r>
          </w:p>
        </w:tc>
        <w:tc>
          <w:tcPr>
            <w:tcW w:w="872" w:type="dxa"/>
            <w:tcBorders>
              <w:top w:val="single" w:sz="4" w:space="0" w:color="585858"/>
              <w:bottom w:val="single" w:sz="4" w:space="0" w:color="585858"/>
            </w:tcBorders>
          </w:tcPr>
          <w:p>
            <w:pPr>
              <w:pStyle w:val="TableParagraph"/>
              <w:spacing w:before="45"/>
              <w:ind w:right="184"/>
              <w:jc w:val="right"/>
              <w:rPr>
                <w:sz w:val="16"/>
              </w:rPr>
            </w:pPr>
            <w:r>
              <w:rPr>
                <w:sz w:val="16"/>
              </w:rPr>
              <w:t>35</w:t>
            </w:r>
          </w:p>
        </w:tc>
        <w:tc>
          <w:tcPr>
            <w:tcW w:w="1210" w:type="dxa"/>
            <w:tcBorders>
              <w:top w:val="single" w:sz="4" w:space="0" w:color="585858"/>
              <w:bottom w:val="single" w:sz="4" w:space="0" w:color="585858"/>
            </w:tcBorders>
          </w:tcPr>
          <w:p>
            <w:pPr>
              <w:pStyle w:val="TableParagraph"/>
              <w:spacing w:before="45"/>
              <w:ind w:left="263"/>
              <w:rPr>
                <w:sz w:val="16"/>
              </w:rPr>
            </w:pPr>
            <w:r>
              <w:rPr>
                <w:sz w:val="16"/>
              </w:rPr>
              <w:t>2.4</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28</w:t>
            </w:r>
          </w:p>
        </w:tc>
        <w:tc>
          <w:tcPr>
            <w:tcW w:w="1206" w:type="dxa"/>
            <w:tcBorders>
              <w:top w:val="single" w:sz="4" w:space="0" w:color="585858"/>
              <w:bottom w:val="single" w:sz="4" w:space="0" w:color="585858"/>
            </w:tcBorders>
          </w:tcPr>
          <w:p>
            <w:pPr>
              <w:pStyle w:val="TableParagraph"/>
              <w:spacing w:before="45"/>
              <w:ind w:left="263"/>
              <w:rPr>
                <w:sz w:val="16"/>
              </w:rPr>
            </w:pPr>
            <w:r>
              <w:rPr>
                <w:sz w:val="16"/>
              </w:rPr>
              <w:t>4.1</w:t>
            </w:r>
          </w:p>
        </w:tc>
        <w:tc>
          <w:tcPr>
            <w:tcW w:w="810" w:type="dxa"/>
            <w:tcBorders>
              <w:top w:val="single" w:sz="4" w:space="0" w:color="585858"/>
              <w:bottom w:val="single" w:sz="4" w:space="0" w:color="585858"/>
            </w:tcBorders>
          </w:tcPr>
          <w:p>
            <w:pPr>
              <w:pStyle w:val="TableParagraph"/>
              <w:spacing w:before="45"/>
              <w:ind w:right="188"/>
              <w:jc w:val="right"/>
              <w:rPr>
                <w:sz w:val="16"/>
              </w:rPr>
            </w:pPr>
            <w:r>
              <w:rPr>
                <w:sz w:val="16"/>
              </w:rPr>
              <w:t>15</w:t>
            </w:r>
          </w:p>
        </w:tc>
        <w:tc>
          <w:tcPr>
            <w:tcW w:w="1255" w:type="dxa"/>
            <w:gridSpan w:val="2"/>
            <w:tcBorders>
              <w:top w:val="single" w:sz="4" w:space="0" w:color="585858"/>
              <w:bottom w:val="single" w:sz="4" w:space="0" w:color="585858"/>
            </w:tcBorders>
          </w:tcPr>
          <w:p>
            <w:pPr>
              <w:pStyle w:val="TableParagraph"/>
              <w:spacing w:before="45"/>
              <w:ind w:left="171"/>
              <w:rPr>
                <w:sz w:val="16"/>
              </w:rPr>
            </w:pPr>
            <w:r>
              <w:rPr>
                <w:sz w:val="16"/>
              </w:rPr>
              <w:t>15.5</w:t>
            </w:r>
          </w:p>
        </w:tc>
      </w:tr>
      <w:tr>
        <w:trPr>
          <w:trHeight w:val="265" w:hRule="atLeast"/>
        </w:trPr>
        <w:tc>
          <w:tcPr>
            <w:tcW w:w="2987" w:type="dxa"/>
            <w:tcBorders>
              <w:top w:val="single" w:sz="4" w:space="0" w:color="585858"/>
              <w:bottom w:val="single" w:sz="4" w:space="0" w:color="585858"/>
            </w:tcBorders>
          </w:tcPr>
          <w:p>
            <w:pPr>
              <w:pStyle w:val="TableParagraph"/>
              <w:spacing w:before="41"/>
              <w:ind w:left="370"/>
              <w:rPr>
                <w:sz w:val="16"/>
              </w:rPr>
            </w:pPr>
            <w:r>
              <w:rPr>
                <w:sz w:val="16"/>
              </w:rPr>
              <w:t>Bisexual or pansexual</w:t>
            </w:r>
          </w:p>
        </w:tc>
        <w:tc>
          <w:tcPr>
            <w:tcW w:w="660" w:type="dxa"/>
            <w:tcBorders>
              <w:top w:val="single" w:sz="4" w:space="0" w:color="585858"/>
              <w:bottom w:val="single" w:sz="4" w:space="0" w:color="585858"/>
            </w:tcBorders>
          </w:tcPr>
          <w:p>
            <w:pPr>
              <w:pStyle w:val="TableParagraph"/>
              <w:spacing w:before="41"/>
              <w:ind w:left="189" w:right="67"/>
              <w:jc w:val="center"/>
              <w:rPr>
                <w:sz w:val="16"/>
              </w:rPr>
            </w:pPr>
            <w:r>
              <w:rPr>
                <w:sz w:val="16"/>
              </w:rPr>
              <w:t>27</w:t>
            </w:r>
          </w:p>
        </w:tc>
        <w:tc>
          <w:tcPr>
            <w:tcW w:w="1212" w:type="dxa"/>
            <w:tcBorders>
              <w:top w:val="single" w:sz="4" w:space="0" w:color="585858"/>
              <w:bottom w:val="single" w:sz="4" w:space="0" w:color="585858"/>
            </w:tcBorders>
          </w:tcPr>
          <w:p>
            <w:pPr>
              <w:pStyle w:val="TableParagraph"/>
              <w:spacing w:before="41"/>
              <w:ind w:left="267"/>
              <w:rPr>
                <w:sz w:val="16"/>
              </w:rPr>
            </w:pPr>
            <w:r>
              <w:rPr>
                <w:sz w:val="16"/>
              </w:rPr>
              <w:t>3.4</w:t>
            </w:r>
          </w:p>
        </w:tc>
        <w:tc>
          <w:tcPr>
            <w:tcW w:w="810" w:type="dxa"/>
            <w:tcBorders>
              <w:top w:val="single" w:sz="4" w:space="0" w:color="585858"/>
              <w:bottom w:val="single" w:sz="4" w:space="0" w:color="585858"/>
            </w:tcBorders>
          </w:tcPr>
          <w:p>
            <w:pPr>
              <w:pStyle w:val="TableParagraph"/>
              <w:spacing w:before="41"/>
              <w:ind w:right="182"/>
              <w:jc w:val="right"/>
              <w:rPr>
                <w:sz w:val="16"/>
              </w:rPr>
            </w:pPr>
            <w:r>
              <w:rPr>
                <w:sz w:val="16"/>
              </w:rPr>
              <w:t>12</w:t>
            </w:r>
          </w:p>
        </w:tc>
        <w:tc>
          <w:tcPr>
            <w:tcW w:w="1146" w:type="dxa"/>
            <w:tcBorders>
              <w:top w:val="single" w:sz="4" w:space="0" w:color="585858"/>
              <w:bottom w:val="single" w:sz="4" w:space="0" w:color="585858"/>
            </w:tcBorders>
          </w:tcPr>
          <w:p>
            <w:pPr>
              <w:pStyle w:val="TableParagraph"/>
              <w:spacing w:before="41"/>
              <w:ind w:left="265"/>
              <w:rPr>
                <w:sz w:val="16"/>
              </w:rPr>
            </w:pPr>
            <w:r>
              <w:rPr>
                <w:sz w:val="16"/>
              </w:rPr>
              <w:t>1.9</w:t>
            </w:r>
          </w:p>
        </w:tc>
        <w:tc>
          <w:tcPr>
            <w:tcW w:w="872" w:type="dxa"/>
            <w:tcBorders>
              <w:top w:val="single" w:sz="4" w:space="0" w:color="585858"/>
              <w:bottom w:val="single" w:sz="4" w:space="0" w:color="585858"/>
            </w:tcBorders>
          </w:tcPr>
          <w:p>
            <w:pPr>
              <w:pStyle w:val="TableParagraph"/>
              <w:spacing w:before="41"/>
              <w:ind w:right="184"/>
              <w:jc w:val="right"/>
              <w:rPr>
                <w:sz w:val="16"/>
              </w:rPr>
            </w:pPr>
            <w:r>
              <w:rPr>
                <w:sz w:val="16"/>
              </w:rPr>
              <w:t>53</w:t>
            </w:r>
          </w:p>
        </w:tc>
        <w:tc>
          <w:tcPr>
            <w:tcW w:w="1210" w:type="dxa"/>
            <w:tcBorders>
              <w:top w:val="single" w:sz="4" w:space="0" w:color="585858"/>
              <w:bottom w:val="single" w:sz="4" w:space="0" w:color="585858"/>
            </w:tcBorders>
          </w:tcPr>
          <w:p>
            <w:pPr>
              <w:pStyle w:val="TableParagraph"/>
              <w:spacing w:before="41"/>
              <w:ind w:left="263"/>
              <w:rPr>
                <w:sz w:val="16"/>
              </w:rPr>
            </w:pPr>
            <w:r>
              <w:rPr>
                <w:sz w:val="16"/>
              </w:rPr>
              <w:t>3.6</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15</w:t>
            </w:r>
          </w:p>
        </w:tc>
        <w:tc>
          <w:tcPr>
            <w:tcW w:w="1206" w:type="dxa"/>
            <w:tcBorders>
              <w:top w:val="single" w:sz="4" w:space="0" w:color="585858"/>
              <w:bottom w:val="single" w:sz="4" w:space="0" w:color="585858"/>
            </w:tcBorders>
          </w:tcPr>
          <w:p>
            <w:pPr>
              <w:pStyle w:val="TableParagraph"/>
              <w:spacing w:before="41"/>
              <w:ind w:left="263"/>
              <w:rPr>
                <w:sz w:val="16"/>
              </w:rPr>
            </w:pPr>
            <w:r>
              <w:rPr>
                <w:sz w:val="16"/>
              </w:rPr>
              <w:t>2.2</w:t>
            </w:r>
          </w:p>
        </w:tc>
        <w:tc>
          <w:tcPr>
            <w:tcW w:w="810" w:type="dxa"/>
            <w:tcBorders>
              <w:top w:val="single" w:sz="4" w:space="0" w:color="585858"/>
              <w:bottom w:val="single" w:sz="4" w:space="0" w:color="585858"/>
            </w:tcBorders>
          </w:tcPr>
          <w:p>
            <w:pPr>
              <w:pStyle w:val="TableParagraph"/>
              <w:spacing w:before="41"/>
              <w:ind w:right="188"/>
              <w:jc w:val="right"/>
              <w:rPr>
                <w:sz w:val="16"/>
              </w:rPr>
            </w:pPr>
            <w:r>
              <w:rPr>
                <w:sz w:val="16"/>
              </w:rPr>
              <w:t>19</w:t>
            </w:r>
          </w:p>
        </w:tc>
        <w:tc>
          <w:tcPr>
            <w:tcW w:w="1255" w:type="dxa"/>
            <w:gridSpan w:val="2"/>
            <w:tcBorders>
              <w:top w:val="single" w:sz="4" w:space="0" w:color="585858"/>
              <w:bottom w:val="single" w:sz="4" w:space="0" w:color="585858"/>
            </w:tcBorders>
          </w:tcPr>
          <w:p>
            <w:pPr>
              <w:pStyle w:val="TableParagraph"/>
              <w:spacing w:before="41"/>
              <w:ind w:left="171"/>
              <w:rPr>
                <w:sz w:val="16"/>
              </w:rPr>
            </w:pPr>
            <w:r>
              <w:rPr>
                <w:sz w:val="16"/>
              </w:rPr>
              <w:t>19.6</w:t>
            </w:r>
          </w:p>
        </w:tc>
      </w:tr>
    </w:tbl>
    <w:p>
      <w:pPr>
        <w:spacing w:line="202" w:lineRule="exact" w:before="0"/>
        <w:ind w:left="0" w:right="214" w:firstLine="0"/>
        <w:jc w:val="right"/>
        <w:rPr>
          <w:sz w:val="18"/>
        </w:rPr>
      </w:pPr>
      <w:r>
        <w:rPr>
          <w:sz w:val="18"/>
        </w:rPr>
        <w:t>(continued)</w:t>
      </w:r>
    </w:p>
    <w:p>
      <w:pPr>
        <w:spacing w:after="0" w:line="202" w:lineRule="exact"/>
        <w:jc w:val="right"/>
        <w:rPr>
          <w:sz w:val="18"/>
        </w:rPr>
        <w:sectPr>
          <w:headerReference w:type="default" r:id="rId43"/>
          <w:footerReference w:type="default" r:id="rId44"/>
          <w:pgSz w:w="15840" w:h="12240" w:orient="landscape"/>
          <w:pgMar w:header="0" w:footer="592" w:top="1100" w:bottom="780" w:left="1320" w:right="1220"/>
          <w:pgNumType w:start="11"/>
        </w:sectPr>
      </w:pPr>
    </w:p>
    <w:p>
      <w:pPr>
        <w:pStyle w:val="BodyText"/>
      </w:pPr>
      <w:r>
        <w:rPr/>
        <w:pict>
          <v:group style="position:absolute;margin-left:72pt;margin-top:73.400002pt;width:653.4pt;height:36.6pt;mso-position-horizontal-relative:page;mso-position-vertical-relative:page;z-index:-261082112" coordorigin="1440,1468" coordsize="13068,732">
            <v:shape style="position:absolute;left:1440;top:1468;width:13068;height:724" coordorigin="1440,1468" coordsize="13068,724" path="m14504,1468l14396,1468,12596,1468,12488,1468,10456,1468,8360,1468,6372,1468,6264,1468,4472,1468,4368,1468,1440,1468,1440,2192,1548,2192,4256,2192,4368,2192,4472,2192,4936,2192,5044,2192,5152,2192,5612,2192,5720,2192,5828,2192,6264,2192,6372,2192,6480,2192,6964,2192,7072,2192,7180,2192,7640,2192,7752,2192,7856,2192,8252,2192,8360,2192,8468,2192,8996,2192,9104,2192,9212,2192,9672,2192,9780,2192,9888,2192,10348,2192,10456,2192,10564,2192,11028,2192,11132,2192,11240,2192,11704,2192,11812,2192,11920,2192,12380,2192,12488,2192,12596,2192,13056,2192,13164,2192,13164,1928,13056,1928,12596,1928,12488,1928,12380,1928,11920,1928,11812,1928,11704,1928,11240,1928,11132,1928,11028,1928,10564,1928,10456,1928,10348,1928,9888,1928,9780,1928,9672,1928,9212,1928,9104,1928,8996,1928,8468,1928,8360,1928,8252,1928,7856,1928,7752,1928,7640,1928,7180,1928,7072,1928,6964,1928,6480,1928,6372,1928,6264,1928,5828,1928,5720,1928,5612,1928,5152,1928,5044,1928,4936,1928,4472,1928,4368,1928,4368,1916,4472,1916,6264,1916,6372,1916,6480,1916,8252,1916,8360,1916,8468,1916,10348,1916,10456,1916,10564,1916,12380,1916,12488,1916,12596,1916,14396,1916,14504,1916,14504,1468m14508,1928l14396,1928,13952,1928,13844,1928,13732,1928,13272,1928,13164,1928,13164,2192,13272,2192,13732,2192,13844,2192,13952,2192,14396,2192,14508,2192,14508,1928e" filled="true" fillcolor="#09357d" stroked="false">
              <v:path arrowok="t"/>
              <v:fill type="solid"/>
            </v:shape>
            <v:line style="position:absolute" from="4368,1926" to="5044,1926" stroked="true" strokeweight=".2pt" strokecolor="#09357d">
              <v:stroke dashstyle="solid"/>
            </v:line>
            <v:rect style="position:absolute;left:5044;top:1924;width:8;height:4" filled="true" fillcolor="#09357d" stroked="false">
              <v:fill type="solid"/>
            </v:rect>
            <v:line style="position:absolute" from="5052,1926" to="5720,1926" stroked="true" strokeweight=".2pt" strokecolor="#09357d">
              <v:stroke dashstyle="solid"/>
            </v:line>
            <v:rect style="position:absolute;left:5720;top:1924;width:8;height:4" filled="true" fillcolor="#09357d" stroked="false">
              <v:fill type="solid"/>
            </v:rect>
            <v:line style="position:absolute" from="5728,1926" to="6372,1926" stroked="true" strokeweight=".2pt" strokecolor="#09357d">
              <v:stroke dashstyle="solid"/>
            </v:line>
            <v:rect style="position:absolute;left:6372;top:1924;width:8;height:4" filled="true" fillcolor="#09357d" stroked="false">
              <v:fill type="solid"/>
            </v:rect>
            <v:line style="position:absolute" from="6380,1926" to="7072,1926" stroked="true" strokeweight=".2pt" strokecolor="#09357d">
              <v:stroke dashstyle="solid"/>
            </v:line>
            <v:rect style="position:absolute;left:7072;top:1924;width:8;height:4" filled="true" fillcolor="#09357d" stroked="false">
              <v:fill type="solid"/>
            </v:rect>
            <v:line style="position:absolute" from="7080,1926" to="7752,1926" stroked="true" strokeweight=".2pt" strokecolor="#09357d">
              <v:stroke dashstyle="solid"/>
            </v:line>
            <v:rect style="position:absolute;left:7752;top:1924;width:8;height:4" filled="true" fillcolor="#09357d" stroked="false">
              <v:fill type="solid"/>
            </v:rect>
            <v:line style="position:absolute" from="7760,1926" to="8360,1926" stroked="true" strokeweight=".2pt" strokecolor="#09357d">
              <v:stroke dashstyle="solid"/>
            </v:line>
            <v:rect style="position:absolute;left:8360;top:1924;width:8;height:4" filled="true" fillcolor="#09357d" stroked="false">
              <v:fill type="solid"/>
            </v:rect>
            <v:line style="position:absolute" from="8368,1926" to="9104,1926" stroked="true" strokeweight=".2pt" strokecolor="#09357d">
              <v:stroke dashstyle="solid"/>
            </v:line>
            <v:rect style="position:absolute;left:9104;top:1924;width:8;height:4" filled="true" fillcolor="#09357d" stroked="false">
              <v:fill type="solid"/>
            </v:rect>
            <v:line style="position:absolute" from="9112,1926" to="9780,1926" stroked="true" strokeweight=".2pt" strokecolor="#09357d">
              <v:stroke dashstyle="solid"/>
            </v:line>
            <v:rect style="position:absolute;left:9780;top:1924;width:9;height:4" filled="true" fillcolor="#09357d" stroked="false">
              <v:fill type="solid"/>
            </v:rect>
            <v:line style="position:absolute" from="9788,1926" to="10456,1926" stroked="true" strokeweight=".2pt" strokecolor="#09357d">
              <v:stroke dashstyle="solid"/>
            </v:line>
            <v:rect style="position:absolute;left:10456;top:1924;width:8;height:4" filled="true" fillcolor="#09357d" stroked="false">
              <v:fill type="solid"/>
            </v:rect>
            <v:line style="position:absolute" from="10464,1926" to="11136,1926" stroked="true" strokeweight=".2pt" strokecolor="#09357d">
              <v:stroke dashstyle="solid"/>
            </v:line>
            <v:rect style="position:absolute;left:11136;top:1924;width:8;height:4" filled="true" fillcolor="#09357d" stroked="false">
              <v:fill type="solid"/>
            </v:rect>
            <v:line style="position:absolute" from="11144,1926" to="11812,1926" stroked="true" strokeweight=".2pt" strokecolor="#09357d">
              <v:stroke dashstyle="solid"/>
            </v:line>
            <v:rect style="position:absolute;left:11812;top:1924;width:9;height:4" filled="true" fillcolor="#09357d" stroked="false">
              <v:fill type="solid"/>
            </v:rect>
            <v:line style="position:absolute" from="11820,1926" to="12488,1926" stroked="true" strokeweight=".2pt" strokecolor="#09357d">
              <v:stroke dashstyle="solid"/>
            </v:line>
            <v:rect style="position:absolute;left:12488;top:1924;width:8;height:4" filled="true" fillcolor="#09357d" stroked="false">
              <v:fill type="solid"/>
            </v:rect>
            <v:line style="position:absolute" from="12496,1926" to="13164,1926" stroked="true" strokeweight=".2pt" strokecolor="#09357d">
              <v:stroke dashstyle="solid"/>
            </v:line>
            <v:rect style="position:absolute;left:13164;top:1924;width:8;height:4" filled="true" fillcolor="#09357d" stroked="false">
              <v:fill type="solid"/>
            </v:rect>
            <v:line style="position:absolute" from="13172,1926" to="13844,1926" stroked="true" strokeweight=".2pt" strokecolor="#09357d">
              <v:stroke dashstyle="solid"/>
            </v:line>
            <v:rect style="position:absolute;left:13844;top:1924;width:9;height:4" filled="true" fillcolor="#09357d" stroked="false">
              <v:fill type="solid"/>
            </v:rect>
            <v:line style="position:absolute" from="13852,1926" to="14508,1926" stroked="true" strokeweight=".2pt" strokecolor="#09357d">
              <v:stroke dashstyle="solid"/>
            </v:line>
            <v:line style="position:absolute" from="1440,2196" to="1700,2196" stroked="true" strokeweight=".4pt" strokecolor="#585858">
              <v:stroke dashstyle="solid"/>
            </v:line>
            <v:rect style="position:absolute;left:1700;top:2192;width:9;height:8" filled="true" fillcolor="#585858" stroked="false">
              <v:fill type="solid"/>
            </v:rect>
            <v:line style="position:absolute" from="1708,2196" to="4368,2196" stroked="true" strokeweight=".4pt" strokecolor="#585858">
              <v:stroke dashstyle="solid"/>
            </v:line>
            <v:rect style="position:absolute;left:4368;top:2192;width:8;height:8" filled="true" fillcolor="#585858" stroked="false">
              <v:fill type="solid"/>
            </v:rect>
            <v:line style="position:absolute" from="4376,2196" to="5044,2196" stroked="true" strokeweight=".4pt" strokecolor="#585858">
              <v:stroke dashstyle="solid"/>
            </v:line>
            <v:rect style="position:absolute;left:5044;top:2192;width:8;height:8" filled="true" fillcolor="#585858" stroked="false">
              <v:fill type="solid"/>
            </v:rect>
            <v:line style="position:absolute" from="5052,2196" to="5720,2196" stroked="true" strokeweight=".4pt" strokecolor="#585858">
              <v:stroke dashstyle="solid"/>
            </v:line>
            <v:rect style="position:absolute;left:5720;top:2192;width:8;height:8" filled="true" fillcolor="#585858" stroked="false">
              <v:fill type="solid"/>
            </v:rect>
            <v:line style="position:absolute" from="5728,2196" to="6372,2196" stroked="true" strokeweight=".4pt" strokecolor="#585858">
              <v:stroke dashstyle="solid"/>
            </v:line>
            <v:rect style="position:absolute;left:6372;top:2192;width:8;height:8" filled="true" fillcolor="#585858" stroked="false">
              <v:fill type="solid"/>
            </v:rect>
            <v:line style="position:absolute" from="6380,2196" to="7072,2196" stroked="true" strokeweight=".4pt" strokecolor="#585858">
              <v:stroke dashstyle="solid"/>
            </v:line>
            <v:rect style="position:absolute;left:7072;top:2192;width:8;height:8" filled="true" fillcolor="#585858" stroked="false">
              <v:fill type="solid"/>
            </v:rect>
            <v:line style="position:absolute" from="7080,2196" to="7752,2196" stroked="true" strokeweight=".4pt" strokecolor="#585858">
              <v:stroke dashstyle="solid"/>
            </v:line>
            <v:rect style="position:absolute;left:7752;top:2192;width:8;height:8" filled="true" fillcolor="#585858" stroked="false">
              <v:fill type="solid"/>
            </v:rect>
            <v:line style="position:absolute" from="7760,2196" to="8360,2196" stroked="true" strokeweight=".4pt" strokecolor="#585858">
              <v:stroke dashstyle="solid"/>
            </v:line>
            <v:rect style="position:absolute;left:8360;top:2192;width:8;height:8" filled="true" fillcolor="#585858" stroked="false">
              <v:fill type="solid"/>
            </v:rect>
            <v:line style="position:absolute" from="8368,2196" to="9104,2196" stroked="true" strokeweight=".4pt" strokecolor="#585858">
              <v:stroke dashstyle="solid"/>
            </v:line>
            <v:rect style="position:absolute;left:9104;top:2192;width:8;height:8" filled="true" fillcolor="#585858" stroked="false">
              <v:fill type="solid"/>
            </v:rect>
            <v:line style="position:absolute" from="9112,2196" to="9780,2196" stroked="true" strokeweight=".4pt" strokecolor="#585858">
              <v:stroke dashstyle="solid"/>
            </v:line>
            <v:rect style="position:absolute;left:9780;top:2192;width:9;height:8" filled="true" fillcolor="#585858" stroked="false">
              <v:fill type="solid"/>
            </v:rect>
            <v:line style="position:absolute" from="9788,2196" to="10456,2196" stroked="true" strokeweight=".4pt" strokecolor="#585858">
              <v:stroke dashstyle="solid"/>
            </v:line>
            <v:rect style="position:absolute;left:10456;top:2192;width:8;height:8" filled="true" fillcolor="#585858" stroked="false">
              <v:fill type="solid"/>
            </v:rect>
            <v:line style="position:absolute" from="10464,2196" to="11136,2196" stroked="true" strokeweight=".4pt" strokecolor="#585858">
              <v:stroke dashstyle="solid"/>
            </v:line>
            <v:rect style="position:absolute;left:11136;top:2192;width:8;height:8" filled="true" fillcolor="#585858" stroked="false">
              <v:fill type="solid"/>
            </v:rect>
            <v:line style="position:absolute" from="11144,2196" to="11812,2196" stroked="true" strokeweight=".4pt" strokecolor="#585858">
              <v:stroke dashstyle="solid"/>
            </v:line>
            <v:rect style="position:absolute;left:11812;top:2192;width:9;height:8" filled="true" fillcolor="#585858" stroked="false">
              <v:fill type="solid"/>
            </v:rect>
            <v:line style="position:absolute" from="11820,2196" to="12488,2196" stroked="true" strokeweight=".4pt" strokecolor="#585858">
              <v:stroke dashstyle="solid"/>
            </v:line>
            <v:rect style="position:absolute;left:12488;top:2192;width:8;height:8" filled="true" fillcolor="#585858" stroked="false">
              <v:fill type="solid"/>
            </v:rect>
            <v:line style="position:absolute" from="12496,2196" to="13164,2196" stroked="true" strokeweight=".4pt" strokecolor="#585858">
              <v:stroke dashstyle="solid"/>
            </v:line>
            <v:rect style="position:absolute;left:13164;top:2192;width:8;height:8" filled="true" fillcolor="#585858" stroked="false">
              <v:fill type="solid"/>
            </v:rect>
            <v:line style="position:absolute" from="13172,2196" to="13844,2196" stroked="true" strokeweight=".4pt" strokecolor="#585858">
              <v:stroke dashstyle="solid"/>
            </v:line>
            <v:rect style="position:absolute;left:13844;top:2192;width:9;height:8" filled="true" fillcolor="#585858" stroked="false">
              <v:fill type="solid"/>
            </v:rect>
            <v:line style="position:absolute" from="13852,2196" to="14508,2196" stroked="true" strokeweight=".4pt" strokecolor="#585858">
              <v:stroke dashstyle="solid"/>
            </v:line>
            <w10:wrap type="none"/>
          </v:group>
        </w:pict>
      </w:r>
    </w:p>
    <w:p>
      <w:pPr>
        <w:pStyle w:val="BodyText"/>
        <w:spacing w:before="6"/>
        <w:rPr>
          <w:sz w:val="11"/>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22"/>
        <w:gridCol w:w="715"/>
        <w:gridCol w:w="646"/>
        <w:gridCol w:w="636"/>
        <w:gridCol w:w="746"/>
        <w:gridCol w:w="644"/>
        <w:gridCol w:w="574"/>
        <w:gridCol w:w="812"/>
        <w:gridCol w:w="644"/>
        <w:gridCol w:w="612"/>
        <w:gridCol w:w="770"/>
        <w:gridCol w:w="646"/>
        <w:gridCol w:w="638"/>
        <w:gridCol w:w="790"/>
        <w:gridCol w:w="602"/>
        <w:gridCol w:w="667"/>
      </w:tblGrid>
      <w:tr>
        <w:trPr>
          <w:trHeight w:val="975" w:hRule="atLeast"/>
        </w:trPr>
        <w:tc>
          <w:tcPr>
            <w:tcW w:w="2922" w:type="dxa"/>
            <w:tcBorders>
              <w:bottom w:val="single" w:sz="4" w:space="0" w:color="585858"/>
            </w:tcBorders>
          </w:tcPr>
          <w:p>
            <w:pPr>
              <w:pStyle w:val="TableParagraph"/>
              <w:spacing w:before="0"/>
              <w:rPr>
                <w:sz w:val="20"/>
              </w:rPr>
            </w:pPr>
          </w:p>
          <w:p>
            <w:pPr>
              <w:pStyle w:val="TableParagraph"/>
              <w:spacing w:before="3"/>
              <w:rPr>
                <w:sz w:val="21"/>
              </w:rPr>
            </w:pPr>
          </w:p>
          <w:p>
            <w:pPr>
              <w:pStyle w:val="TableParagraph"/>
              <w:spacing w:before="0"/>
              <w:ind w:left="870"/>
              <w:rPr>
                <w:b/>
                <w:sz w:val="18"/>
              </w:rPr>
            </w:pPr>
            <w:r>
              <w:rPr>
                <w:b/>
                <w:color w:val="FFFFFF"/>
                <w:sz w:val="18"/>
              </w:rPr>
              <w:t>Characteristic</w:t>
            </w:r>
          </w:p>
          <w:p>
            <w:pPr>
              <w:pStyle w:val="TableParagraph"/>
              <w:spacing w:line="181" w:lineRule="exact" w:before="92"/>
              <w:ind w:left="370"/>
              <w:rPr>
                <w:sz w:val="16"/>
              </w:rPr>
            </w:pPr>
            <w:r>
              <w:rPr>
                <w:sz w:val="16"/>
              </w:rPr>
              <w:t>Asexual</w:t>
            </w:r>
          </w:p>
        </w:tc>
        <w:tc>
          <w:tcPr>
            <w:tcW w:w="715" w:type="dxa"/>
            <w:tcBorders>
              <w:bottom w:val="single" w:sz="4" w:space="0" w:color="585858"/>
            </w:tcBorders>
          </w:tcPr>
          <w:p>
            <w:pPr>
              <w:pStyle w:val="TableParagraph"/>
              <w:spacing w:before="42"/>
              <w:ind w:left="312" w:right="-29"/>
              <w:rPr>
                <w:b/>
                <w:sz w:val="16"/>
              </w:rPr>
            </w:pPr>
            <w:r>
              <w:rPr>
                <w:b/>
                <w:color w:val="FFFFFF"/>
                <w:spacing w:val="-1"/>
                <w:sz w:val="16"/>
              </w:rPr>
              <w:t>Cisge</w:t>
            </w:r>
          </w:p>
          <w:p>
            <w:pPr>
              <w:pStyle w:val="TableParagraph"/>
              <w:spacing w:before="11"/>
              <w:rPr>
                <w:sz w:val="23"/>
              </w:rPr>
            </w:pPr>
          </w:p>
          <w:p>
            <w:pPr>
              <w:pStyle w:val="TableParagraph"/>
              <w:spacing w:before="0"/>
              <w:ind w:left="300"/>
              <w:rPr>
                <w:b/>
                <w:sz w:val="16"/>
              </w:rPr>
            </w:pPr>
            <w:r>
              <w:rPr>
                <w:b/>
                <w:color w:val="FFFFFF"/>
                <w:sz w:val="16"/>
              </w:rPr>
              <w:t>#</w:t>
            </w:r>
          </w:p>
          <w:p>
            <w:pPr>
              <w:pStyle w:val="TableParagraph"/>
              <w:spacing w:line="181" w:lineRule="exact" w:before="88"/>
              <w:ind w:left="304"/>
              <w:rPr>
                <w:sz w:val="16"/>
              </w:rPr>
            </w:pPr>
            <w:r>
              <w:rPr>
                <w:sz w:val="16"/>
              </w:rPr>
              <w:t>&lt;10</w:t>
            </w:r>
          </w:p>
        </w:tc>
        <w:tc>
          <w:tcPr>
            <w:tcW w:w="1282" w:type="dxa"/>
            <w:gridSpan w:val="2"/>
            <w:tcBorders>
              <w:bottom w:val="single" w:sz="4" w:space="0" w:color="585858"/>
            </w:tcBorders>
          </w:tcPr>
          <w:p>
            <w:pPr>
              <w:pStyle w:val="TableParagraph"/>
              <w:spacing w:before="42"/>
              <w:ind w:left="17" w:right="264" w:firstLine="12"/>
              <w:rPr>
                <w:b/>
                <w:sz w:val="16"/>
              </w:rPr>
            </w:pPr>
            <w:r>
              <w:rPr>
                <w:b/>
                <w:color w:val="FFFFFF"/>
                <w:sz w:val="16"/>
              </w:rPr>
              <w:t>nder Women Faculty</w:t>
            </w:r>
          </w:p>
          <w:p>
            <w:pPr>
              <w:pStyle w:val="TableParagraph"/>
              <w:spacing w:before="92"/>
              <w:ind w:left="237"/>
              <w:rPr>
                <w:b/>
                <w:sz w:val="16"/>
              </w:rPr>
            </w:pPr>
            <w:r>
              <w:rPr>
                <w:b/>
                <w:color w:val="FFFFFF"/>
                <w:sz w:val="16"/>
              </w:rPr>
              <w:t>%</w:t>
            </w:r>
          </w:p>
          <w:p>
            <w:pPr>
              <w:pStyle w:val="TableParagraph"/>
              <w:tabs>
                <w:tab w:pos="756" w:val="left" w:leader="none"/>
              </w:tabs>
              <w:spacing w:line="181" w:lineRule="exact" w:before="88"/>
              <w:ind w:left="317"/>
              <w:rPr>
                <w:sz w:val="16"/>
              </w:rPr>
            </w:pPr>
            <w:r>
              <w:rPr>
                <w:sz w:val="16"/>
              </w:rPr>
              <w:t>1.0</w:t>
              <w:tab/>
              <w:t>!</w:t>
            </w:r>
          </w:p>
        </w:tc>
        <w:tc>
          <w:tcPr>
            <w:tcW w:w="746" w:type="dxa"/>
            <w:tcBorders>
              <w:bottom w:val="single" w:sz="4" w:space="0" w:color="585858"/>
            </w:tcBorders>
          </w:tcPr>
          <w:p>
            <w:pPr>
              <w:pStyle w:val="TableParagraph"/>
              <w:spacing w:before="7"/>
              <w:rPr>
                <w:sz w:val="19"/>
              </w:rPr>
            </w:pPr>
          </w:p>
          <w:p>
            <w:pPr>
              <w:pStyle w:val="TableParagraph"/>
              <w:spacing w:line="360" w:lineRule="auto" w:before="0"/>
              <w:ind w:left="323" w:right="-41" w:hanging="188"/>
              <w:rPr>
                <w:b/>
                <w:sz w:val="16"/>
              </w:rPr>
            </w:pPr>
            <w:r>
              <w:rPr>
                <w:b/>
                <w:color w:val="FFFFFF"/>
                <w:sz w:val="16"/>
              </w:rPr>
              <w:t>Cisgend #</w:t>
            </w:r>
          </w:p>
          <w:p>
            <w:pPr>
              <w:pStyle w:val="TableParagraph"/>
              <w:spacing w:line="177" w:lineRule="exact" w:before="0"/>
              <w:ind w:left="339"/>
              <w:rPr>
                <w:sz w:val="16"/>
              </w:rPr>
            </w:pPr>
            <w:r>
              <w:rPr>
                <w:sz w:val="16"/>
              </w:rPr>
              <w:t>&lt;10</w:t>
            </w:r>
          </w:p>
        </w:tc>
        <w:tc>
          <w:tcPr>
            <w:tcW w:w="1218" w:type="dxa"/>
            <w:gridSpan w:val="2"/>
            <w:tcBorders>
              <w:bottom w:val="single" w:sz="4" w:space="0" w:color="585858"/>
            </w:tcBorders>
          </w:tcPr>
          <w:p>
            <w:pPr>
              <w:pStyle w:val="TableParagraph"/>
              <w:spacing w:before="7"/>
              <w:rPr>
                <w:sz w:val="19"/>
              </w:rPr>
            </w:pPr>
          </w:p>
          <w:p>
            <w:pPr>
              <w:pStyle w:val="TableParagraph"/>
              <w:spacing w:before="0"/>
              <w:ind w:left="16"/>
              <w:rPr>
                <w:b/>
                <w:sz w:val="16"/>
              </w:rPr>
            </w:pPr>
            <w:r>
              <w:rPr>
                <w:b/>
                <w:color w:val="FFFFFF"/>
                <w:sz w:val="16"/>
              </w:rPr>
              <w:t>er Men Faculty</w:t>
            </w:r>
          </w:p>
          <w:p>
            <w:pPr>
              <w:pStyle w:val="TableParagraph"/>
              <w:spacing w:before="92"/>
              <w:ind w:left="237"/>
              <w:rPr>
                <w:b/>
                <w:sz w:val="16"/>
              </w:rPr>
            </w:pPr>
            <w:r>
              <w:rPr>
                <w:b/>
                <w:color w:val="FFFFFF"/>
                <w:sz w:val="16"/>
              </w:rPr>
              <w:t>%</w:t>
            </w:r>
          </w:p>
          <w:p>
            <w:pPr>
              <w:pStyle w:val="TableParagraph"/>
              <w:tabs>
                <w:tab w:pos="756" w:val="left" w:leader="none"/>
              </w:tabs>
              <w:spacing w:line="181" w:lineRule="exact" w:before="88"/>
              <w:ind w:left="317"/>
              <w:rPr>
                <w:sz w:val="16"/>
              </w:rPr>
            </w:pPr>
            <w:r>
              <w:rPr>
                <w:sz w:val="16"/>
              </w:rPr>
              <w:t>0.9</w:t>
              <w:tab/>
              <w:t>!</w:t>
            </w:r>
          </w:p>
        </w:tc>
        <w:tc>
          <w:tcPr>
            <w:tcW w:w="812" w:type="dxa"/>
            <w:tcBorders>
              <w:bottom w:val="single" w:sz="4" w:space="0" w:color="585858"/>
            </w:tcBorders>
          </w:tcPr>
          <w:p>
            <w:pPr>
              <w:pStyle w:val="TableParagraph"/>
              <w:spacing w:before="7"/>
              <w:rPr>
                <w:sz w:val="19"/>
              </w:rPr>
            </w:pPr>
          </w:p>
          <w:p>
            <w:pPr>
              <w:pStyle w:val="TableParagraph"/>
              <w:spacing w:line="360" w:lineRule="auto" w:before="0"/>
              <w:ind w:left="371" w:right="-27" w:hanging="184"/>
              <w:rPr>
                <w:b/>
                <w:sz w:val="16"/>
              </w:rPr>
            </w:pPr>
            <w:r>
              <w:rPr>
                <w:b/>
                <w:color w:val="FFFFFF"/>
                <w:sz w:val="16"/>
              </w:rPr>
              <w:t>Cisgend #</w:t>
            </w:r>
          </w:p>
          <w:p>
            <w:pPr>
              <w:pStyle w:val="TableParagraph"/>
              <w:spacing w:line="177" w:lineRule="exact" w:before="0"/>
              <w:ind w:left="503"/>
              <w:rPr>
                <w:sz w:val="16"/>
              </w:rPr>
            </w:pPr>
            <w:r>
              <w:rPr>
                <w:sz w:val="16"/>
              </w:rPr>
              <w:t>16</w:t>
            </w:r>
          </w:p>
        </w:tc>
        <w:tc>
          <w:tcPr>
            <w:tcW w:w="1256" w:type="dxa"/>
            <w:gridSpan w:val="2"/>
            <w:tcBorders>
              <w:bottom w:val="single" w:sz="4" w:space="0" w:color="585858"/>
            </w:tcBorders>
          </w:tcPr>
          <w:p>
            <w:pPr>
              <w:pStyle w:val="TableParagraph"/>
              <w:spacing w:before="7"/>
              <w:rPr>
                <w:sz w:val="19"/>
              </w:rPr>
            </w:pPr>
          </w:p>
          <w:p>
            <w:pPr>
              <w:pStyle w:val="TableParagraph"/>
              <w:spacing w:before="0"/>
              <w:ind w:left="2"/>
              <w:rPr>
                <w:b/>
                <w:sz w:val="16"/>
              </w:rPr>
            </w:pPr>
            <w:r>
              <w:rPr>
                <w:b/>
                <w:color w:val="FFFFFF"/>
                <w:sz w:val="16"/>
              </w:rPr>
              <w:t>er Women Staff</w:t>
            </w:r>
          </w:p>
          <w:p>
            <w:pPr>
              <w:pStyle w:val="TableParagraph"/>
              <w:spacing w:before="92"/>
              <w:ind w:left="239"/>
              <w:rPr>
                <w:b/>
                <w:sz w:val="16"/>
              </w:rPr>
            </w:pPr>
            <w:r>
              <w:rPr>
                <w:b/>
                <w:color w:val="FFFFFF"/>
                <w:sz w:val="16"/>
              </w:rPr>
              <w:t>%</w:t>
            </w:r>
          </w:p>
          <w:p>
            <w:pPr>
              <w:pStyle w:val="TableParagraph"/>
              <w:spacing w:line="181" w:lineRule="exact" w:before="88"/>
              <w:ind w:left="319"/>
              <w:rPr>
                <w:sz w:val="16"/>
              </w:rPr>
            </w:pPr>
            <w:r>
              <w:rPr>
                <w:sz w:val="16"/>
              </w:rPr>
              <w:t>1.1</w:t>
            </w:r>
          </w:p>
        </w:tc>
        <w:tc>
          <w:tcPr>
            <w:tcW w:w="2054" w:type="dxa"/>
            <w:gridSpan w:val="3"/>
            <w:tcBorders>
              <w:bottom w:val="single" w:sz="4" w:space="0" w:color="585858"/>
            </w:tcBorders>
          </w:tcPr>
          <w:p>
            <w:pPr>
              <w:pStyle w:val="TableParagraph"/>
              <w:spacing w:before="7"/>
              <w:rPr>
                <w:sz w:val="19"/>
              </w:rPr>
            </w:pPr>
          </w:p>
          <w:p>
            <w:pPr>
              <w:pStyle w:val="TableParagraph"/>
              <w:spacing w:before="0"/>
              <w:ind w:left="311"/>
              <w:rPr>
                <w:b/>
                <w:sz w:val="16"/>
              </w:rPr>
            </w:pPr>
            <w:r>
              <w:rPr>
                <w:b/>
                <w:color w:val="FFFFFF"/>
                <w:sz w:val="16"/>
              </w:rPr>
              <w:t>Cisgen</w:t>
            </w:r>
          </w:p>
        </w:tc>
        <w:tc>
          <w:tcPr>
            <w:tcW w:w="790" w:type="dxa"/>
            <w:tcBorders>
              <w:bottom w:val="single" w:sz="4" w:space="0" w:color="585858"/>
            </w:tcBorders>
          </w:tcPr>
          <w:p>
            <w:pPr>
              <w:pStyle w:val="TableParagraph"/>
              <w:spacing w:before="42"/>
              <w:ind w:left="161" w:right="-131" w:firstLine="124"/>
              <w:rPr>
                <w:b/>
                <w:sz w:val="16"/>
              </w:rPr>
            </w:pPr>
            <w:r>
              <w:rPr>
                <w:b/>
                <w:color w:val="FFFFFF"/>
                <w:spacing w:val="-1"/>
                <w:sz w:val="16"/>
              </w:rPr>
              <w:t>Transge </w:t>
            </w:r>
            <w:r>
              <w:rPr>
                <w:b/>
                <w:color w:val="FFFFFF"/>
                <w:sz w:val="16"/>
              </w:rPr>
              <w:t>Nonbina</w:t>
            </w:r>
          </w:p>
          <w:p>
            <w:pPr>
              <w:pStyle w:val="TableParagraph"/>
              <w:spacing w:before="92"/>
              <w:ind w:left="341"/>
              <w:rPr>
                <w:b/>
                <w:sz w:val="16"/>
              </w:rPr>
            </w:pPr>
            <w:r>
              <w:rPr>
                <w:b/>
                <w:color w:val="FFFFFF"/>
                <w:sz w:val="16"/>
              </w:rPr>
              <w:t>#</w:t>
            </w:r>
          </w:p>
          <w:p>
            <w:pPr>
              <w:pStyle w:val="TableParagraph"/>
              <w:spacing w:line="181" w:lineRule="exact" w:before="88"/>
              <w:ind w:left="345"/>
              <w:rPr>
                <w:sz w:val="16"/>
              </w:rPr>
            </w:pPr>
            <w:r>
              <w:rPr>
                <w:sz w:val="16"/>
              </w:rPr>
              <w:t>&lt;10</w:t>
            </w:r>
          </w:p>
        </w:tc>
        <w:tc>
          <w:tcPr>
            <w:tcW w:w="1269" w:type="dxa"/>
            <w:gridSpan w:val="2"/>
            <w:tcBorders>
              <w:bottom w:val="single" w:sz="4" w:space="0" w:color="585858"/>
            </w:tcBorders>
          </w:tcPr>
          <w:p>
            <w:pPr>
              <w:pStyle w:val="TableParagraph"/>
              <w:spacing w:before="42"/>
              <w:ind w:left="7" w:right="86" w:firstLine="108"/>
              <w:rPr>
                <w:b/>
                <w:sz w:val="16"/>
              </w:rPr>
            </w:pPr>
            <w:r>
              <w:rPr>
                <w:b/>
                <w:color w:val="FFFFFF"/>
                <w:sz w:val="16"/>
              </w:rPr>
              <w:t>nder and/ or ry Faculty/Staff</w:t>
            </w:r>
          </w:p>
          <w:p>
            <w:pPr>
              <w:pStyle w:val="TableParagraph"/>
              <w:spacing w:before="92"/>
              <w:ind w:left="199"/>
              <w:rPr>
                <w:b/>
                <w:sz w:val="16"/>
              </w:rPr>
            </w:pPr>
            <w:r>
              <w:rPr>
                <w:b/>
                <w:color w:val="FFFFFF"/>
                <w:sz w:val="16"/>
              </w:rPr>
              <w:t>%</w:t>
            </w:r>
          </w:p>
          <w:p>
            <w:pPr>
              <w:pStyle w:val="TableParagraph"/>
              <w:tabs>
                <w:tab w:pos="722" w:val="left" w:leader="none"/>
              </w:tabs>
              <w:spacing w:line="181" w:lineRule="exact" w:before="88"/>
              <w:ind w:left="279"/>
              <w:rPr>
                <w:sz w:val="16"/>
              </w:rPr>
            </w:pPr>
            <w:r>
              <w:rPr>
                <w:sz w:val="16"/>
              </w:rPr>
              <w:t>6.2</w:t>
              <w:tab/>
              <w:t>!</w:t>
            </w:r>
          </w:p>
        </w:tc>
      </w:tr>
      <w:tr>
        <w:trPr>
          <w:trHeight w:val="233" w:hRule="atLeast"/>
        </w:trPr>
        <w:tc>
          <w:tcPr>
            <w:tcW w:w="2922" w:type="dxa"/>
            <w:tcBorders>
              <w:top w:val="single" w:sz="4" w:space="0" w:color="585858"/>
              <w:bottom w:val="single" w:sz="4" w:space="0" w:color="585858"/>
            </w:tcBorders>
          </w:tcPr>
          <w:p>
            <w:pPr>
              <w:pStyle w:val="TableParagraph"/>
              <w:spacing w:before="25"/>
              <w:ind w:left="370"/>
              <w:rPr>
                <w:sz w:val="16"/>
              </w:rPr>
            </w:pPr>
            <w:r>
              <w:rPr>
                <w:sz w:val="16"/>
              </w:rPr>
              <w:t>Queer</w:t>
            </w:r>
          </w:p>
        </w:tc>
        <w:tc>
          <w:tcPr>
            <w:tcW w:w="715" w:type="dxa"/>
            <w:tcBorders>
              <w:top w:val="single" w:sz="4" w:space="0" w:color="585858"/>
              <w:bottom w:val="single" w:sz="4" w:space="0" w:color="585858"/>
            </w:tcBorders>
          </w:tcPr>
          <w:p>
            <w:pPr>
              <w:pStyle w:val="TableParagraph"/>
              <w:spacing w:before="25"/>
              <w:ind w:right="138"/>
              <w:jc w:val="right"/>
              <w:rPr>
                <w:sz w:val="16"/>
              </w:rPr>
            </w:pPr>
            <w:r>
              <w:rPr>
                <w:sz w:val="16"/>
              </w:rPr>
              <w:t>22</w:t>
            </w:r>
          </w:p>
        </w:tc>
        <w:tc>
          <w:tcPr>
            <w:tcW w:w="1282" w:type="dxa"/>
            <w:gridSpan w:val="2"/>
            <w:tcBorders>
              <w:top w:val="single" w:sz="4" w:space="0" w:color="585858"/>
              <w:bottom w:val="single" w:sz="4" w:space="0" w:color="585858"/>
            </w:tcBorders>
          </w:tcPr>
          <w:p>
            <w:pPr>
              <w:pStyle w:val="TableParagraph"/>
              <w:spacing w:before="25"/>
              <w:ind w:left="317"/>
              <w:rPr>
                <w:sz w:val="16"/>
              </w:rPr>
            </w:pPr>
            <w:r>
              <w:rPr>
                <w:sz w:val="16"/>
              </w:rPr>
              <w:t>2.7</w:t>
            </w:r>
          </w:p>
        </w:tc>
        <w:tc>
          <w:tcPr>
            <w:tcW w:w="746" w:type="dxa"/>
            <w:tcBorders>
              <w:top w:val="single" w:sz="4" w:space="0" w:color="585858"/>
              <w:bottom w:val="single" w:sz="4" w:space="0" w:color="585858"/>
            </w:tcBorders>
          </w:tcPr>
          <w:p>
            <w:pPr>
              <w:pStyle w:val="TableParagraph"/>
              <w:spacing w:before="25"/>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before="25"/>
              <w:ind w:right="104"/>
              <w:jc w:val="right"/>
              <w:rPr>
                <w:sz w:val="16"/>
              </w:rPr>
            </w:pPr>
            <w:r>
              <w:rPr>
                <w:sz w:val="16"/>
              </w:rPr>
              <w:t>0.6</w:t>
            </w:r>
          </w:p>
        </w:tc>
        <w:tc>
          <w:tcPr>
            <w:tcW w:w="574" w:type="dxa"/>
            <w:tcBorders>
              <w:top w:val="single" w:sz="4" w:space="0" w:color="585858"/>
              <w:bottom w:val="single" w:sz="4" w:space="0" w:color="585858"/>
            </w:tcBorders>
          </w:tcPr>
          <w:p>
            <w:pPr>
              <w:pStyle w:val="TableParagraph"/>
              <w:spacing w:before="25"/>
              <w:ind w:left="113"/>
              <w:rPr>
                <w:sz w:val="16"/>
              </w:rPr>
            </w:pPr>
            <w:r>
              <w:rPr>
                <w:sz w:val="16"/>
              </w:rPr>
              <w:t>!</w:t>
            </w:r>
          </w:p>
        </w:tc>
        <w:tc>
          <w:tcPr>
            <w:tcW w:w="812" w:type="dxa"/>
            <w:tcBorders>
              <w:top w:val="single" w:sz="4" w:space="0" w:color="585858"/>
              <w:bottom w:val="single" w:sz="4" w:space="0" w:color="585858"/>
            </w:tcBorders>
          </w:tcPr>
          <w:p>
            <w:pPr>
              <w:pStyle w:val="TableParagraph"/>
              <w:spacing w:before="25"/>
              <w:ind w:right="132"/>
              <w:jc w:val="right"/>
              <w:rPr>
                <w:sz w:val="16"/>
              </w:rPr>
            </w:pPr>
            <w:r>
              <w:rPr>
                <w:sz w:val="16"/>
              </w:rPr>
              <w:t>24</w:t>
            </w:r>
          </w:p>
        </w:tc>
        <w:tc>
          <w:tcPr>
            <w:tcW w:w="1256" w:type="dxa"/>
            <w:gridSpan w:val="2"/>
            <w:tcBorders>
              <w:top w:val="single" w:sz="4" w:space="0" w:color="585858"/>
              <w:bottom w:val="single" w:sz="4" w:space="0" w:color="585858"/>
            </w:tcBorders>
          </w:tcPr>
          <w:p>
            <w:pPr>
              <w:pStyle w:val="TableParagraph"/>
              <w:spacing w:before="25"/>
              <w:ind w:left="319"/>
              <w:rPr>
                <w:sz w:val="16"/>
              </w:rPr>
            </w:pPr>
            <w:r>
              <w:rPr>
                <w:sz w:val="16"/>
              </w:rPr>
              <w:t>1.6</w:t>
            </w:r>
          </w:p>
        </w:tc>
        <w:tc>
          <w:tcPr>
            <w:tcW w:w="770" w:type="dxa"/>
            <w:tcBorders>
              <w:top w:val="single" w:sz="4" w:space="0" w:color="585858"/>
              <w:bottom w:val="single" w:sz="4" w:space="0" w:color="585858"/>
            </w:tcBorders>
          </w:tcPr>
          <w:p>
            <w:pPr>
              <w:pStyle w:val="TableParagraph"/>
              <w:spacing w:before="25"/>
              <w:ind w:right="131"/>
              <w:jc w:val="right"/>
              <w:rPr>
                <w:sz w:val="16"/>
              </w:rPr>
            </w:pPr>
            <w:r>
              <w:rPr>
                <w:sz w:val="16"/>
              </w:rPr>
              <w:t>&lt;10</w:t>
            </w:r>
          </w:p>
        </w:tc>
        <w:tc>
          <w:tcPr>
            <w:tcW w:w="646" w:type="dxa"/>
            <w:tcBorders>
              <w:top w:val="single" w:sz="4" w:space="0" w:color="585858"/>
              <w:bottom w:val="single" w:sz="4" w:space="0" w:color="585858"/>
            </w:tcBorders>
          </w:tcPr>
          <w:p>
            <w:pPr>
              <w:pStyle w:val="TableParagraph"/>
              <w:spacing w:before="25"/>
              <w:ind w:right="102"/>
              <w:jc w:val="right"/>
              <w:rPr>
                <w:sz w:val="16"/>
              </w:rPr>
            </w:pPr>
            <w:r>
              <w:rPr>
                <w:sz w:val="16"/>
              </w:rPr>
              <w:t>0.4</w:t>
            </w:r>
          </w:p>
        </w:tc>
        <w:tc>
          <w:tcPr>
            <w:tcW w:w="638" w:type="dxa"/>
            <w:tcBorders>
              <w:top w:val="single" w:sz="4" w:space="0" w:color="585858"/>
              <w:bottom w:val="single" w:sz="4" w:space="0" w:color="585858"/>
            </w:tcBorders>
          </w:tcPr>
          <w:p>
            <w:pPr>
              <w:pStyle w:val="TableParagraph"/>
              <w:spacing w:before="25"/>
              <w:ind w:left="119"/>
              <w:rPr>
                <w:sz w:val="16"/>
              </w:rPr>
            </w:pPr>
            <w:r>
              <w:rPr>
                <w:sz w:val="16"/>
              </w:rPr>
              <w:t>!</w:t>
            </w:r>
          </w:p>
        </w:tc>
        <w:tc>
          <w:tcPr>
            <w:tcW w:w="790" w:type="dxa"/>
            <w:tcBorders>
              <w:top w:val="single" w:sz="4" w:space="0" w:color="585858"/>
              <w:bottom w:val="single" w:sz="4" w:space="0" w:color="585858"/>
            </w:tcBorders>
          </w:tcPr>
          <w:p>
            <w:pPr>
              <w:pStyle w:val="TableParagraph"/>
              <w:spacing w:before="25"/>
              <w:ind w:right="172"/>
              <w:jc w:val="right"/>
              <w:rPr>
                <w:sz w:val="16"/>
              </w:rPr>
            </w:pPr>
            <w:r>
              <w:rPr>
                <w:sz w:val="16"/>
              </w:rPr>
              <w:t>26</w:t>
            </w:r>
          </w:p>
        </w:tc>
        <w:tc>
          <w:tcPr>
            <w:tcW w:w="1269" w:type="dxa"/>
            <w:gridSpan w:val="2"/>
            <w:tcBorders>
              <w:top w:val="single" w:sz="4" w:space="0" w:color="585858"/>
              <w:bottom w:val="single" w:sz="4" w:space="0" w:color="585858"/>
            </w:tcBorders>
          </w:tcPr>
          <w:p>
            <w:pPr>
              <w:pStyle w:val="TableParagraph"/>
              <w:spacing w:before="25"/>
              <w:ind w:left="191"/>
              <w:rPr>
                <w:sz w:val="16"/>
              </w:rPr>
            </w:pPr>
            <w:r>
              <w:rPr>
                <w:sz w:val="16"/>
              </w:rPr>
              <w:t>26.8</w:t>
            </w:r>
          </w:p>
        </w:tc>
      </w:tr>
      <w:tr>
        <w:trPr>
          <w:trHeight w:val="406" w:hRule="atLeast"/>
        </w:trPr>
        <w:tc>
          <w:tcPr>
            <w:tcW w:w="2922" w:type="dxa"/>
            <w:tcBorders>
              <w:top w:val="single" w:sz="4" w:space="0" w:color="585858"/>
              <w:bottom w:val="single" w:sz="4" w:space="0" w:color="585858"/>
            </w:tcBorders>
          </w:tcPr>
          <w:p>
            <w:pPr>
              <w:pStyle w:val="TableParagraph"/>
              <w:spacing w:line="180" w:lineRule="atLeast" w:before="21"/>
              <w:ind w:left="370" w:right="281"/>
              <w:rPr>
                <w:sz w:val="16"/>
              </w:rPr>
            </w:pPr>
            <w:r>
              <w:rPr>
                <w:sz w:val="16"/>
              </w:rPr>
              <w:t>Additional combinations of multiple orientations</w:t>
            </w:r>
          </w:p>
        </w:tc>
        <w:tc>
          <w:tcPr>
            <w:tcW w:w="715" w:type="dxa"/>
            <w:tcBorders>
              <w:top w:val="single" w:sz="4" w:space="0" w:color="585858"/>
              <w:bottom w:val="single" w:sz="4" w:space="0" w:color="585858"/>
            </w:tcBorders>
          </w:tcPr>
          <w:p>
            <w:pPr>
              <w:pStyle w:val="TableParagraph"/>
              <w:spacing w:before="21"/>
              <w:ind w:right="139"/>
              <w:jc w:val="right"/>
              <w:rPr>
                <w:sz w:val="16"/>
              </w:rPr>
            </w:pPr>
            <w:r>
              <w:rPr>
                <w:sz w:val="16"/>
              </w:rPr>
              <w:t>&lt;10</w:t>
            </w:r>
          </w:p>
        </w:tc>
        <w:tc>
          <w:tcPr>
            <w:tcW w:w="646" w:type="dxa"/>
            <w:tcBorders>
              <w:top w:val="single" w:sz="4" w:space="0" w:color="585858"/>
              <w:bottom w:val="single" w:sz="4" w:space="0" w:color="585858"/>
            </w:tcBorders>
          </w:tcPr>
          <w:p>
            <w:pPr>
              <w:pStyle w:val="TableParagraph"/>
              <w:spacing w:before="21"/>
              <w:ind w:right="106"/>
              <w:jc w:val="right"/>
              <w:rPr>
                <w:sz w:val="16"/>
              </w:rPr>
            </w:pPr>
            <w:r>
              <w:rPr>
                <w:sz w:val="16"/>
              </w:rPr>
              <w:t>1.0</w:t>
            </w:r>
          </w:p>
        </w:tc>
        <w:tc>
          <w:tcPr>
            <w:tcW w:w="636" w:type="dxa"/>
            <w:tcBorders>
              <w:top w:val="single" w:sz="4" w:space="0" w:color="585858"/>
              <w:bottom w:val="single" w:sz="4" w:space="0" w:color="585858"/>
            </w:tcBorders>
          </w:tcPr>
          <w:p>
            <w:pPr>
              <w:pStyle w:val="TableParagraph"/>
              <w:spacing w:before="21"/>
              <w:ind w:left="111"/>
              <w:rPr>
                <w:sz w:val="16"/>
              </w:rPr>
            </w:pPr>
            <w:r>
              <w:rPr>
                <w:sz w:val="16"/>
              </w:rPr>
              <w:t>!</w:t>
            </w:r>
          </w:p>
        </w:tc>
        <w:tc>
          <w:tcPr>
            <w:tcW w:w="746" w:type="dxa"/>
            <w:tcBorders>
              <w:top w:val="single" w:sz="4" w:space="0" w:color="585858"/>
              <w:bottom w:val="single" w:sz="4" w:space="0" w:color="585858"/>
            </w:tcBorders>
          </w:tcPr>
          <w:p>
            <w:pPr>
              <w:pStyle w:val="TableParagraph"/>
              <w:spacing w:before="21"/>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before="21"/>
              <w:ind w:right="104"/>
              <w:jc w:val="right"/>
              <w:rPr>
                <w:sz w:val="16"/>
              </w:rPr>
            </w:pPr>
            <w:r>
              <w:rPr>
                <w:sz w:val="16"/>
              </w:rPr>
              <w:t>0.5</w:t>
            </w:r>
          </w:p>
        </w:tc>
        <w:tc>
          <w:tcPr>
            <w:tcW w:w="574" w:type="dxa"/>
            <w:tcBorders>
              <w:top w:val="single" w:sz="4" w:space="0" w:color="585858"/>
              <w:bottom w:val="single" w:sz="4" w:space="0" w:color="585858"/>
            </w:tcBorders>
          </w:tcPr>
          <w:p>
            <w:pPr>
              <w:pStyle w:val="TableParagraph"/>
              <w:spacing w:before="21"/>
              <w:ind w:left="113"/>
              <w:rPr>
                <w:sz w:val="16"/>
              </w:rPr>
            </w:pPr>
            <w:r>
              <w:rPr>
                <w:sz w:val="16"/>
              </w:rPr>
              <w:t>!</w:t>
            </w:r>
          </w:p>
        </w:tc>
        <w:tc>
          <w:tcPr>
            <w:tcW w:w="812" w:type="dxa"/>
            <w:tcBorders>
              <w:top w:val="single" w:sz="4" w:space="0" w:color="585858"/>
              <w:bottom w:val="single" w:sz="4" w:space="0" w:color="585858"/>
            </w:tcBorders>
          </w:tcPr>
          <w:p>
            <w:pPr>
              <w:pStyle w:val="TableParagraph"/>
              <w:spacing w:before="21"/>
              <w:ind w:right="132"/>
              <w:jc w:val="right"/>
              <w:rPr>
                <w:sz w:val="16"/>
              </w:rPr>
            </w:pPr>
            <w:r>
              <w:rPr>
                <w:sz w:val="16"/>
              </w:rPr>
              <w:t>13</w:t>
            </w:r>
          </w:p>
        </w:tc>
        <w:tc>
          <w:tcPr>
            <w:tcW w:w="1256" w:type="dxa"/>
            <w:gridSpan w:val="2"/>
            <w:tcBorders>
              <w:top w:val="single" w:sz="4" w:space="0" w:color="585858"/>
              <w:bottom w:val="single" w:sz="4" w:space="0" w:color="585858"/>
            </w:tcBorders>
          </w:tcPr>
          <w:p>
            <w:pPr>
              <w:pStyle w:val="TableParagraph"/>
              <w:spacing w:before="21"/>
              <w:ind w:left="319"/>
              <w:rPr>
                <w:sz w:val="16"/>
              </w:rPr>
            </w:pPr>
            <w:r>
              <w:rPr>
                <w:sz w:val="16"/>
              </w:rPr>
              <w:t>0.9</w:t>
            </w:r>
          </w:p>
        </w:tc>
        <w:tc>
          <w:tcPr>
            <w:tcW w:w="770" w:type="dxa"/>
            <w:tcBorders>
              <w:top w:val="single" w:sz="4" w:space="0" w:color="585858"/>
              <w:bottom w:val="single" w:sz="4" w:space="0" w:color="585858"/>
            </w:tcBorders>
          </w:tcPr>
          <w:p>
            <w:pPr>
              <w:pStyle w:val="TableParagraph"/>
              <w:spacing w:before="21"/>
              <w:ind w:right="131"/>
              <w:jc w:val="right"/>
              <w:rPr>
                <w:sz w:val="16"/>
              </w:rPr>
            </w:pPr>
            <w:r>
              <w:rPr>
                <w:sz w:val="16"/>
              </w:rPr>
              <w:t>&lt;10</w:t>
            </w:r>
          </w:p>
        </w:tc>
        <w:tc>
          <w:tcPr>
            <w:tcW w:w="646" w:type="dxa"/>
            <w:tcBorders>
              <w:top w:val="single" w:sz="4" w:space="0" w:color="585858"/>
              <w:bottom w:val="single" w:sz="4" w:space="0" w:color="585858"/>
            </w:tcBorders>
          </w:tcPr>
          <w:p>
            <w:pPr>
              <w:pStyle w:val="TableParagraph"/>
              <w:spacing w:before="21"/>
              <w:ind w:right="102"/>
              <w:jc w:val="right"/>
              <w:rPr>
                <w:sz w:val="16"/>
              </w:rPr>
            </w:pPr>
            <w:r>
              <w:rPr>
                <w:sz w:val="16"/>
              </w:rPr>
              <w:t>0.6</w:t>
            </w:r>
          </w:p>
        </w:tc>
        <w:tc>
          <w:tcPr>
            <w:tcW w:w="638" w:type="dxa"/>
            <w:tcBorders>
              <w:top w:val="single" w:sz="4" w:space="0" w:color="585858"/>
              <w:bottom w:val="single" w:sz="4" w:space="0" w:color="585858"/>
            </w:tcBorders>
          </w:tcPr>
          <w:p>
            <w:pPr>
              <w:pStyle w:val="TableParagraph"/>
              <w:spacing w:before="21"/>
              <w:ind w:left="119"/>
              <w:rPr>
                <w:sz w:val="16"/>
              </w:rPr>
            </w:pPr>
            <w:r>
              <w:rPr>
                <w:sz w:val="16"/>
              </w:rPr>
              <w:t>!</w:t>
            </w:r>
          </w:p>
        </w:tc>
        <w:tc>
          <w:tcPr>
            <w:tcW w:w="790" w:type="dxa"/>
            <w:tcBorders>
              <w:top w:val="single" w:sz="4" w:space="0" w:color="585858"/>
              <w:bottom w:val="single" w:sz="4" w:space="0" w:color="585858"/>
            </w:tcBorders>
          </w:tcPr>
          <w:p>
            <w:pPr>
              <w:pStyle w:val="TableParagraph"/>
              <w:spacing w:before="2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before="21"/>
              <w:ind w:right="100"/>
              <w:jc w:val="right"/>
              <w:rPr>
                <w:sz w:val="16"/>
              </w:rPr>
            </w:pPr>
            <w:r>
              <w:rPr>
                <w:sz w:val="16"/>
              </w:rPr>
              <w:t>6.2</w:t>
            </w:r>
          </w:p>
        </w:tc>
        <w:tc>
          <w:tcPr>
            <w:tcW w:w="667" w:type="dxa"/>
            <w:tcBorders>
              <w:top w:val="single" w:sz="4" w:space="0" w:color="585858"/>
              <w:bottom w:val="single" w:sz="4" w:space="0" w:color="585858"/>
            </w:tcBorders>
          </w:tcPr>
          <w:p>
            <w:pPr>
              <w:pStyle w:val="TableParagraph"/>
              <w:spacing w:before="21"/>
              <w:ind w:left="121"/>
              <w:rPr>
                <w:sz w:val="16"/>
              </w:rPr>
            </w:pPr>
            <w:r>
              <w:rPr>
                <w:sz w:val="16"/>
              </w:rPr>
              <w:t>!</w:t>
            </w:r>
          </w:p>
        </w:tc>
      </w:tr>
      <w:tr>
        <w:trPr>
          <w:trHeight w:val="245" w:hRule="atLeast"/>
        </w:trPr>
        <w:tc>
          <w:tcPr>
            <w:tcW w:w="2922" w:type="dxa"/>
            <w:tcBorders>
              <w:top w:val="single" w:sz="4" w:space="0" w:color="585858"/>
              <w:bottom w:val="single" w:sz="4" w:space="0" w:color="585858"/>
            </w:tcBorders>
          </w:tcPr>
          <w:p>
            <w:pPr>
              <w:pStyle w:val="TableParagraph"/>
              <w:spacing w:line="181" w:lineRule="exact" w:before="45"/>
              <w:ind w:left="114"/>
              <w:rPr>
                <w:sz w:val="16"/>
              </w:rPr>
            </w:pPr>
            <w:r>
              <w:rPr>
                <w:sz w:val="16"/>
              </w:rPr>
              <w:t>Gender Identity</w:t>
            </w:r>
          </w:p>
        </w:tc>
        <w:tc>
          <w:tcPr>
            <w:tcW w:w="715" w:type="dxa"/>
            <w:tcBorders>
              <w:top w:val="single" w:sz="4" w:space="0" w:color="585858"/>
              <w:bottom w:val="single" w:sz="4" w:space="0" w:color="585858"/>
            </w:tcBorders>
          </w:tcPr>
          <w:p>
            <w:pPr>
              <w:pStyle w:val="TableParagraph"/>
              <w:spacing w:before="0"/>
              <w:rPr>
                <w:rFonts w:ascii="Times New Roman"/>
                <w:sz w:val="16"/>
              </w:rPr>
            </w:pPr>
          </w:p>
        </w:tc>
        <w:tc>
          <w:tcPr>
            <w:tcW w:w="1282" w:type="dxa"/>
            <w:gridSpan w:val="2"/>
            <w:tcBorders>
              <w:top w:val="single" w:sz="4" w:space="0" w:color="585858"/>
              <w:bottom w:val="single" w:sz="4" w:space="0" w:color="585858"/>
            </w:tcBorders>
          </w:tcPr>
          <w:p>
            <w:pPr>
              <w:pStyle w:val="TableParagraph"/>
              <w:spacing w:before="0"/>
              <w:rPr>
                <w:rFonts w:ascii="Times New Roman"/>
                <w:sz w:val="16"/>
              </w:rPr>
            </w:pPr>
          </w:p>
        </w:tc>
        <w:tc>
          <w:tcPr>
            <w:tcW w:w="746" w:type="dxa"/>
            <w:tcBorders>
              <w:top w:val="single" w:sz="4" w:space="0" w:color="585858"/>
              <w:bottom w:val="single" w:sz="4" w:space="0" w:color="585858"/>
            </w:tcBorders>
          </w:tcPr>
          <w:p>
            <w:pPr>
              <w:pStyle w:val="TableParagraph"/>
              <w:spacing w:before="0"/>
              <w:rPr>
                <w:rFonts w:ascii="Times New Roman"/>
                <w:sz w:val="16"/>
              </w:rPr>
            </w:pPr>
          </w:p>
        </w:tc>
        <w:tc>
          <w:tcPr>
            <w:tcW w:w="1218" w:type="dxa"/>
            <w:gridSpan w:val="2"/>
            <w:tcBorders>
              <w:top w:val="single" w:sz="4" w:space="0" w:color="585858"/>
              <w:bottom w:val="single" w:sz="4" w:space="0" w:color="585858"/>
            </w:tcBorders>
          </w:tcPr>
          <w:p>
            <w:pPr>
              <w:pStyle w:val="TableParagraph"/>
              <w:spacing w:before="0"/>
              <w:rPr>
                <w:rFonts w:ascii="Times New Roman"/>
                <w:sz w:val="16"/>
              </w:rPr>
            </w:pPr>
          </w:p>
        </w:tc>
        <w:tc>
          <w:tcPr>
            <w:tcW w:w="812" w:type="dxa"/>
            <w:tcBorders>
              <w:top w:val="single" w:sz="4" w:space="0" w:color="585858"/>
              <w:bottom w:val="single" w:sz="4" w:space="0" w:color="585858"/>
            </w:tcBorders>
          </w:tcPr>
          <w:p>
            <w:pPr>
              <w:pStyle w:val="TableParagraph"/>
              <w:spacing w:before="0"/>
              <w:rPr>
                <w:rFonts w:ascii="Times New Roman"/>
                <w:sz w:val="16"/>
              </w:rPr>
            </w:pPr>
          </w:p>
        </w:tc>
        <w:tc>
          <w:tcPr>
            <w:tcW w:w="1256" w:type="dxa"/>
            <w:gridSpan w:val="2"/>
            <w:tcBorders>
              <w:top w:val="single" w:sz="4" w:space="0" w:color="585858"/>
              <w:bottom w:val="single" w:sz="4" w:space="0" w:color="585858"/>
            </w:tcBorders>
          </w:tcPr>
          <w:p>
            <w:pPr>
              <w:pStyle w:val="TableParagraph"/>
              <w:spacing w:before="0"/>
              <w:rPr>
                <w:rFonts w:ascii="Times New Roman"/>
                <w:sz w:val="16"/>
              </w:rPr>
            </w:pPr>
          </w:p>
        </w:tc>
        <w:tc>
          <w:tcPr>
            <w:tcW w:w="770" w:type="dxa"/>
            <w:tcBorders>
              <w:top w:val="single" w:sz="4" w:space="0" w:color="585858"/>
              <w:bottom w:val="single" w:sz="4" w:space="0" w:color="585858"/>
            </w:tcBorders>
          </w:tcPr>
          <w:p>
            <w:pPr>
              <w:pStyle w:val="TableParagraph"/>
              <w:spacing w:before="0"/>
              <w:rPr>
                <w:rFonts w:ascii="Times New Roman"/>
                <w:sz w:val="16"/>
              </w:rPr>
            </w:pPr>
          </w:p>
        </w:tc>
        <w:tc>
          <w:tcPr>
            <w:tcW w:w="1284" w:type="dxa"/>
            <w:gridSpan w:val="2"/>
            <w:tcBorders>
              <w:top w:val="single" w:sz="4" w:space="0" w:color="585858"/>
              <w:bottom w:val="single" w:sz="4" w:space="0" w:color="585858"/>
            </w:tcBorders>
          </w:tcPr>
          <w:p>
            <w:pPr>
              <w:pStyle w:val="TableParagraph"/>
              <w:spacing w:before="0"/>
              <w:rPr>
                <w:rFonts w:ascii="Times New Roman"/>
                <w:sz w:val="16"/>
              </w:rPr>
            </w:pPr>
          </w:p>
        </w:tc>
        <w:tc>
          <w:tcPr>
            <w:tcW w:w="790" w:type="dxa"/>
            <w:tcBorders>
              <w:top w:val="single" w:sz="4" w:space="0" w:color="585858"/>
              <w:bottom w:val="single" w:sz="4" w:space="0" w:color="585858"/>
            </w:tcBorders>
          </w:tcPr>
          <w:p>
            <w:pPr>
              <w:pStyle w:val="TableParagraph"/>
              <w:spacing w:before="0"/>
              <w:rPr>
                <w:rFonts w:ascii="Times New Roman"/>
                <w:sz w:val="16"/>
              </w:rPr>
            </w:pPr>
          </w:p>
        </w:tc>
        <w:tc>
          <w:tcPr>
            <w:tcW w:w="1269"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42"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Cisgender woman</w:t>
            </w:r>
          </w:p>
        </w:tc>
        <w:tc>
          <w:tcPr>
            <w:tcW w:w="715" w:type="dxa"/>
            <w:tcBorders>
              <w:top w:val="single" w:sz="4" w:space="0" w:color="585858"/>
              <w:bottom w:val="single" w:sz="4" w:space="0" w:color="585858"/>
            </w:tcBorders>
          </w:tcPr>
          <w:p>
            <w:pPr>
              <w:pStyle w:val="TableParagraph"/>
              <w:spacing w:line="181" w:lineRule="exact" w:before="41"/>
              <w:ind w:right="142"/>
              <w:jc w:val="right"/>
              <w:rPr>
                <w:sz w:val="16"/>
              </w:rPr>
            </w:pPr>
            <w:r>
              <w:rPr>
                <w:sz w:val="16"/>
              </w:rPr>
              <w:t>802</w:t>
            </w:r>
          </w:p>
        </w:tc>
        <w:tc>
          <w:tcPr>
            <w:tcW w:w="1282" w:type="dxa"/>
            <w:gridSpan w:val="2"/>
            <w:tcBorders>
              <w:top w:val="single" w:sz="4" w:space="0" w:color="585858"/>
              <w:bottom w:val="single" w:sz="4" w:space="0" w:color="585858"/>
            </w:tcBorders>
          </w:tcPr>
          <w:p>
            <w:pPr>
              <w:pStyle w:val="TableParagraph"/>
              <w:tabs>
                <w:tab w:pos="756" w:val="left" w:leader="none"/>
              </w:tabs>
              <w:spacing w:line="181" w:lineRule="exact" w:before="41"/>
              <w:ind w:left="141"/>
              <w:rPr>
                <w:sz w:val="16"/>
              </w:rPr>
            </w:pPr>
            <w:r>
              <w:rPr>
                <w:sz w:val="16"/>
              </w:rPr>
              <w:t>100.0</w:t>
              <w:tab/>
              <w:t>%</w:t>
            </w:r>
          </w:p>
        </w:tc>
        <w:tc>
          <w:tcPr>
            <w:tcW w:w="746" w:type="dxa"/>
            <w:tcBorders>
              <w:top w:val="single" w:sz="4" w:space="0" w:color="585858"/>
              <w:bottom w:val="single" w:sz="4" w:space="0" w:color="585858"/>
            </w:tcBorders>
          </w:tcPr>
          <w:p>
            <w:pPr>
              <w:pStyle w:val="TableParagraph"/>
              <w:spacing w:line="181" w:lineRule="exact" w:before="41"/>
              <w:ind w:right="136"/>
              <w:jc w:val="right"/>
              <w:rPr>
                <w:sz w:val="16"/>
              </w:rPr>
            </w:pPr>
            <w:r>
              <w:rPr>
                <w:sz w:val="16"/>
              </w:rPr>
              <w:t>n/a</w:t>
            </w:r>
          </w:p>
        </w:tc>
        <w:tc>
          <w:tcPr>
            <w:tcW w:w="1218" w:type="dxa"/>
            <w:gridSpan w:val="2"/>
            <w:tcBorders>
              <w:top w:val="single" w:sz="4" w:space="0" w:color="585858"/>
              <w:bottom w:val="single" w:sz="4" w:space="0" w:color="585858"/>
            </w:tcBorders>
          </w:tcPr>
          <w:p>
            <w:pPr>
              <w:pStyle w:val="TableParagraph"/>
              <w:tabs>
                <w:tab w:pos="756" w:val="left" w:leader="none"/>
              </w:tabs>
              <w:spacing w:line="181" w:lineRule="exact" w:before="41"/>
              <w:ind w:left="317"/>
              <w:rPr>
                <w:sz w:val="16"/>
              </w:rPr>
            </w:pPr>
            <w:r>
              <w:rPr>
                <w:sz w:val="16"/>
              </w:rPr>
              <w:t>n/a</w:t>
              <w:tab/>
              <w:t>%</w:t>
            </w:r>
          </w:p>
        </w:tc>
        <w:tc>
          <w:tcPr>
            <w:tcW w:w="812" w:type="dxa"/>
            <w:tcBorders>
              <w:top w:val="single" w:sz="4" w:space="0" w:color="585858"/>
              <w:bottom w:val="single" w:sz="4" w:space="0" w:color="585858"/>
            </w:tcBorders>
          </w:tcPr>
          <w:p>
            <w:pPr>
              <w:pStyle w:val="TableParagraph"/>
              <w:spacing w:line="181" w:lineRule="exact" w:before="41"/>
              <w:ind w:right="135"/>
              <w:jc w:val="right"/>
              <w:rPr>
                <w:sz w:val="16"/>
              </w:rPr>
            </w:pPr>
            <w:r>
              <w:rPr>
                <w:sz w:val="16"/>
              </w:rPr>
              <w:t>1,473</w:t>
            </w:r>
          </w:p>
        </w:tc>
        <w:tc>
          <w:tcPr>
            <w:tcW w:w="1256" w:type="dxa"/>
            <w:gridSpan w:val="2"/>
            <w:tcBorders>
              <w:top w:val="single" w:sz="4" w:space="0" w:color="585858"/>
              <w:bottom w:val="single" w:sz="4" w:space="0" w:color="585858"/>
            </w:tcBorders>
          </w:tcPr>
          <w:p>
            <w:pPr>
              <w:pStyle w:val="TableParagraph"/>
              <w:tabs>
                <w:tab w:pos="758" w:val="left" w:leader="none"/>
              </w:tabs>
              <w:spacing w:line="181" w:lineRule="exact" w:before="41"/>
              <w:ind w:left="143"/>
              <w:rPr>
                <w:sz w:val="16"/>
              </w:rPr>
            </w:pPr>
            <w:r>
              <w:rPr>
                <w:sz w:val="16"/>
              </w:rPr>
              <w:t>100.0</w:t>
              <w:tab/>
              <w:t>%</w:t>
            </w:r>
          </w:p>
        </w:tc>
        <w:tc>
          <w:tcPr>
            <w:tcW w:w="770"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n/a</w:t>
            </w:r>
          </w:p>
        </w:tc>
        <w:tc>
          <w:tcPr>
            <w:tcW w:w="1284" w:type="dxa"/>
            <w:gridSpan w:val="2"/>
            <w:tcBorders>
              <w:top w:val="single" w:sz="4" w:space="0" w:color="585858"/>
              <w:bottom w:val="single" w:sz="4" w:space="0" w:color="585858"/>
            </w:tcBorders>
          </w:tcPr>
          <w:p>
            <w:pPr>
              <w:pStyle w:val="TableParagraph"/>
              <w:tabs>
                <w:tab w:pos="764" w:val="left" w:leader="none"/>
              </w:tabs>
              <w:spacing w:line="181" w:lineRule="exact" w:before="41"/>
              <w:ind w:left="321"/>
              <w:rPr>
                <w:sz w:val="16"/>
              </w:rPr>
            </w:pPr>
            <w:r>
              <w:rPr>
                <w:sz w:val="16"/>
              </w:rPr>
              <w:t>n/a</w:t>
              <w:tab/>
              <w:t>%</w:t>
            </w:r>
          </w:p>
        </w:tc>
        <w:tc>
          <w:tcPr>
            <w:tcW w:w="790" w:type="dxa"/>
            <w:tcBorders>
              <w:top w:val="single" w:sz="4" w:space="0" w:color="585858"/>
              <w:bottom w:val="single" w:sz="4" w:space="0" w:color="585858"/>
            </w:tcBorders>
          </w:tcPr>
          <w:p>
            <w:pPr>
              <w:pStyle w:val="TableParagraph"/>
              <w:spacing w:line="181" w:lineRule="exact" w:before="41"/>
              <w:ind w:right="174"/>
              <w:jc w:val="right"/>
              <w:rPr>
                <w:sz w:val="16"/>
              </w:rPr>
            </w:pPr>
            <w:r>
              <w:rPr>
                <w:sz w:val="16"/>
              </w:rPr>
              <w:t>n/a</w:t>
            </w:r>
          </w:p>
        </w:tc>
        <w:tc>
          <w:tcPr>
            <w:tcW w:w="1269" w:type="dxa"/>
            <w:gridSpan w:val="2"/>
            <w:tcBorders>
              <w:top w:val="single" w:sz="4" w:space="0" w:color="585858"/>
              <w:bottom w:val="single" w:sz="4" w:space="0" w:color="585858"/>
            </w:tcBorders>
          </w:tcPr>
          <w:p>
            <w:pPr>
              <w:pStyle w:val="TableParagraph"/>
              <w:tabs>
                <w:tab w:pos="722" w:val="left" w:leader="none"/>
              </w:tabs>
              <w:spacing w:line="181" w:lineRule="exact" w:before="41"/>
              <w:ind w:left="279"/>
              <w:rPr>
                <w:sz w:val="16"/>
              </w:rPr>
            </w:pPr>
            <w:r>
              <w:rPr>
                <w:sz w:val="16"/>
              </w:rPr>
              <w:t>n/a</w:t>
              <w:tab/>
              <w:t>%</w:t>
            </w:r>
          </w:p>
        </w:tc>
      </w:tr>
      <w:tr>
        <w:trPr>
          <w:trHeight w:val="246" w:hRule="atLeast"/>
        </w:trPr>
        <w:tc>
          <w:tcPr>
            <w:tcW w:w="2922" w:type="dxa"/>
            <w:tcBorders>
              <w:top w:val="single" w:sz="4" w:space="0" w:color="585858"/>
              <w:bottom w:val="single" w:sz="4" w:space="0" w:color="585858"/>
            </w:tcBorders>
          </w:tcPr>
          <w:p>
            <w:pPr>
              <w:pStyle w:val="TableParagraph"/>
              <w:spacing w:line="181" w:lineRule="exact" w:before="45"/>
              <w:ind w:left="370"/>
              <w:rPr>
                <w:sz w:val="16"/>
              </w:rPr>
            </w:pPr>
            <w:r>
              <w:rPr>
                <w:sz w:val="16"/>
              </w:rPr>
              <w:t>Cisgender man</w:t>
            </w:r>
          </w:p>
        </w:tc>
        <w:tc>
          <w:tcPr>
            <w:tcW w:w="715" w:type="dxa"/>
            <w:tcBorders>
              <w:top w:val="single" w:sz="4" w:space="0" w:color="585858"/>
              <w:bottom w:val="single" w:sz="4" w:space="0" w:color="585858"/>
            </w:tcBorders>
          </w:tcPr>
          <w:p>
            <w:pPr>
              <w:pStyle w:val="TableParagraph"/>
              <w:spacing w:line="181" w:lineRule="exact" w:before="45"/>
              <w:ind w:right="140"/>
              <w:jc w:val="right"/>
              <w:rPr>
                <w:sz w:val="16"/>
              </w:rPr>
            </w:pPr>
            <w:r>
              <w:rPr>
                <w:sz w:val="16"/>
              </w:rPr>
              <w:t>n/a</w:t>
            </w:r>
          </w:p>
        </w:tc>
        <w:tc>
          <w:tcPr>
            <w:tcW w:w="1282" w:type="dxa"/>
            <w:gridSpan w:val="2"/>
            <w:tcBorders>
              <w:top w:val="single" w:sz="4" w:space="0" w:color="585858"/>
              <w:bottom w:val="single" w:sz="4" w:space="0" w:color="585858"/>
            </w:tcBorders>
          </w:tcPr>
          <w:p>
            <w:pPr>
              <w:pStyle w:val="TableParagraph"/>
              <w:spacing w:line="181" w:lineRule="exact" w:before="45"/>
              <w:ind w:left="317"/>
              <w:rPr>
                <w:sz w:val="16"/>
              </w:rPr>
            </w:pPr>
            <w:r>
              <w:rPr>
                <w:sz w:val="16"/>
              </w:rPr>
              <w:t>n/a</w:t>
            </w:r>
          </w:p>
        </w:tc>
        <w:tc>
          <w:tcPr>
            <w:tcW w:w="746" w:type="dxa"/>
            <w:tcBorders>
              <w:top w:val="single" w:sz="4" w:space="0" w:color="585858"/>
              <w:bottom w:val="single" w:sz="4" w:space="0" w:color="585858"/>
            </w:tcBorders>
          </w:tcPr>
          <w:p>
            <w:pPr>
              <w:pStyle w:val="TableParagraph"/>
              <w:spacing w:line="181" w:lineRule="exact" w:before="45"/>
              <w:ind w:right="138"/>
              <w:jc w:val="right"/>
              <w:rPr>
                <w:sz w:val="16"/>
              </w:rPr>
            </w:pPr>
            <w:r>
              <w:rPr>
                <w:sz w:val="16"/>
              </w:rPr>
              <w:t>636</w:t>
            </w:r>
          </w:p>
        </w:tc>
        <w:tc>
          <w:tcPr>
            <w:tcW w:w="1218" w:type="dxa"/>
            <w:gridSpan w:val="2"/>
            <w:tcBorders>
              <w:top w:val="single" w:sz="4" w:space="0" w:color="585858"/>
              <w:bottom w:val="single" w:sz="4" w:space="0" w:color="585858"/>
            </w:tcBorders>
          </w:tcPr>
          <w:p>
            <w:pPr>
              <w:pStyle w:val="TableParagraph"/>
              <w:spacing w:line="181" w:lineRule="exact" w:before="45"/>
              <w:ind w:left="141"/>
              <w:rPr>
                <w:sz w:val="16"/>
              </w:rPr>
            </w:pPr>
            <w:r>
              <w:rPr>
                <w:sz w:val="16"/>
              </w:rPr>
              <w:t>100.0</w:t>
            </w:r>
          </w:p>
        </w:tc>
        <w:tc>
          <w:tcPr>
            <w:tcW w:w="812" w:type="dxa"/>
            <w:tcBorders>
              <w:top w:val="single" w:sz="4" w:space="0" w:color="585858"/>
              <w:bottom w:val="single" w:sz="4" w:space="0" w:color="585858"/>
            </w:tcBorders>
          </w:tcPr>
          <w:p>
            <w:pPr>
              <w:pStyle w:val="TableParagraph"/>
              <w:spacing w:line="181" w:lineRule="exact" w:before="45"/>
              <w:ind w:right="134"/>
              <w:jc w:val="right"/>
              <w:rPr>
                <w:sz w:val="16"/>
              </w:rPr>
            </w:pPr>
            <w:r>
              <w:rPr>
                <w:sz w:val="16"/>
              </w:rPr>
              <w:t>n/a</w:t>
            </w:r>
          </w:p>
        </w:tc>
        <w:tc>
          <w:tcPr>
            <w:tcW w:w="1256" w:type="dxa"/>
            <w:gridSpan w:val="2"/>
            <w:tcBorders>
              <w:top w:val="single" w:sz="4" w:space="0" w:color="585858"/>
              <w:bottom w:val="single" w:sz="4" w:space="0" w:color="585858"/>
            </w:tcBorders>
          </w:tcPr>
          <w:p>
            <w:pPr>
              <w:pStyle w:val="TableParagraph"/>
              <w:spacing w:line="181" w:lineRule="exact" w:before="45"/>
              <w:ind w:left="319"/>
              <w:rPr>
                <w:sz w:val="16"/>
              </w:rPr>
            </w:pPr>
            <w:r>
              <w:rPr>
                <w:sz w:val="16"/>
              </w:rPr>
              <w:t>n/a</w:t>
            </w:r>
          </w:p>
        </w:tc>
        <w:tc>
          <w:tcPr>
            <w:tcW w:w="770" w:type="dxa"/>
            <w:tcBorders>
              <w:top w:val="single" w:sz="4" w:space="0" w:color="585858"/>
              <w:bottom w:val="single" w:sz="4" w:space="0" w:color="585858"/>
            </w:tcBorders>
          </w:tcPr>
          <w:p>
            <w:pPr>
              <w:pStyle w:val="TableParagraph"/>
              <w:spacing w:line="181" w:lineRule="exact" w:before="45"/>
              <w:ind w:right="134"/>
              <w:jc w:val="right"/>
              <w:rPr>
                <w:sz w:val="16"/>
              </w:rPr>
            </w:pPr>
            <w:r>
              <w:rPr>
                <w:sz w:val="16"/>
              </w:rPr>
              <w:t>687</w:t>
            </w:r>
          </w:p>
        </w:tc>
        <w:tc>
          <w:tcPr>
            <w:tcW w:w="1284" w:type="dxa"/>
            <w:gridSpan w:val="2"/>
            <w:tcBorders>
              <w:top w:val="single" w:sz="4" w:space="0" w:color="585858"/>
              <w:bottom w:val="single" w:sz="4" w:space="0" w:color="585858"/>
            </w:tcBorders>
          </w:tcPr>
          <w:p>
            <w:pPr>
              <w:pStyle w:val="TableParagraph"/>
              <w:spacing w:line="181" w:lineRule="exact" w:before="45"/>
              <w:ind w:left="145"/>
              <w:rPr>
                <w:sz w:val="16"/>
              </w:rPr>
            </w:pPr>
            <w:r>
              <w:rPr>
                <w:sz w:val="16"/>
              </w:rPr>
              <w:t>100.0</w:t>
            </w:r>
          </w:p>
        </w:tc>
        <w:tc>
          <w:tcPr>
            <w:tcW w:w="790" w:type="dxa"/>
            <w:tcBorders>
              <w:top w:val="single" w:sz="4" w:space="0" w:color="585858"/>
              <w:bottom w:val="single" w:sz="4" w:space="0" w:color="585858"/>
            </w:tcBorders>
          </w:tcPr>
          <w:p>
            <w:pPr>
              <w:pStyle w:val="TableParagraph"/>
              <w:spacing w:line="181" w:lineRule="exact" w:before="45"/>
              <w:ind w:right="174"/>
              <w:jc w:val="right"/>
              <w:rPr>
                <w:sz w:val="16"/>
              </w:rPr>
            </w:pPr>
            <w:r>
              <w:rPr>
                <w:sz w:val="16"/>
              </w:rPr>
              <w:t>n/a</w:t>
            </w:r>
          </w:p>
        </w:tc>
        <w:tc>
          <w:tcPr>
            <w:tcW w:w="1269" w:type="dxa"/>
            <w:gridSpan w:val="2"/>
            <w:tcBorders>
              <w:top w:val="single" w:sz="4" w:space="0" w:color="585858"/>
              <w:bottom w:val="single" w:sz="4" w:space="0" w:color="585858"/>
            </w:tcBorders>
          </w:tcPr>
          <w:p>
            <w:pPr>
              <w:pStyle w:val="TableParagraph"/>
              <w:spacing w:line="181" w:lineRule="exact" w:before="45"/>
              <w:ind w:left="279"/>
              <w:rPr>
                <w:sz w:val="16"/>
              </w:rPr>
            </w:pPr>
            <w:r>
              <w:rPr>
                <w:sz w:val="16"/>
              </w:rPr>
              <w:t>n/a</w:t>
            </w:r>
          </w:p>
        </w:tc>
      </w:tr>
      <w:tr>
        <w:trPr>
          <w:trHeight w:val="241"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Nonbinary</w:t>
            </w:r>
          </w:p>
        </w:tc>
        <w:tc>
          <w:tcPr>
            <w:tcW w:w="715" w:type="dxa"/>
            <w:tcBorders>
              <w:top w:val="single" w:sz="4" w:space="0" w:color="585858"/>
              <w:bottom w:val="single" w:sz="4" w:space="0" w:color="585858"/>
            </w:tcBorders>
          </w:tcPr>
          <w:p>
            <w:pPr>
              <w:pStyle w:val="TableParagraph"/>
              <w:spacing w:line="181" w:lineRule="exact" w:before="41"/>
              <w:ind w:right="140"/>
              <w:jc w:val="right"/>
              <w:rPr>
                <w:sz w:val="16"/>
              </w:rPr>
            </w:pPr>
            <w:r>
              <w:rPr>
                <w:sz w:val="16"/>
              </w:rPr>
              <w:t>n/a</w:t>
            </w:r>
          </w:p>
        </w:tc>
        <w:tc>
          <w:tcPr>
            <w:tcW w:w="1282"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n/a</w:t>
            </w:r>
          </w:p>
        </w:tc>
        <w:tc>
          <w:tcPr>
            <w:tcW w:w="746" w:type="dxa"/>
            <w:tcBorders>
              <w:top w:val="single" w:sz="4" w:space="0" w:color="585858"/>
              <w:bottom w:val="single" w:sz="4" w:space="0" w:color="585858"/>
            </w:tcBorders>
          </w:tcPr>
          <w:p>
            <w:pPr>
              <w:pStyle w:val="TableParagraph"/>
              <w:spacing w:line="181" w:lineRule="exact" w:before="41"/>
              <w:ind w:right="136"/>
              <w:jc w:val="right"/>
              <w:rPr>
                <w:sz w:val="16"/>
              </w:rPr>
            </w:pPr>
            <w:r>
              <w:rPr>
                <w:sz w:val="16"/>
              </w:rPr>
              <w:t>n/a</w:t>
            </w:r>
          </w:p>
        </w:tc>
        <w:tc>
          <w:tcPr>
            <w:tcW w:w="1218"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n/a</w:t>
            </w:r>
          </w:p>
        </w:tc>
        <w:tc>
          <w:tcPr>
            <w:tcW w:w="812" w:type="dxa"/>
            <w:tcBorders>
              <w:top w:val="single" w:sz="4" w:space="0" w:color="585858"/>
              <w:bottom w:val="single" w:sz="4" w:space="0" w:color="585858"/>
            </w:tcBorders>
          </w:tcPr>
          <w:p>
            <w:pPr>
              <w:pStyle w:val="TableParagraph"/>
              <w:spacing w:line="181" w:lineRule="exact" w:before="41"/>
              <w:ind w:right="134"/>
              <w:jc w:val="right"/>
              <w:rPr>
                <w:sz w:val="16"/>
              </w:rPr>
            </w:pPr>
            <w:r>
              <w:rPr>
                <w:sz w:val="16"/>
              </w:rPr>
              <w:t>n/a</w:t>
            </w:r>
          </w:p>
        </w:tc>
        <w:tc>
          <w:tcPr>
            <w:tcW w:w="1256" w:type="dxa"/>
            <w:gridSpan w:val="2"/>
            <w:tcBorders>
              <w:top w:val="single" w:sz="4" w:space="0" w:color="585858"/>
              <w:bottom w:val="single" w:sz="4" w:space="0" w:color="585858"/>
            </w:tcBorders>
          </w:tcPr>
          <w:p>
            <w:pPr>
              <w:pStyle w:val="TableParagraph"/>
              <w:spacing w:line="181" w:lineRule="exact" w:before="41"/>
              <w:ind w:left="319"/>
              <w:rPr>
                <w:sz w:val="16"/>
              </w:rPr>
            </w:pPr>
            <w:r>
              <w:rPr>
                <w:sz w:val="16"/>
              </w:rPr>
              <w:t>n/a</w:t>
            </w:r>
          </w:p>
        </w:tc>
        <w:tc>
          <w:tcPr>
            <w:tcW w:w="770"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n/a</w:t>
            </w:r>
          </w:p>
        </w:tc>
        <w:tc>
          <w:tcPr>
            <w:tcW w:w="1284" w:type="dxa"/>
            <w:gridSpan w:val="2"/>
            <w:tcBorders>
              <w:top w:val="single" w:sz="4" w:space="0" w:color="585858"/>
              <w:bottom w:val="single" w:sz="4" w:space="0" w:color="585858"/>
            </w:tcBorders>
          </w:tcPr>
          <w:p>
            <w:pPr>
              <w:pStyle w:val="TableParagraph"/>
              <w:spacing w:line="181" w:lineRule="exact" w:before="41"/>
              <w:ind w:left="321"/>
              <w:rPr>
                <w:sz w:val="16"/>
              </w:rPr>
            </w:pPr>
            <w:r>
              <w:rPr>
                <w:sz w:val="16"/>
              </w:rPr>
              <w:t>n/a</w:t>
            </w:r>
          </w:p>
        </w:tc>
        <w:tc>
          <w:tcPr>
            <w:tcW w:w="790" w:type="dxa"/>
            <w:tcBorders>
              <w:top w:val="single" w:sz="4" w:space="0" w:color="585858"/>
              <w:bottom w:val="single" w:sz="4" w:space="0" w:color="585858"/>
            </w:tcBorders>
          </w:tcPr>
          <w:p>
            <w:pPr>
              <w:pStyle w:val="TableParagraph"/>
              <w:spacing w:line="181" w:lineRule="exact" w:before="41"/>
              <w:ind w:right="172"/>
              <w:jc w:val="right"/>
              <w:rPr>
                <w:sz w:val="16"/>
              </w:rPr>
            </w:pPr>
            <w:r>
              <w:rPr>
                <w:sz w:val="16"/>
              </w:rPr>
              <w:t>61</w:t>
            </w:r>
          </w:p>
        </w:tc>
        <w:tc>
          <w:tcPr>
            <w:tcW w:w="1269" w:type="dxa"/>
            <w:gridSpan w:val="2"/>
            <w:tcBorders>
              <w:top w:val="single" w:sz="4" w:space="0" w:color="585858"/>
              <w:bottom w:val="single" w:sz="4" w:space="0" w:color="585858"/>
            </w:tcBorders>
          </w:tcPr>
          <w:p>
            <w:pPr>
              <w:pStyle w:val="TableParagraph"/>
              <w:spacing w:line="181" w:lineRule="exact" w:before="41"/>
              <w:ind w:left="191"/>
              <w:rPr>
                <w:sz w:val="16"/>
              </w:rPr>
            </w:pPr>
            <w:r>
              <w:rPr>
                <w:sz w:val="16"/>
              </w:rPr>
              <w:t>62.9</w:t>
            </w:r>
          </w:p>
        </w:tc>
      </w:tr>
      <w:tr>
        <w:trPr>
          <w:trHeight w:val="245" w:hRule="atLeast"/>
        </w:trPr>
        <w:tc>
          <w:tcPr>
            <w:tcW w:w="2922" w:type="dxa"/>
            <w:tcBorders>
              <w:top w:val="single" w:sz="4" w:space="0" w:color="585858"/>
              <w:bottom w:val="single" w:sz="4" w:space="0" w:color="585858"/>
            </w:tcBorders>
          </w:tcPr>
          <w:p>
            <w:pPr>
              <w:pStyle w:val="TableParagraph"/>
              <w:spacing w:line="181" w:lineRule="exact" w:before="45"/>
              <w:ind w:left="370"/>
              <w:rPr>
                <w:sz w:val="16"/>
              </w:rPr>
            </w:pPr>
            <w:r>
              <w:rPr>
                <w:sz w:val="16"/>
              </w:rPr>
              <w:t>Transgender woman</w:t>
            </w:r>
          </w:p>
        </w:tc>
        <w:tc>
          <w:tcPr>
            <w:tcW w:w="715" w:type="dxa"/>
            <w:tcBorders>
              <w:top w:val="single" w:sz="4" w:space="0" w:color="585858"/>
              <w:bottom w:val="single" w:sz="4" w:space="0" w:color="585858"/>
            </w:tcBorders>
          </w:tcPr>
          <w:p>
            <w:pPr>
              <w:pStyle w:val="TableParagraph"/>
              <w:spacing w:line="181" w:lineRule="exact" w:before="45"/>
              <w:ind w:right="140"/>
              <w:jc w:val="right"/>
              <w:rPr>
                <w:sz w:val="16"/>
              </w:rPr>
            </w:pPr>
            <w:r>
              <w:rPr>
                <w:sz w:val="16"/>
              </w:rPr>
              <w:t>n/a</w:t>
            </w:r>
          </w:p>
        </w:tc>
        <w:tc>
          <w:tcPr>
            <w:tcW w:w="1282" w:type="dxa"/>
            <w:gridSpan w:val="2"/>
            <w:tcBorders>
              <w:top w:val="single" w:sz="4" w:space="0" w:color="585858"/>
              <w:bottom w:val="single" w:sz="4" w:space="0" w:color="585858"/>
            </w:tcBorders>
          </w:tcPr>
          <w:p>
            <w:pPr>
              <w:pStyle w:val="TableParagraph"/>
              <w:spacing w:line="181" w:lineRule="exact" w:before="45"/>
              <w:ind w:left="317"/>
              <w:rPr>
                <w:sz w:val="16"/>
              </w:rPr>
            </w:pPr>
            <w:r>
              <w:rPr>
                <w:sz w:val="16"/>
              </w:rPr>
              <w:t>n/a</w:t>
            </w:r>
          </w:p>
        </w:tc>
        <w:tc>
          <w:tcPr>
            <w:tcW w:w="746" w:type="dxa"/>
            <w:tcBorders>
              <w:top w:val="single" w:sz="4" w:space="0" w:color="585858"/>
              <w:bottom w:val="single" w:sz="4" w:space="0" w:color="585858"/>
            </w:tcBorders>
          </w:tcPr>
          <w:p>
            <w:pPr>
              <w:pStyle w:val="TableParagraph"/>
              <w:spacing w:line="181" w:lineRule="exact" w:before="45"/>
              <w:ind w:right="136"/>
              <w:jc w:val="right"/>
              <w:rPr>
                <w:sz w:val="16"/>
              </w:rPr>
            </w:pPr>
            <w:r>
              <w:rPr>
                <w:sz w:val="16"/>
              </w:rPr>
              <w:t>n/a</w:t>
            </w:r>
          </w:p>
        </w:tc>
        <w:tc>
          <w:tcPr>
            <w:tcW w:w="1218" w:type="dxa"/>
            <w:gridSpan w:val="2"/>
            <w:tcBorders>
              <w:top w:val="single" w:sz="4" w:space="0" w:color="585858"/>
              <w:bottom w:val="single" w:sz="4" w:space="0" w:color="585858"/>
            </w:tcBorders>
          </w:tcPr>
          <w:p>
            <w:pPr>
              <w:pStyle w:val="TableParagraph"/>
              <w:spacing w:line="181" w:lineRule="exact" w:before="45"/>
              <w:ind w:left="317"/>
              <w:rPr>
                <w:sz w:val="16"/>
              </w:rPr>
            </w:pPr>
            <w:r>
              <w:rPr>
                <w:sz w:val="16"/>
              </w:rPr>
              <w:t>n/a</w:t>
            </w:r>
          </w:p>
        </w:tc>
        <w:tc>
          <w:tcPr>
            <w:tcW w:w="812" w:type="dxa"/>
            <w:tcBorders>
              <w:top w:val="single" w:sz="4" w:space="0" w:color="585858"/>
              <w:bottom w:val="single" w:sz="4" w:space="0" w:color="585858"/>
            </w:tcBorders>
          </w:tcPr>
          <w:p>
            <w:pPr>
              <w:pStyle w:val="TableParagraph"/>
              <w:spacing w:line="181" w:lineRule="exact" w:before="45"/>
              <w:ind w:right="134"/>
              <w:jc w:val="right"/>
              <w:rPr>
                <w:sz w:val="16"/>
              </w:rPr>
            </w:pPr>
            <w:r>
              <w:rPr>
                <w:sz w:val="16"/>
              </w:rPr>
              <w:t>n/a</w:t>
            </w:r>
          </w:p>
        </w:tc>
        <w:tc>
          <w:tcPr>
            <w:tcW w:w="1256" w:type="dxa"/>
            <w:gridSpan w:val="2"/>
            <w:tcBorders>
              <w:top w:val="single" w:sz="4" w:space="0" w:color="585858"/>
              <w:bottom w:val="single" w:sz="4" w:space="0" w:color="585858"/>
            </w:tcBorders>
          </w:tcPr>
          <w:p>
            <w:pPr>
              <w:pStyle w:val="TableParagraph"/>
              <w:spacing w:line="181" w:lineRule="exact" w:before="45"/>
              <w:ind w:left="319"/>
              <w:rPr>
                <w:sz w:val="16"/>
              </w:rPr>
            </w:pPr>
            <w:r>
              <w:rPr>
                <w:sz w:val="16"/>
              </w:rPr>
              <w:t>n/a</w:t>
            </w:r>
          </w:p>
        </w:tc>
        <w:tc>
          <w:tcPr>
            <w:tcW w:w="770" w:type="dxa"/>
            <w:tcBorders>
              <w:top w:val="single" w:sz="4" w:space="0" w:color="585858"/>
              <w:bottom w:val="single" w:sz="4" w:space="0" w:color="585858"/>
            </w:tcBorders>
          </w:tcPr>
          <w:p>
            <w:pPr>
              <w:pStyle w:val="TableParagraph"/>
              <w:spacing w:line="181" w:lineRule="exact" w:before="45"/>
              <w:ind w:right="132"/>
              <w:jc w:val="right"/>
              <w:rPr>
                <w:sz w:val="16"/>
              </w:rPr>
            </w:pPr>
            <w:r>
              <w:rPr>
                <w:sz w:val="16"/>
              </w:rPr>
              <w:t>n/a</w:t>
            </w:r>
          </w:p>
        </w:tc>
        <w:tc>
          <w:tcPr>
            <w:tcW w:w="1284" w:type="dxa"/>
            <w:gridSpan w:val="2"/>
            <w:tcBorders>
              <w:top w:val="single" w:sz="4" w:space="0" w:color="585858"/>
              <w:bottom w:val="single" w:sz="4" w:space="0" w:color="585858"/>
            </w:tcBorders>
          </w:tcPr>
          <w:p>
            <w:pPr>
              <w:pStyle w:val="TableParagraph"/>
              <w:spacing w:line="181" w:lineRule="exact" w:before="45"/>
              <w:ind w:left="321"/>
              <w:rPr>
                <w:sz w:val="16"/>
              </w:rPr>
            </w:pPr>
            <w:r>
              <w:rPr>
                <w:sz w:val="16"/>
              </w:rPr>
              <w:t>n/a</w:t>
            </w:r>
          </w:p>
        </w:tc>
        <w:tc>
          <w:tcPr>
            <w:tcW w:w="790" w:type="dxa"/>
            <w:tcBorders>
              <w:top w:val="single" w:sz="4" w:space="0" w:color="585858"/>
              <w:bottom w:val="single" w:sz="4" w:space="0" w:color="585858"/>
            </w:tcBorders>
          </w:tcPr>
          <w:p>
            <w:pPr>
              <w:pStyle w:val="TableParagraph"/>
              <w:spacing w:line="181" w:lineRule="exact" w:before="45"/>
              <w:ind w:right="172"/>
              <w:jc w:val="right"/>
              <w:rPr>
                <w:sz w:val="16"/>
              </w:rPr>
            </w:pPr>
            <w:r>
              <w:rPr>
                <w:sz w:val="16"/>
              </w:rPr>
              <w:t>12</w:t>
            </w:r>
          </w:p>
        </w:tc>
        <w:tc>
          <w:tcPr>
            <w:tcW w:w="1269" w:type="dxa"/>
            <w:gridSpan w:val="2"/>
            <w:tcBorders>
              <w:top w:val="single" w:sz="4" w:space="0" w:color="585858"/>
              <w:bottom w:val="single" w:sz="4" w:space="0" w:color="585858"/>
            </w:tcBorders>
          </w:tcPr>
          <w:p>
            <w:pPr>
              <w:pStyle w:val="TableParagraph"/>
              <w:spacing w:line="181" w:lineRule="exact" w:before="45"/>
              <w:ind w:left="191"/>
              <w:rPr>
                <w:sz w:val="16"/>
              </w:rPr>
            </w:pPr>
            <w:r>
              <w:rPr>
                <w:sz w:val="16"/>
              </w:rPr>
              <w:t>12.4</w:t>
            </w:r>
          </w:p>
        </w:tc>
      </w:tr>
      <w:tr>
        <w:trPr>
          <w:trHeight w:val="242"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Transgender man</w:t>
            </w:r>
          </w:p>
        </w:tc>
        <w:tc>
          <w:tcPr>
            <w:tcW w:w="715" w:type="dxa"/>
            <w:tcBorders>
              <w:top w:val="single" w:sz="4" w:space="0" w:color="585858"/>
              <w:bottom w:val="single" w:sz="4" w:space="0" w:color="585858"/>
            </w:tcBorders>
          </w:tcPr>
          <w:p>
            <w:pPr>
              <w:pStyle w:val="TableParagraph"/>
              <w:spacing w:line="181" w:lineRule="exact" w:before="41"/>
              <w:ind w:right="140"/>
              <w:jc w:val="right"/>
              <w:rPr>
                <w:sz w:val="16"/>
              </w:rPr>
            </w:pPr>
            <w:r>
              <w:rPr>
                <w:sz w:val="16"/>
              </w:rPr>
              <w:t>n/a</w:t>
            </w:r>
          </w:p>
        </w:tc>
        <w:tc>
          <w:tcPr>
            <w:tcW w:w="1282"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n/a</w:t>
            </w:r>
          </w:p>
        </w:tc>
        <w:tc>
          <w:tcPr>
            <w:tcW w:w="746" w:type="dxa"/>
            <w:tcBorders>
              <w:top w:val="single" w:sz="4" w:space="0" w:color="585858"/>
              <w:bottom w:val="single" w:sz="4" w:space="0" w:color="585858"/>
            </w:tcBorders>
          </w:tcPr>
          <w:p>
            <w:pPr>
              <w:pStyle w:val="TableParagraph"/>
              <w:spacing w:line="181" w:lineRule="exact" w:before="41"/>
              <w:ind w:right="136"/>
              <w:jc w:val="right"/>
              <w:rPr>
                <w:sz w:val="16"/>
              </w:rPr>
            </w:pPr>
            <w:r>
              <w:rPr>
                <w:sz w:val="16"/>
              </w:rPr>
              <w:t>n/a</w:t>
            </w:r>
          </w:p>
        </w:tc>
        <w:tc>
          <w:tcPr>
            <w:tcW w:w="1218"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n/a</w:t>
            </w:r>
          </w:p>
        </w:tc>
        <w:tc>
          <w:tcPr>
            <w:tcW w:w="812" w:type="dxa"/>
            <w:tcBorders>
              <w:top w:val="single" w:sz="4" w:space="0" w:color="585858"/>
              <w:bottom w:val="single" w:sz="4" w:space="0" w:color="585858"/>
            </w:tcBorders>
          </w:tcPr>
          <w:p>
            <w:pPr>
              <w:pStyle w:val="TableParagraph"/>
              <w:spacing w:line="181" w:lineRule="exact" w:before="41"/>
              <w:ind w:right="134"/>
              <w:jc w:val="right"/>
              <w:rPr>
                <w:sz w:val="16"/>
              </w:rPr>
            </w:pPr>
            <w:r>
              <w:rPr>
                <w:sz w:val="16"/>
              </w:rPr>
              <w:t>n/a</w:t>
            </w:r>
          </w:p>
        </w:tc>
        <w:tc>
          <w:tcPr>
            <w:tcW w:w="1256" w:type="dxa"/>
            <w:gridSpan w:val="2"/>
            <w:tcBorders>
              <w:top w:val="single" w:sz="4" w:space="0" w:color="585858"/>
              <w:bottom w:val="single" w:sz="4" w:space="0" w:color="585858"/>
            </w:tcBorders>
          </w:tcPr>
          <w:p>
            <w:pPr>
              <w:pStyle w:val="TableParagraph"/>
              <w:spacing w:line="181" w:lineRule="exact" w:before="41"/>
              <w:ind w:left="319"/>
              <w:rPr>
                <w:sz w:val="16"/>
              </w:rPr>
            </w:pPr>
            <w:r>
              <w:rPr>
                <w:sz w:val="16"/>
              </w:rPr>
              <w:t>n/a</w:t>
            </w:r>
          </w:p>
        </w:tc>
        <w:tc>
          <w:tcPr>
            <w:tcW w:w="770"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n/a</w:t>
            </w:r>
          </w:p>
        </w:tc>
        <w:tc>
          <w:tcPr>
            <w:tcW w:w="1284" w:type="dxa"/>
            <w:gridSpan w:val="2"/>
            <w:tcBorders>
              <w:top w:val="single" w:sz="4" w:space="0" w:color="585858"/>
              <w:bottom w:val="single" w:sz="4" w:space="0" w:color="585858"/>
            </w:tcBorders>
          </w:tcPr>
          <w:p>
            <w:pPr>
              <w:pStyle w:val="TableParagraph"/>
              <w:spacing w:line="181" w:lineRule="exact" w:before="41"/>
              <w:ind w:left="321"/>
              <w:rPr>
                <w:sz w:val="16"/>
              </w:rPr>
            </w:pPr>
            <w:r>
              <w:rPr>
                <w:sz w:val="16"/>
              </w:rPr>
              <w:t>n/a</w:t>
            </w:r>
          </w:p>
        </w:tc>
        <w:tc>
          <w:tcPr>
            <w:tcW w:w="790" w:type="dxa"/>
            <w:tcBorders>
              <w:top w:val="single" w:sz="4" w:space="0" w:color="585858"/>
              <w:bottom w:val="single" w:sz="4" w:space="0" w:color="585858"/>
            </w:tcBorders>
          </w:tcPr>
          <w:p>
            <w:pPr>
              <w:pStyle w:val="TableParagraph"/>
              <w:spacing w:line="181" w:lineRule="exact" w:before="4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1"/>
              <w:ind w:right="100"/>
              <w:jc w:val="right"/>
              <w:rPr>
                <w:sz w:val="16"/>
              </w:rPr>
            </w:pPr>
            <w:r>
              <w:rPr>
                <w:sz w:val="16"/>
              </w:rPr>
              <w:t>1.0</w:t>
            </w:r>
          </w:p>
        </w:tc>
        <w:tc>
          <w:tcPr>
            <w:tcW w:w="667" w:type="dxa"/>
            <w:tcBorders>
              <w:top w:val="single" w:sz="4" w:space="0" w:color="585858"/>
              <w:bottom w:val="single" w:sz="4" w:space="0" w:color="585858"/>
            </w:tcBorders>
          </w:tcPr>
          <w:p>
            <w:pPr>
              <w:pStyle w:val="TableParagraph"/>
              <w:spacing w:line="181" w:lineRule="exact" w:before="41"/>
              <w:ind w:left="121"/>
              <w:rPr>
                <w:sz w:val="16"/>
              </w:rPr>
            </w:pPr>
            <w:r>
              <w:rPr>
                <w:sz w:val="16"/>
              </w:rPr>
              <w:t>!</w:t>
            </w:r>
          </w:p>
        </w:tc>
      </w:tr>
      <w:tr>
        <w:trPr>
          <w:trHeight w:val="430" w:hRule="atLeast"/>
        </w:trPr>
        <w:tc>
          <w:tcPr>
            <w:tcW w:w="2922" w:type="dxa"/>
            <w:tcBorders>
              <w:top w:val="single" w:sz="4" w:space="0" w:color="585858"/>
              <w:bottom w:val="single" w:sz="4" w:space="0" w:color="585858"/>
            </w:tcBorders>
          </w:tcPr>
          <w:p>
            <w:pPr>
              <w:pStyle w:val="TableParagraph"/>
              <w:spacing w:line="180" w:lineRule="atLeast" w:before="45"/>
              <w:ind w:left="370" w:right="281"/>
              <w:rPr>
                <w:sz w:val="16"/>
              </w:rPr>
            </w:pPr>
            <w:r>
              <w:rPr>
                <w:sz w:val="16"/>
              </w:rPr>
              <w:t>Transgender and nonbinary or trans only</w:t>
            </w:r>
          </w:p>
        </w:tc>
        <w:tc>
          <w:tcPr>
            <w:tcW w:w="715" w:type="dxa"/>
            <w:tcBorders>
              <w:top w:val="single" w:sz="4" w:space="0" w:color="585858"/>
              <w:bottom w:val="single" w:sz="4" w:space="0" w:color="585858"/>
            </w:tcBorders>
          </w:tcPr>
          <w:p>
            <w:pPr>
              <w:pStyle w:val="TableParagraph"/>
              <w:spacing w:before="45"/>
              <w:ind w:right="140"/>
              <w:jc w:val="right"/>
              <w:rPr>
                <w:sz w:val="16"/>
              </w:rPr>
            </w:pPr>
            <w:r>
              <w:rPr>
                <w:sz w:val="16"/>
              </w:rPr>
              <w:t>n/a</w:t>
            </w:r>
          </w:p>
        </w:tc>
        <w:tc>
          <w:tcPr>
            <w:tcW w:w="1282" w:type="dxa"/>
            <w:gridSpan w:val="2"/>
            <w:tcBorders>
              <w:top w:val="single" w:sz="4" w:space="0" w:color="585858"/>
              <w:bottom w:val="single" w:sz="4" w:space="0" w:color="585858"/>
            </w:tcBorders>
          </w:tcPr>
          <w:p>
            <w:pPr>
              <w:pStyle w:val="TableParagraph"/>
              <w:spacing w:before="45"/>
              <w:ind w:left="317"/>
              <w:rPr>
                <w:sz w:val="16"/>
              </w:rPr>
            </w:pPr>
            <w:r>
              <w:rPr>
                <w:sz w:val="16"/>
              </w:rPr>
              <w:t>n/a</w:t>
            </w:r>
          </w:p>
        </w:tc>
        <w:tc>
          <w:tcPr>
            <w:tcW w:w="746" w:type="dxa"/>
            <w:tcBorders>
              <w:top w:val="single" w:sz="4" w:space="0" w:color="585858"/>
              <w:bottom w:val="single" w:sz="4" w:space="0" w:color="585858"/>
            </w:tcBorders>
          </w:tcPr>
          <w:p>
            <w:pPr>
              <w:pStyle w:val="TableParagraph"/>
              <w:spacing w:before="45"/>
              <w:ind w:right="136"/>
              <w:jc w:val="right"/>
              <w:rPr>
                <w:sz w:val="16"/>
              </w:rPr>
            </w:pPr>
            <w:r>
              <w:rPr>
                <w:sz w:val="16"/>
              </w:rPr>
              <w:t>n/a</w:t>
            </w:r>
          </w:p>
        </w:tc>
        <w:tc>
          <w:tcPr>
            <w:tcW w:w="1218" w:type="dxa"/>
            <w:gridSpan w:val="2"/>
            <w:tcBorders>
              <w:top w:val="single" w:sz="4" w:space="0" w:color="585858"/>
              <w:bottom w:val="single" w:sz="4" w:space="0" w:color="585858"/>
            </w:tcBorders>
          </w:tcPr>
          <w:p>
            <w:pPr>
              <w:pStyle w:val="TableParagraph"/>
              <w:spacing w:before="45"/>
              <w:ind w:left="317"/>
              <w:rPr>
                <w:sz w:val="16"/>
              </w:rPr>
            </w:pPr>
            <w:r>
              <w:rPr>
                <w:sz w:val="16"/>
              </w:rPr>
              <w:t>n/a</w:t>
            </w:r>
          </w:p>
        </w:tc>
        <w:tc>
          <w:tcPr>
            <w:tcW w:w="812" w:type="dxa"/>
            <w:tcBorders>
              <w:top w:val="single" w:sz="4" w:space="0" w:color="585858"/>
              <w:bottom w:val="single" w:sz="4" w:space="0" w:color="585858"/>
            </w:tcBorders>
          </w:tcPr>
          <w:p>
            <w:pPr>
              <w:pStyle w:val="TableParagraph"/>
              <w:spacing w:before="45"/>
              <w:ind w:right="134"/>
              <w:jc w:val="right"/>
              <w:rPr>
                <w:sz w:val="16"/>
              </w:rPr>
            </w:pPr>
            <w:r>
              <w:rPr>
                <w:sz w:val="16"/>
              </w:rPr>
              <w:t>n/a</w:t>
            </w:r>
          </w:p>
        </w:tc>
        <w:tc>
          <w:tcPr>
            <w:tcW w:w="1256" w:type="dxa"/>
            <w:gridSpan w:val="2"/>
            <w:tcBorders>
              <w:top w:val="single" w:sz="4" w:space="0" w:color="585858"/>
              <w:bottom w:val="single" w:sz="4" w:space="0" w:color="585858"/>
            </w:tcBorders>
          </w:tcPr>
          <w:p>
            <w:pPr>
              <w:pStyle w:val="TableParagraph"/>
              <w:spacing w:before="45"/>
              <w:ind w:left="319"/>
              <w:rPr>
                <w:sz w:val="16"/>
              </w:rPr>
            </w:pPr>
            <w:r>
              <w:rPr>
                <w:sz w:val="16"/>
              </w:rPr>
              <w:t>n/a</w:t>
            </w:r>
          </w:p>
        </w:tc>
        <w:tc>
          <w:tcPr>
            <w:tcW w:w="770" w:type="dxa"/>
            <w:tcBorders>
              <w:top w:val="single" w:sz="4" w:space="0" w:color="585858"/>
              <w:bottom w:val="single" w:sz="4" w:space="0" w:color="585858"/>
            </w:tcBorders>
          </w:tcPr>
          <w:p>
            <w:pPr>
              <w:pStyle w:val="TableParagraph"/>
              <w:spacing w:before="45"/>
              <w:ind w:right="132"/>
              <w:jc w:val="right"/>
              <w:rPr>
                <w:sz w:val="16"/>
              </w:rPr>
            </w:pPr>
            <w:r>
              <w:rPr>
                <w:sz w:val="16"/>
              </w:rPr>
              <w:t>n/a</w:t>
            </w:r>
          </w:p>
        </w:tc>
        <w:tc>
          <w:tcPr>
            <w:tcW w:w="1284" w:type="dxa"/>
            <w:gridSpan w:val="2"/>
            <w:tcBorders>
              <w:top w:val="single" w:sz="4" w:space="0" w:color="585858"/>
              <w:bottom w:val="single" w:sz="4" w:space="0" w:color="585858"/>
            </w:tcBorders>
          </w:tcPr>
          <w:p>
            <w:pPr>
              <w:pStyle w:val="TableParagraph"/>
              <w:spacing w:before="45"/>
              <w:ind w:left="321"/>
              <w:rPr>
                <w:sz w:val="16"/>
              </w:rPr>
            </w:pPr>
            <w:r>
              <w:rPr>
                <w:sz w:val="16"/>
              </w:rPr>
              <w:t>n/a</w:t>
            </w:r>
          </w:p>
        </w:tc>
        <w:tc>
          <w:tcPr>
            <w:tcW w:w="790" w:type="dxa"/>
            <w:tcBorders>
              <w:top w:val="single" w:sz="4" w:space="0" w:color="585858"/>
              <w:bottom w:val="single" w:sz="4" w:space="0" w:color="585858"/>
            </w:tcBorders>
          </w:tcPr>
          <w:p>
            <w:pPr>
              <w:pStyle w:val="TableParagraph"/>
              <w:spacing w:before="45"/>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before="45"/>
              <w:ind w:right="100"/>
              <w:jc w:val="right"/>
              <w:rPr>
                <w:sz w:val="16"/>
              </w:rPr>
            </w:pPr>
            <w:r>
              <w:rPr>
                <w:sz w:val="16"/>
              </w:rPr>
              <w:t>7.2</w:t>
            </w:r>
          </w:p>
        </w:tc>
        <w:tc>
          <w:tcPr>
            <w:tcW w:w="667" w:type="dxa"/>
            <w:tcBorders>
              <w:top w:val="single" w:sz="4" w:space="0" w:color="585858"/>
              <w:bottom w:val="single" w:sz="4" w:space="0" w:color="585858"/>
            </w:tcBorders>
          </w:tcPr>
          <w:p>
            <w:pPr>
              <w:pStyle w:val="TableParagraph"/>
              <w:spacing w:before="45"/>
              <w:ind w:left="121"/>
              <w:rPr>
                <w:sz w:val="16"/>
              </w:rPr>
            </w:pPr>
            <w:r>
              <w:rPr>
                <w:sz w:val="16"/>
              </w:rPr>
              <w:t>!</w:t>
            </w:r>
          </w:p>
        </w:tc>
      </w:tr>
      <w:tr>
        <w:trPr>
          <w:trHeight w:val="241" w:hRule="atLeast"/>
        </w:trPr>
        <w:tc>
          <w:tcPr>
            <w:tcW w:w="2922" w:type="dxa"/>
            <w:tcBorders>
              <w:top w:val="single" w:sz="4" w:space="0" w:color="585858"/>
              <w:bottom w:val="single" w:sz="4" w:space="0" w:color="585858"/>
            </w:tcBorders>
          </w:tcPr>
          <w:p>
            <w:pPr>
              <w:pStyle w:val="TableParagraph"/>
              <w:spacing w:line="181" w:lineRule="exact" w:before="41"/>
              <w:ind w:left="114"/>
              <w:rPr>
                <w:sz w:val="16"/>
              </w:rPr>
            </w:pPr>
            <w:r>
              <w:rPr>
                <w:sz w:val="16"/>
              </w:rPr>
              <w:t>Disability Status</w:t>
            </w:r>
          </w:p>
        </w:tc>
        <w:tc>
          <w:tcPr>
            <w:tcW w:w="715" w:type="dxa"/>
            <w:tcBorders>
              <w:top w:val="single" w:sz="4" w:space="0" w:color="585858"/>
              <w:bottom w:val="single" w:sz="4" w:space="0" w:color="585858"/>
            </w:tcBorders>
          </w:tcPr>
          <w:p>
            <w:pPr>
              <w:pStyle w:val="TableParagraph"/>
              <w:spacing w:before="0"/>
              <w:rPr>
                <w:rFonts w:ascii="Times New Roman"/>
                <w:sz w:val="16"/>
              </w:rPr>
            </w:pPr>
          </w:p>
        </w:tc>
        <w:tc>
          <w:tcPr>
            <w:tcW w:w="1282" w:type="dxa"/>
            <w:gridSpan w:val="2"/>
            <w:tcBorders>
              <w:top w:val="single" w:sz="4" w:space="0" w:color="585858"/>
              <w:bottom w:val="single" w:sz="4" w:space="0" w:color="585858"/>
            </w:tcBorders>
          </w:tcPr>
          <w:p>
            <w:pPr>
              <w:pStyle w:val="TableParagraph"/>
              <w:spacing w:before="0"/>
              <w:rPr>
                <w:rFonts w:ascii="Times New Roman"/>
                <w:sz w:val="16"/>
              </w:rPr>
            </w:pPr>
          </w:p>
        </w:tc>
        <w:tc>
          <w:tcPr>
            <w:tcW w:w="746" w:type="dxa"/>
            <w:tcBorders>
              <w:top w:val="single" w:sz="4" w:space="0" w:color="585858"/>
              <w:bottom w:val="single" w:sz="4" w:space="0" w:color="585858"/>
            </w:tcBorders>
          </w:tcPr>
          <w:p>
            <w:pPr>
              <w:pStyle w:val="TableParagraph"/>
              <w:spacing w:before="0"/>
              <w:rPr>
                <w:rFonts w:ascii="Times New Roman"/>
                <w:sz w:val="16"/>
              </w:rPr>
            </w:pPr>
          </w:p>
        </w:tc>
        <w:tc>
          <w:tcPr>
            <w:tcW w:w="1218" w:type="dxa"/>
            <w:gridSpan w:val="2"/>
            <w:tcBorders>
              <w:top w:val="single" w:sz="4" w:space="0" w:color="585858"/>
              <w:bottom w:val="single" w:sz="4" w:space="0" w:color="585858"/>
            </w:tcBorders>
          </w:tcPr>
          <w:p>
            <w:pPr>
              <w:pStyle w:val="TableParagraph"/>
              <w:spacing w:before="0"/>
              <w:rPr>
                <w:rFonts w:ascii="Times New Roman"/>
                <w:sz w:val="16"/>
              </w:rPr>
            </w:pPr>
          </w:p>
        </w:tc>
        <w:tc>
          <w:tcPr>
            <w:tcW w:w="812" w:type="dxa"/>
            <w:tcBorders>
              <w:top w:val="single" w:sz="4" w:space="0" w:color="585858"/>
              <w:bottom w:val="single" w:sz="4" w:space="0" w:color="585858"/>
            </w:tcBorders>
          </w:tcPr>
          <w:p>
            <w:pPr>
              <w:pStyle w:val="TableParagraph"/>
              <w:spacing w:before="0"/>
              <w:rPr>
                <w:rFonts w:ascii="Times New Roman"/>
                <w:sz w:val="16"/>
              </w:rPr>
            </w:pPr>
          </w:p>
        </w:tc>
        <w:tc>
          <w:tcPr>
            <w:tcW w:w="1256" w:type="dxa"/>
            <w:gridSpan w:val="2"/>
            <w:tcBorders>
              <w:top w:val="single" w:sz="4" w:space="0" w:color="585858"/>
              <w:bottom w:val="single" w:sz="4" w:space="0" w:color="585858"/>
            </w:tcBorders>
          </w:tcPr>
          <w:p>
            <w:pPr>
              <w:pStyle w:val="TableParagraph"/>
              <w:spacing w:before="0"/>
              <w:rPr>
                <w:rFonts w:ascii="Times New Roman"/>
                <w:sz w:val="16"/>
              </w:rPr>
            </w:pPr>
          </w:p>
        </w:tc>
        <w:tc>
          <w:tcPr>
            <w:tcW w:w="770" w:type="dxa"/>
            <w:tcBorders>
              <w:top w:val="single" w:sz="4" w:space="0" w:color="585858"/>
              <w:bottom w:val="single" w:sz="4" w:space="0" w:color="585858"/>
            </w:tcBorders>
          </w:tcPr>
          <w:p>
            <w:pPr>
              <w:pStyle w:val="TableParagraph"/>
              <w:spacing w:before="0"/>
              <w:rPr>
                <w:rFonts w:ascii="Times New Roman"/>
                <w:sz w:val="16"/>
              </w:rPr>
            </w:pPr>
          </w:p>
        </w:tc>
        <w:tc>
          <w:tcPr>
            <w:tcW w:w="1284" w:type="dxa"/>
            <w:gridSpan w:val="2"/>
            <w:tcBorders>
              <w:top w:val="single" w:sz="4" w:space="0" w:color="585858"/>
              <w:bottom w:val="single" w:sz="4" w:space="0" w:color="585858"/>
            </w:tcBorders>
          </w:tcPr>
          <w:p>
            <w:pPr>
              <w:pStyle w:val="TableParagraph"/>
              <w:spacing w:before="0"/>
              <w:rPr>
                <w:rFonts w:ascii="Times New Roman"/>
                <w:sz w:val="16"/>
              </w:rPr>
            </w:pPr>
          </w:p>
        </w:tc>
        <w:tc>
          <w:tcPr>
            <w:tcW w:w="790" w:type="dxa"/>
            <w:tcBorders>
              <w:top w:val="single" w:sz="4" w:space="0" w:color="585858"/>
              <w:bottom w:val="single" w:sz="4" w:space="0" w:color="585858"/>
            </w:tcBorders>
          </w:tcPr>
          <w:p>
            <w:pPr>
              <w:pStyle w:val="TableParagraph"/>
              <w:spacing w:before="0"/>
              <w:rPr>
                <w:rFonts w:ascii="Times New Roman"/>
                <w:sz w:val="16"/>
              </w:rPr>
            </w:pPr>
          </w:p>
        </w:tc>
        <w:tc>
          <w:tcPr>
            <w:tcW w:w="1269"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73" w:hRule="atLeast"/>
        </w:trPr>
        <w:tc>
          <w:tcPr>
            <w:tcW w:w="2922" w:type="dxa"/>
            <w:tcBorders>
              <w:top w:val="single" w:sz="4" w:space="0" w:color="585858"/>
              <w:bottom w:val="single" w:sz="4" w:space="0" w:color="585858"/>
            </w:tcBorders>
          </w:tcPr>
          <w:p>
            <w:pPr>
              <w:pStyle w:val="TableParagraph"/>
              <w:spacing w:before="45"/>
              <w:ind w:left="370"/>
              <w:rPr>
                <w:sz w:val="16"/>
              </w:rPr>
            </w:pPr>
            <w:r>
              <w:rPr>
                <w:sz w:val="16"/>
              </w:rPr>
              <w:t>Yes</w:t>
            </w:r>
          </w:p>
        </w:tc>
        <w:tc>
          <w:tcPr>
            <w:tcW w:w="715" w:type="dxa"/>
            <w:tcBorders>
              <w:top w:val="single" w:sz="4" w:space="0" w:color="585858"/>
              <w:bottom w:val="single" w:sz="4" w:space="0" w:color="585858"/>
            </w:tcBorders>
          </w:tcPr>
          <w:p>
            <w:pPr>
              <w:pStyle w:val="TableParagraph"/>
              <w:spacing w:before="45"/>
              <w:ind w:right="138"/>
              <w:jc w:val="right"/>
              <w:rPr>
                <w:sz w:val="16"/>
              </w:rPr>
            </w:pPr>
            <w:r>
              <w:rPr>
                <w:sz w:val="16"/>
              </w:rPr>
              <w:t>97</w:t>
            </w:r>
          </w:p>
        </w:tc>
        <w:tc>
          <w:tcPr>
            <w:tcW w:w="1282" w:type="dxa"/>
            <w:gridSpan w:val="2"/>
            <w:tcBorders>
              <w:top w:val="single" w:sz="4" w:space="0" w:color="585858"/>
              <w:bottom w:val="single" w:sz="4" w:space="0" w:color="585858"/>
            </w:tcBorders>
          </w:tcPr>
          <w:p>
            <w:pPr>
              <w:pStyle w:val="TableParagraph"/>
              <w:tabs>
                <w:tab w:pos="756" w:val="left" w:leader="none"/>
              </w:tabs>
              <w:spacing w:before="45"/>
              <w:ind w:left="229"/>
              <w:rPr>
                <w:sz w:val="16"/>
              </w:rPr>
            </w:pPr>
            <w:r>
              <w:rPr>
                <w:sz w:val="16"/>
              </w:rPr>
              <w:t>12.1</w:t>
              <w:tab/>
              <w:t>%</w:t>
            </w:r>
          </w:p>
        </w:tc>
        <w:tc>
          <w:tcPr>
            <w:tcW w:w="746" w:type="dxa"/>
            <w:tcBorders>
              <w:top w:val="single" w:sz="4" w:space="0" w:color="585858"/>
              <w:bottom w:val="single" w:sz="4" w:space="0" w:color="585858"/>
            </w:tcBorders>
          </w:tcPr>
          <w:p>
            <w:pPr>
              <w:pStyle w:val="TableParagraph"/>
              <w:spacing w:before="45"/>
              <w:ind w:right="134"/>
              <w:jc w:val="right"/>
              <w:rPr>
                <w:sz w:val="16"/>
              </w:rPr>
            </w:pPr>
            <w:r>
              <w:rPr>
                <w:sz w:val="16"/>
              </w:rPr>
              <w:t>54</w:t>
            </w:r>
          </w:p>
        </w:tc>
        <w:tc>
          <w:tcPr>
            <w:tcW w:w="1218" w:type="dxa"/>
            <w:gridSpan w:val="2"/>
            <w:tcBorders>
              <w:top w:val="single" w:sz="4" w:space="0" w:color="585858"/>
              <w:bottom w:val="single" w:sz="4" w:space="0" w:color="585858"/>
            </w:tcBorders>
          </w:tcPr>
          <w:p>
            <w:pPr>
              <w:pStyle w:val="TableParagraph"/>
              <w:tabs>
                <w:tab w:pos="756" w:val="left" w:leader="none"/>
              </w:tabs>
              <w:spacing w:before="45"/>
              <w:ind w:left="317"/>
              <w:rPr>
                <w:sz w:val="16"/>
              </w:rPr>
            </w:pPr>
            <w:r>
              <w:rPr>
                <w:sz w:val="16"/>
              </w:rPr>
              <w:t>8.5</w:t>
              <w:tab/>
              <w:t>%</w:t>
            </w:r>
          </w:p>
        </w:tc>
        <w:tc>
          <w:tcPr>
            <w:tcW w:w="812" w:type="dxa"/>
            <w:tcBorders>
              <w:top w:val="single" w:sz="4" w:space="0" w:color="585858"/>
              <w:bottom w:val="single" w:sz="4" w:space="0" w:color="585858"/>
            </w:tcBorders>
          </w:tcPr>
          <w:p>
            <w:pPr>
              <w:pStyle w:val="TableParagraph"/>
              <w:spacing w:before="45"/>
              <w:ind w:right="136"/>
              <w:jc w:val="right"/>
              <w:rPr>
                <w:sz w:val="16"/>
              </w:rPr>
            </w:pPr>
            <w:r>
              <w:rPr>
                <w:sz w:val="16"/>
              </w:rPr>
              <w:t>201</w:t>
            </w:r>
          </w:p>
        </w:tc>
        <w:tc>
          <w:tcPr>
            <w:tcW w:w="1256" w:type="dxa"/>
            <w:gridSpan w:val="2"/>
            <w:tcBorders>
              <w:top w:val="single" w:sz="4" w:space="0" w:color="585858"/>
              <w:bottom w:val="single" w:sz="4" w:space="0" w:color="585858"/>
            </w:tcBorders>
          </w:tcPr>
          <w:p>
            <w:pPr>
              <w:pStyle w:val="TableParagraph"/>
              <w:tabs>
                <w:tab w:pos="758" w:val="left" w:leader="none"/>
              </w:tabs>
              <w:spacing w:before="45"/>
              <w:ind w:left="231"/>
              <w:rPr>
                <w:sz w:val="16"/>
              </w:rPr>
            </w:pPr>
            <w:r>
              <w:rPr>
                <w:sz w:val="16"/>
              </w:rPr>
              <w:t>13.6</w:t>
              <w:tab/>
              <w:t>%</w:t>
            </w:r>
          </w:p>
        </w:tc>
        <w:tc>
          <w:tcPr>
            <w:tcW w:w="770" w:type="dxa"/>
            <w:tcBorders>
              <w:top w:val="single" w:sz="4" w:space="0" w:color="585858"/>
              <w:bottom w:val="single" w:sz="4" w:space="0" w:color="585858"/>
            </w:tcBorders>
          </w:tcPr>
          <w:p>
            <w:pPr>
              <w:pStyle w:val="TableParagraph"/>
              <w:spacing w:before="45"/>
              <w:ind w:right="130"/>
              <w:jc w:val="right"/>
              <w:rPr>
                <w:sz w:val="16"/>
              </w:rPr>
            </w:pPr>
            <w:r>
              <w:rPr>
                <w:sz w:val="16"/>
              </w:rPr>
              <w:t>71</w:t>
            </w:r>
          </w:p>
        </w:tc>
        <w:tc>
          <w:tcPr>
            <w:tcW w:w="1284" w:type="dxa"/>
            <w:gridSpan w:val="2"/>
            <w:tcBorders>
              <w:top w:val="single" w:sz="4" w:space="0" w:color="585858"/>
              <w:bottom w:val="single" w:sz="4" w:space="0" w:color="585858"/>
            </w:tcBorders>
          </w:tcPr>
          <w:p>
            <w:pPr>
              <w:pStyle w:val="TableParagraph"/>
              <w:tabs>
                <w:tab w:pos="764" w:val="left" w:leader="none"/>
              </w:tabs>
              <w:spacing w:before="45"/>
              <w:ind w:left="233"/>
              <w:rPr>
                <w:sz w:val="16"/>
              </w:rPr>
            </w:pPr>
            <w:r>
              <w:rPr>
                <w:sz w:val="16"/>
              </w:rPr>
              <w:t>10.3</w:t>
              <w:tab/>
              <w:t>%</w:t>
            </w:r>
          </w:p>
        </w:tc>
        <w:tc>
          <w:tcPr>
            <w:tcW w:w="790" w:type="dxa"/>
            <w:tcBorders>
              <w:top w:val="single" w:sz="4" w:space="0" w:color="585858"/>
              <w:bottom w:val="single" w:sz="4" w:space="0" w:color="585858"/>
            </w:tcBorders>
          </w:tcPr>
          <w:p>
            <w:pPr>
              <w:pStyle w:val="TableParagraph"/>
              <w:spacing w:before="45"/>
              <w:ind w:right="172"/>
              <w:jc w:val="right"/>
              <w:rPr>
                <w:sz w:val="16"/>
              </w:rPr>
            </w:pPr>
            <w:r>
              <w:rPr>
                <w:sz w:val="16"/>
              </w:rPr>
              <w:t>40</w:t>
            </w:r>
          </w:p>
        </w:tc>
        <w:tc>
          <w:tcPr>
            <w:tcW w:w="1269" w:type="dxa"/>
            <w:gridSpan w:val="2"/>
            <w:tcBorders>
              <w:top w:val="single" w:sz="4" w:space="0" w:color="585858"/>
              <w:bottom w:val="single" w:sz="4" w:space="0" w:color="585858"/>
            </w:tcBorders>
          </w:tcPr>
          <w:p>
            <w:pPr>
              <w:pStyle w:val="TableParagraph"/>
              <w:tabs>
                <w:tab w:pos="722" w:val="left" w:leader="none"/>
              </w:tabs>
              <w:spacing w:before="45"/>
              <w:ind w:left="191"/>
              <w:rPr>
                <w:sz w:val="16"/>
              </w:rPr>
            </w:pPr>
            <w:r>
              <w:rPr>
                <w:sz w:val="16"/>
              </w:rPr>
              <w:t>41.2</w:t>
              <w:tab/>
              <w:t>%</w:t>
            </w:r>
          </w:p>
        </w:tc>
      </w:tr>
      <w:tr>
        <w:trPr>
          <w:trHeight w:val="242"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No</w:t>
            </w:r>
          </w:p>
        </w:tc>
        <w:tc>
          <w:tcPr>
            <w:tcW w:w="715" w:type="dxa"/>
            <w:tcBorders>
              <w:top w:val="single" w:sz="4" w:space="0" w:color="585858"/>
              <w:bottom w:val="single" w:sz="4" w:space="0" w:color="585858"/>
            </w:tcBorders>
          </w:tcPr>
          <w:p>
            <w:pPr>
              <w:pStyle w:val="TableParagraph"/>
              <w:spacing w:line="181" w:lineRule="exact" w:before="41"/>
              <w:ind w:right="142"/>
              <w:jc w:val="right"/>
              <w:rPr>
                <w:sz w:val="16"/>
              </w:rPr>
            </w:pPr>
            <w:r>
              <w:rPr>
                <w:sz w:val="16"/>
              </w:rPr>
              <w:t>699</w:t>
            </w:r>
          </w:p>
        </w:tc>
        <w:tc>
          <w:tcPr>
            <w:tcW w:w="1282" w:type="dxa"/>
            <w:gridSpan w:val="2"/>
            <w:tcBorders>
              <w:top w:val="single" w:sz="4" w:space="0" w:color="585858"/>
              <w:bottom w:val="single" w:sz="4" w:space="0" w:color="585858"/>
            </w:tcBorders>
          </w:tcPr>
          <w:p>
            <w:pPr>
              <w:pStyle w:val="TableParagraph"/>
              <w:spacing w:line="181" w:lineRule="exact" w:before="41"/>
              <w:ind w:left="229"/>
              <w:rPr>
                <w:sz w:val="16"/>
              </w:rPr>
            </w:pPr>
            <w:r>
              <w:rPr>
                <w:sz w:val="16"/>
              </w:rPr>
              <w:t>87.2</w:t>
            </w:r>
          </w:p>
        </w:tc>
        <w:tc>
          <w:tcPr>
            <w:tcW w:w="746" w:type="dxa"/>
            <w:tcBorders>
              <w:top w:val="single" w:sz="4" w:space="0" w:color="585858"/>
              <w:bottom w:val="single" w:sz="4" w:space="0" w:color="585858"/>
            </w:tcBorders>
          </w:tcPr>
          <w:p>
            <w:pPr>
              <w:pStyle w:val="TableParagraph"/>
              <w:spacing w:line="181" w:lineRule="exact" w:before="41"/>
              <w:ind w:right="138"/>
              <w:jc w:val="right"/>
              <w:rPr>
                <w:sz w:val="16"/>
              </w:rPr>
            </w:pPr>
            <w:r>
              <w:rPr>
                <w:sz w:val="16"/>
              </w:rPr>
              <w:t>578</w:t>
            </w:r>
          </w:p>
        </w:tc>
        <w:tc>
          <w:tcPr>
            <w:tcW w:w="1218" w:type="dxa"/>
            <w:gridSpan w:val="2"/>
            <w:tcBorders>
              <w:top w:val="single" w:sz="4" w:space="0" w:color="585858"/>
              <w:bottom w:val="single" w:sz="4" w:space="0" w:color="585858"/>
            </w:tcBorders>
          </w:tcPr>
          <w:p>
            <w:pPr>
              <w:pStyle w:val="TableParagraph"/>
              <w:spacing w:line="181" w:lineRule="exact" w:before="41"/>
              <w:ind w:left="229"/>
              <w:rPr>
                <w:sz w:val="16"/>
              </w:rPr>
            </w:pPr>
            <w:r>
              <w:rPr>
                <w:sz w:val="16"/>
              </w:rPr>
              <w:t>90.9</w:t>
            </w:r>
          </w:p>
        </w:tc>
        <w:tc>
          <w:tcPr>
            <w:tcW w:w="812" w:type="dxa"/>
            <w:tcBorders>
              <w:top w:val="single" w:sz="4" w:space="0" w:color="585858"/>
              <w:bottom w:val="single" w:sz="4" w:space="0" w:color="585858"/>
            </w:tcBorders>
          </w:tcPr>
          <w:p>
            <w:pPr>
              <w:pStyle w:val="TableParagraph"/>
              <w:spacing w:line="181" w:lineRule="exact" w:before="41"/>
              <w:ind w:right="135"/>
              <w:jc w:val="right"/>
              <w:rPr>
                <w:sz w:val="16"/>
              </w:rPr>
            </w:pPr>
            <w:r>
              <w:rPr>
                <w:sz w:val="16"/>
              </w:rPr>
              <w:t>1,249</w:t>
            </w:r>
          </w:p>
        </w:tc>
        <w:tc>
          <w:tcPr>
            <w:tcW w:w="1256" w:type="dxa"/>
            <w:gridSpan w:val="2"/>
            <w:tcBorders>
              <w:top w:val="single" w:sz="4" w:space="0" w:color="585858"/>
              <w:bottom w:val="single" w:sz="4" w:space="0" w:color="585858"/>
            </w:tcBorders>
          </w:tcPr>
          <w:p>
            <w:pPr>
              <w:pStyle w:val="TableParagraph"/>
              <w:spacing w:line="181" w:lineRule="exact" w:before="41"/>
              <w:ind w:left="231"/>
              <w:rPr>
                <w:sz w:val="16"/>
              </w:rPr>
            </w:pPr>
            <w:r>
              <w:rPr>
                <w:sz w:val="16"/>
              </w:rPr>
              <w:t>84.8</w:t>
            </w:r>
          </w:p>
        </w:tc>
        <w:tc>
          <w:tcPr>
            <w:tcW w:w="770" w:type="dxa"/>
            <w:tcBorders>
              <w:top w:val="single" w:sz="4" w:space="0" w:color="585858"/>
              <w:bottom w:val="single" w:sz="4" w:space="0" w:color="585858"/>
            </w:tcBorders>
          </w:tcPr>
          <w:p>
            <w:pPr>
              <w:pStyle w:val="TableParagraph"/>
              <w:spacing w:line="181" w:lineRule="exact" w:before="41"/>
              <w:ind w:right="134"/>
              <w:jc w:val="right"/>
              <w:rPr>
                <w:sz w:val="16"/>
              </w:rPr>
            </w:pPr>
            <w:r>
              <w:rPr>
                <w:sz w:val="16"/>
              </w:rPr>
              <w:t>611</w:t>
            </w:r>
          </w:p>
        </w:tc>
        <w:tc>
          <w:tcPr>
            <w:tcW w:w="1284" w:type="dxa"/>
            <w:gridSpan w:val="2"/>
            <w:tcBorders>
              <w:top w:val="single" w:sz="4" w:space="0" w:color="585858"/>
              <w:bottom w:val="single" w:sz="4" w:space="0" w:color="585858"/>
            </w:tcBorders>
          </w:tcPr>
          <w:p>
            <w:pPr>
              <w:pStyle w:val="TableParagraph"/>
              <w:spacing w:line="181" w:lineRule="exact" w:before="41"/>
              <w:ind w:left="233"/>
              <w:rPr>
                <w:sz w:val="16"/>
              </w:rPr>
            </w:pPr>
            <w:r>
              <w:rPr>
                <w:sz w:val="16"/>
              </w:rPr>
              <w:t>88.9</w:t>
            </w:r>
          </w:p>
        </w:tc>
        <w:tc>
          <w:tcPr>
            <w:tcW w:w="790" w:type="dxa"/>
            <w:tcBorders>
              <w:top w:val="single" w:sz="4" w:space="0" w:color="585858"/>
              <w:bottom w:val="single" w:sz="4" w:space="0" w:color="585858"/>
            </w:tcBorders>
          </w:tcPr>
          <w:p>
            <w:pPr>
              <w:pStyle w:val="TableParagraph"/>
              <w:spacing w:line="181" w:lineRule="exact" w:before="41"/>
              <w:ind w:right="172"/>
              <w:jc w:val="right"/>
              <w:rPr>
                <w:sz w:val="16"/>
              </w:rPr>
            </w:pPr>
            <w:r>
              <w:rPr>
                <w:sz w:val="16"/>
              </w:rPr>
              <w:t>55</w:t>
            </w:r>
          </w:p>
        </w:tc>
        <w:tc>
          <w:tcPr>
            <w:tcW w:w="1269" w:type="dxa"/>
            <w:gridSpan w:val="2"/>
            <w:tcBorders>
              <w:top w:val="single" w:sz="4" w:space="0" w:color="585858"/>
              <w:bottom w:val="single" w:sz="4" w:space="0" w:color="585858"/>
            </w:tcBorders>
          </w:tcPr>
          <w:p>
            <w:pPr>
              <w:pStyle w:val="TableParagraph"/>
              <w:spacing w:line="181" w:lineRule="exact" w:before="41"/>
              <w:ind w:left="191"/>
              <w:rPr>
                <w:sz w:val="16"/>
              </w:rPr>
            </w:pPr>
            <w:r>
              <w:rPr>
                <w:sz w:val="16"/>
              </w:rPr>
              <w:t>56.7</w:t>
            </w:r>
          </w:p>
        </w:tc>
      </w:tr>
      <w:tr>
        <w:trPr>
          <w:trHeight w:val="246" w:hRule="atLeast"/>
        </w:trPr>
        <w:tc>
          <w:tcPr>
            <w:tcW w:w="2922" w:type="dxa"/>
            <w:tcBorders>
              <w:top w:val="single" w:sz="4" w:space="0" w:color="585858"/>
              <w:bottom w:val="single" w:sz="4" w:space="0" w:color="585858"/>
            </w:tcBorders>
          </w:tcPr>
          <w:p>
            <w:pPr>
              <w:pStyle w:val="TableParagraph"/>
              <w:spacing w:line="181" w:lineRule="exact" w:before="45"/>
              <w:ind w:left="114"/>
              <w:rPr>
                <w:sz w:val="16"/>
              </w:rPr>
            </w:pPr>
            <w:r>
              <w:rPr>
                <w:sz w:val="16"/>
              </w:rPr>
              <w:t>Conditions or Disabilities</w:t>
            </w:r>
          </w:p>
        </w:tc>
        <w:tc>
          <w:tcPr>
            <w:tcW w:w="715" w:type="dxa"/>
            <w:tcBorders>
              <w:top w:val="single" w:sz="4" w:space="0" w:color="585858"/>
              <w:bottom w:val="single" w:sz="4" w:space="0" w:color="585858"/>
            </w:tcBorders>
          </w:tcPr>
          <w:p>
            <w:pPr>
              <w:pStyle w:val="TableParagraph"/>
              <w:spacing w:before="0"/>
              <w:rPr>
                <w:rFonts w:ascii="Times New Roman"/>
                <w:sz w:val="16"/>
              </w:rPr>
            </w:pPr>
          </w:p>
        </w:tc>
        <w:tc>
          <w:tcPr>
            <w:tcW w:w="1282" w:type="dxa"/>
            <w:gridSpan w:val="2"/>
            <w:tcBorders>
              <w:top w:val="single" w:sz="4" w:space="0" w:color="585858"/>
              <w:bottom w:val="single" w:sz="4" w:space="0" w:color="585858"/>
            </w:tcBorders>
          </w:tcPr>
          <w:p>
            <w:pPr>
              <w:pStyle w:val="TableParagraph"/>
              <w:spacing w:before="0"/>
              <w:rPr>
                <w:rFonts w:ascii="Times New Roman"/>
                <w:sz w:val="16"/>
              </w:rPr>
            </w:pPr>
          </w:p>
        </w:tc>
        <w:tc>
          <w:tcPr>
            <w:tcW w:w="746" w:type="dxa"/>
            <w:tcBorders>
              <w:top w:val="single" w:sz="4" w:space="0" w:color="585858"/>
              <w:bottom w:val="single" w:sz="4" w:space="0" w:color="585858"/>
            </w:tcBorders>
          </w:tcPr>
          <w:p>
            <w:pPr>
              <w:pStyle w:val="TableParagraph"/>
              <w:spacing w:before="0"/>
              <w:rPr>
                <w:rFonts w:ascii="Times New Roman"/>
                <w:sz w:val="16"/>
              </w:rPr>
            </w:pPr>
          </w:p>
        </w:tc>
        <w:tc>
          <w:tcPr>
            <w:tcW w:w="1218" w:type="dxa"/>
            <w:gridSpan w:val="2"/>
            <w:tcBorders>
              <w:top w:val="single" w:sz="4" w:space="0" w:color="585858"/>
              <w:bottom w:val="single" w:sz="4" w:space="0" w:color="585858"/>
            </w:tcBorders>
          </w:tcPr>
          <w:p>
            <w:pPr>
              <w:pStyle w:val="TableParagraph"/>
              <w:spacing w:before="0"/>
              <w:rPr>
                <w:rFonts w:ascii="Times New Roman"/>
                <w:sz w:val="16"/>
              </w:rPr>
            </w:pPr>
          </w:p>
        </w:tc>
        <w:tc>
          <w:tcPr>
            <w:tcW w:w="812" w:type="dxa"/>
            <w:tcBorders>
              <w:top w:val="single" w:sz="4" w:space="0" w:color="585858"/>
              <w:bottom w:val="single" w:sz="4" w:space="0" w:color="585858"/>
            </w:tcBorders>
          </w:tcPr>
          <w:p>
            <w:pPr>
              <w:pStyle w:val="TableParagraph"/>
              <w:spacing w:before="0"/>
              <w:rPr>
                <w:rFonts w:ascii="Times New Roman"/>
                <w:sz w:val="16"/>
              </w:rPr>
            </w:pPr>
          </w:p>
        </w:tc>
        <w:tc>
          <w:tcPr>
            <w:tcW w:w="1256" w:type="dxa"/>
            <w:gridSpan w:val="2"/>
            <w:tcBorders>
              <w:top w:val="single" w:sz="4" w:space="0" w:color="585858"/>
              <w:bottom w:val="single" w:sz="4" w:space="0" w:color="585858"/>
            </w:tcBorders>
          </w:tcPr>
          <w:p>
            <w:pPr>
              <w:pStyle w:val="TableParagraph"/>
              <w:spacing w:before="0"/>
              <w:rPr>
                <w:rFonts w:ascii="Times New Roman"/>
                <w:sz w:val="16"/>
              </w:rPr>
            </w:pPr>
          </w:p>
        </w:tc>
        <w:tc>
          <w:tcPr>
            <w:tcW w:w="770" w:type="dxa"/>
            <w:tcBorders>
              <w:top w:val="single" w:sz="4" w:space="0" w:color="585858"/>
              <w:bottom w:val="single" w:sz="4" w:space="0" w:color="585858"/>
            </w:tcBorders>
          </w:tcPr>
          <w:p>
            <w:pPr>
              <w:pStyle w:val="TableParagraph"/>
              <w:spacing w:before="0"/>
              <w:rPr>
                <w:rFonts w:ascii="Times New Roman"/>
                <w:sz w:val="16"/>
              </w:rPr>
            </w:pPr>
          </w:p>
        </w:tc>
        <w:tc>
          <w:tcPr>
            <w:tcW w:w="1284" w:type="dxa"/>
            <w:gridSpan w:val="2"/>
            <w:tcBorders>
              <w:top w:val="single" w:sz="4" w:space="0" w:color="585858"/>
              <w:bottom w:val="single" w:sz="4" w:space="0" w:color="585858"/>
            </w:tcBorders>
          </w:tcPr>
          <w:p>
            <w:pPr>
              <w:pStyle w:val="TableParagraph"/>
              <w:spacing w:before="0"/>
              <w:rPr>
                <w:rFonts w:ascii="Times New Roman"/>
                <w:sz w:val="16"/>
              </w:rPr>
            </w:pPr>
          </w:p>
        </w:tc>
        <w:tc>
          <w:tcPr>
            <w:tcW w:w="790" w:type="dxa"/>
            <w:tcBorders>
              <w:top w:val="single" w:sz="4" w:space="0" w:color="585858"/>
              <w:bottom w:val="single" w:sz="4" w:space="0" w:color="585858"/>
            </w:tcBorders>
          </w:tcPr>
          <w:p>
            <w:pPr>
              <w:pStyle w:val="TableParagraph"/>
              <w:spacing w:before="0"/>
              <w:rPr>
                <w:rFonts w:ascii="Times New Roman"/>
                <w:sz w:val="16"/>
              </w:rPr>
            </w:pPr>
          </w:p>
        </w:tc>
        <w:tc>
          <w:tcPr>
            <w:tcW w:w="1269" w:type="dxa"/>
            <w:gridSpan w:val="2"/>
            <w:tcBorders>
              <w:top w:val="single" w:sz="4" w:space="0" w:color="585858"/>
              <w:bottom w:val="single" w:sz="4" w:space="0" w:color="585858"/>
            </w:tcBorders>
          </w:tcPr>
          <w:p>
            <w:pPr>
              <w:pStyle w:val="TableParagraph"/>
              <w:spacing w:before="0"/>
              <w:rPr>
                <w:rFonts w:ascii="Times New Roman"/>
                <w:sz w:val="16"/>
              </w:rPr>
            </w:pPr>
          </w:p>
        </w:tc>
      </w:tr>
      <w:tr>
        <w:trPr>
          <w:trHeight w:val="242"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Autism spectrum disorders</w:t>
            </w:r>
          </w:p>
        </w:tc>
        <w:tc>
          <w:tcPr>
            <w:tcW w:w="715" w:type="dxa"/>
            <w:tcBorders>
              <w:top w:val="single" w:sz="4" w:space="0" w:color="585858"/>
              <w:bottom w:val="single" w:sz="4" w:space="0" w:color="585858"/>
            </w:tcBorders>
          </w:tcPr>
          <w:p>
            <w:pPr>
              <w:pStyle w:val="TableParagraph"/>
              <w:spacing w:line="181" w:lineRule="exact" w:before="41"/>
              <w:ind w:right="139"/>
              <w:jc w:val="right"/>
              <w:rPr>
                <w:sz w:val="16"/>
              </w:rPr>
            </w:pPr>
            <w:r>
              <w:rPr>
                <w:sz w:val="16"/>
              </w:rPr>
              <w:t>&lt;10</w:t>
            </w:r>
          </w:p>
        </w:tc>
        <w:tc>
          <w:tcPr>
            <w:tcW w:w="646" w:type="dxa"/>
            <w:tcBorders>
              <w:top w:val="single" w:sz="4" w:space="0" w:color="585858"/>
              <w:bottom w:val="single" w:sz="4" w:space="0" w:color="585858"/>
            </w:tcBorders>
          </w:tcPr>
          <w:p>
            <w:pPr>
              <w:pStyle w:val="TableParagraph"/>
              <w:spacing w:line="181" w:lineRule="exact" w:before="41"/>
              <w:ind w:right="106"/>
              <w:jc w:val="right"/>
              <w:rPr>
                <w:sz w:val="16"/>
              </w:rPr>
            </w:pPr>
            <w:r>
              <w:rPr>
                <w:sz w:val="16"/>
              </w:rPr>
              <w:t>0.2</w:t>
            </w:r>
          </w:p>
        </w:tc>
        <w:tc>
          <w:tcPr>
            <w:tcW w:w="636" w:type="dxa"/>
            <w:tcBorders>
              <w:top w:val="single" w:sz="4" w:space="0" w:color="585858"/>
              <w:bottom w:val="single" w:sz="4" w:space="0" w:color="585858"/>
            </w:tcBorders>
          </w:tcPr>
          <w:p>
            <w:pPr>
              <w:pStyle w:val="TableParagraph"/>
              <w:spacing w:line="181" w:lineRule="exact" w:before="41"/>
              <w:ind w:left="111"/>
              <w:rPr>
                <w:sz w:val="16"/>
              </w:rPr>
            </w:pPr>
            <w:r>
              <w:rPr>
                <w:sz w:val="16"/>
              </w:rPr>
              <w:t>%!</w:t>
            </w:r>
          </w:p>
        </w:tc>
        <w:tc>
          <w:tcPr>
            <w:tcW w:w="746" w:type="dxa"/>
            <w:tcBorders>
              <w:top w:val="single" w:sz="4" w:space="0" w:color="585858"/>
              <w:bottom w:val="single" w:sz="4" w:space="0" w:color="585858"/>
            </w:tcBorders>
          </w:tcPr>
          <w:p>
            <w:pPr>
              <w:pStyle w:val="TableParagraph"/>
              <w:spacing w:line="181" w:lineRule="exact" w:before="41"/>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1"/>
              <w:ind w:right="104"/>
              <w:jc w:val="right"/>
              <w:rPr>
                <w:sz w:val="16"/>
              </w:rPr>
            </w:pPr>
            <w:r>
              <w:rPr>
                <w:sz w:val="16"/>
              </w:rPr>
              <w:t>0.8</w:t>
            </w:r>
          </w:p>
        </w:tc>
        <w:tc>
          <w:tcPr>
            <w:tcW w:w="574" w:type="dxa"/>
            <w:tcBorders>
              <w:top w:val="single" w:sz="4" w:space="0" w:color="585858"/>
              <w:bottom w:val="single" w:sz="4" w:space="0" w:color="585858"/>
            </w:tcBorders>
          </w:tcPr>
          <w:p>
            <w:pPr>
              <w:pStyle w:val="TableParagraph"/>
              <w:spacing w:line="181" w:lineRule="exact" w:before="41"/>
              <w:ind w:left="113"/>
              <w:rPr>
                <w:sz w:val="16"/>
              </w:rPr>
            </w:pPr>
            <w:r>
              <w:rPr>
                <w:sz w:val="16"/>
              </w:rPr>
              <w:t>%!</w:t>
            </w:r>
          </w:p>
        </w:tc>
        <w:tc>
          <w:tcPr>
            <w:tcW w:w="812"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12</w:t>
            </w:r>
          </w:p>
        </w:tc>
        <w:tc>
          <w:tcPr>
            <w:tcW w:w="1256" w:type="dxa"/>
            <w:gridSpan w:val="2"/>
            <w:tcBorders>
              <w:top w:val="single" w:sz="4" w:space="0" w:color="585858"/>
              <w:bottom w:val="single" w:sz="4" w:space="0" w:color="585858"/>
            </w:tcBorders>
          </w:tcPr>
          <w:p>
            <w:pPr>
              <w:pStyle w:val="TableParagraph"/>
              <w:tabs>
                <w:tab w:pos="758" w:val="left" w:leader="none"/>
              </w:tabs>
              <w:spacing w:line="181" w:lineRule="exact" w:before="41"/>
              <w:ind w:left="319"/>
              <w:rPr>
                <w:sz w:val="16"/>
              </w:rPr>
            </w:pPr>
            <w:r>
              <w:rPr>
                <w:sz w:val="16"/>
              </w:rPr>
              <w:t>0.8</w:t>
              <w:tab/>
              <w:t>%</w:t>
            </w:r>
          </w:p>
        </w:tc>
        <w:tc>
          <w:tcPr>
            <w:tcW w:w="770" w:type="dxa"/>
            <w:tcBorders>
              <w:top w:val="single" w:sz="4" w:space="0" w:color="585858"/>
              <w:bottom w:val="single" w:sz="4" w:space="0" w:color="585858"/>
            </w:tcBorders>
          </w:tcPr>
          <w:p>
            <w:pPr>
              <w:pStyle w:val="TableParagraph"/>
              <w:spacing w:line="181" w:lineRule="exact" w:before="41"/>
              <w:ind w:right="131"/>
              <w:jc w:val="right"/>
              <w:rPr>
                <w:sz w:val="16"/>
              </w:rPr>
            </w:pPr>
            <w:r>
              <w:rPr>
                <w:sz w:val="16"/>
              </w:rPr>
              <w:t>&lt;10</w:t>
            </w:r>
          </w:p>
        </w:tc>
        <w:tc>
          <w:tcPr>
            <w:tcW w:w="646" w:type="dxa"/>
            <w:tcBorders>
              <w:top w:val="single" w:sz="4" w:space="0" w:color="585858"/>
              <w:bottom w:val="single" w:sz="4" w:space="0" w:color="585858"/>
            </w:tcBorders>
          </w:tcPr>
          <w:p>
            <w:pPr>
              <w:pStyle w:val="TableParagraph"/>
              <w:spacing w:line="181" w:lineRule="exact" w:before="41"/>
              <w:ind w:right="102"/>
              <w:jc w:val="right"/>
              <w:rPr>
                <w:sz w:val="16"/>
              </w:rPr>
            </w:pPr>
            <w:r>
              <w:rPr>
                <w:sz w:val="16"/>
              </w:rPr>
              <w:t>1.0</w:t>
            </w:r>
          </w:p>
        </w:tc>
        <w:tc>
          <w:tcPr>
            <w:tcW w:w="638" w:type="dxa"/>
            <w:tcBorders>
              <w:top w:val="single" w:sz="4" w:space="0" w:color="585858"/>
              <w:bottom w:val="single" w:sz="4" w:space="0" w:color="585858"/>
            </w:tcBorders>
          </w:tcPr>
          <w:p>
            <w:pPr>
              <w:pStyle w:val="TableParagraph"/>
              <w:spacing w:line="181" w:lineRule="exact" w:before="41"/>
              <w:ind w:left="119"/>
              <w:rPr>
                <w:sz w:val="16"/>
              </w:rPr>
            </w:pPr>
            <w:r>
              <w:rPr>
                <w:sz w:val="16"/>
              </w:rPr>
              <w:t>%!</w:t>
            </w:r>
          </w:p>
        </w:tc>
        <w:tc>
          <w:tcPr>
            <w:tcW w:w="790" w:type="dxa"/>
            <w:tcBorders>
              <w:top w:val="single" w:sz="4" w:space="0" w:color="585858"/>
              <w:bottom w:val="single" w:sz="4" w:space="0" w:color="585858"/>
            </w:tcBorders>
          </w:tcPr>
          <w:p>
            <w:pPr>
              <w:pStyle w:val="TableParagraph"/>
              <w:spacing w:line="181" w:lineRule="exact" w:before="4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1"/>
              <w:ind w:right="100"/>
              <w:jc w:val="right"/>
              <w:rPr>
                <w:sz w:val="16"/>
              </w:rPr>
            </w:pPr>
            <w:r>
              <w:rPr>
                <w:sz w:val="16"/>
              </w:rPr>
              <w:t>8.2</w:t>
            </w:r>
          </w:p>
        </w:tc>
        <w:tc>
          <w:tcPr>
            <w:tcW w:w="667" w:type="dxa"/>
            <w:tcBorders>
              <w:top w:val="single" w:sz="4" w:space="0" w:color="585858"/>
              <w:bottom w:val="single" w:sz="4" w:space="0" w:color="585858"/>
            </w:tcBorders>
          </w:tcPr>
          <w:p>
            <w:pPr>
              <w:pStyle w:val="TableParagraph"/>
              <w:spacing w:line="181" w:lineRule="exact" w:before="41"/>
              <w:ind w:left="121"/>
              <w:rPr>
                <w:sz w:val="16"/>
              </w:rPr>
            </w:pPr>
            <w:r>
              <w:rPr>
                <w:sz w:val="16"/>
              </w:rPr>
              <w:t>%!</w:t>
            </w:r>
          </w:p>
        </w:tc>
      </w:tr>
      <w:tr>
        <w:trPr>
          <w:trHeight w:val="245" w:hRule="atLeast"/>
        </w:trPr>
        <w:tc>
          <w:tcPr>
            <w:tcW w:w="2922" w:type="dxa"/>
            <w:tcBorders>
              <w:top w:val="single" w:sz="4" w:space="0" w:color="585858"/>
              <w:bottom w:val="single" w:sz="4" w:space="0" w:color="585858"/>
            </w:tcBorders>
          </w:tcPr>
          <w:p>
            <w:pPr>
              <w:pStyle w:val="TableParagraph"/>
              <w:spacing w:line="181" w:lineRule="exact" w:before="45"/>
              <w:ind w:right="394"/>
              <w:jc w:val="right"/>
              <w:rPr>
                <w:sz w:val="16"/>
              </w:rPr>
            </w:pPr>
            <w:r>
              <w:rPr>
                <w:sz w:val="16"/>
              </w:rPr>
              <w:t>Blindness of visual impairment</w:t>
            </w:r>
          </w:p>
        </w:tc>
        <w:tc>
          <w:tcPr>
            <w:tcW w:w="715" w:type="dxa"/>
            <w:tcBorders>
              <w:top w:val="single" w:sz="4" w:space="0" w:color="585858"/>
              <w:bottom w:val="single" w:sz="4" w:space="0" w:color="585858"/>
            </w:tcBorders>
          </w:tcPr>
          <w:p>
            <w:pPr>
              <w:pStyle w:val="TableParagraph"/>
              <w:spacing w:line="181" w:lineRule="exact" w:before="45"/>
              <w:ind w:right="139"/>
              <w:jc w:val="right"/>
              <w:rPr>
                <w:sz w:val="16"/>
              </w:rPr>
            </w:pPr>
            <w:r>
              <w:rPr>
                <w:sz w:val="16"/>
              </w:rPr>
              <w:t>&lt;10</w:t>
            </w:r>
          </w:p>
        </w:tc>
        <w:tc>
          <w:tcPr>
            <w:tcW w:w="646" w:type="dxa"/>
            <w:tcBorders>
              <w:top w:val="single" w:sz="4" w:space="0" w:color="585858"/>
              <w:bottom w:val="single" w:sz="4" w:space="0" w:color="585858"/>
            </w:tcBorders>
          </w:tcPr>
          <w:p>
            <w:pPr>
              <w:pStyle w:val="TableParagraph"/>
              <w:spacing w:line="181" w:lineRule="exact" w:before="45"/>
              <w:ind w:right="106"/>
              <w:jc w:val="right"/>
              <w:rPr>
                <w:sz w:val="16"/>
              </w:rPr>
            </w:pPr>
            <w:r>
              <w:rPr>
                <w:sz w:val="16"/>
              </w:rPr>
              <w:t>0.6</w:t>
            </w:r>
          </w:p>
        </w:tc>
        <w:tc>
          <w:tcPr>
            <w:tcW w:w="636" w:type="dxa"/>
            <w:tcBorders>
              <w:top w:val="single" w:sz="4" w:space="0" w:color="585858"/>
              <w:bottom w:val="single" w:sz="4" w:space="0" w:color="585858"/>
            </w:tcBorders>
          </w:tcPr>
          <w:p>
            <w:pPr>
              <w:pStyle w:val="TableParagraph"/>
              <w:spacing w:line="181" w:lineRule="exact" w:before="45"/>
              <w:ind w:left="111"/>
              <w:rPr>
                <w:sz w:val="16"/>
              </w:rPr>
            </w:pPr>
            <w:r>
              <w:rPr>
                <w:sz w:val="16"/>
              </w:rPr>
              <w:t>!</w:t>
            </w:r>
          </w:p>
        </w:tc>
        <w:tc>
          <w:tcPr>
            <w:tcW w:w="746" w:type="dxa"/>
            <w:tcBorders>
              <w:top w:val="single" w:sz="4" w:space="0" w:color="585858"/>
              <w:bottom w:val="single" w:sz="4" w:space="0" w:color="585858"/>
            </w:tcBorders>
          </w:tcPr>
          <w:p>
            <w:pPr>
              <w:pStyle w:val="TableParagraph"/>
              <w:spacing w:line="181" w:lineRule="exact" w:before="45"/>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5"/>
              <w:ind w:right="104"/>
              <w:jc w:val="right"/>
              <w:rPr>
                <w:sz w:val="16"/>
              </w:rPr>
            </w:pPr>
            <w:r>
              <w:rPr>
                <w:sz w:val="16"/>
              </w:rPr>
              <w:t>0.3</w:t>
            </w:r>
          </w:p>
        </w:tc>
        <w:tc>
          <w:tcPr>
            <w:tcW w:w="574" w:type="dxa"/>
            <w:tcBorders>
              <w:top w:val="single" w:sz="4" w:space="0" w:color="585858"/>
              <w:bottom w:val="single" w:sz="4" w:space="0" w:color="585858"/>
            </w:tcBorders>
          </w:tcPr>
          <w:p>
            <w:pPr>
              <w:pStyle w:val="TableParagraph"/>
              <w:spacing w:line="181" w:lineRule="exact" w:before="45"/>
              <w:ind w:left="113"/>
              <w:rPr>
                <w:sz w:val="16"/>
              </w:rPr>
            </w:pPr>
            <w:r>
              <w:rPr>
                <w:sz w:val="16"/>
              </w:rPr>
              <w:t>!</w:t>
            </w:r>
          </w:p>
        </w:tc>
        <w:tc>
          <w:tcPr>
            <w:tcW w:w="812" w:type="dxa"/>
            <w:tcBorders>
              <w:top w:val="single" w:sz="4" w:space="0" w:color="585858"/>
              <w:bottom w:val="single" w:sz="4" w:space="0" w:color="585858"/>
            </w:tcBorders>
          </w:tcPr>
          <w:p>
            <w:pPr>
              <w:pStyle w:val="TableParagraph"/>
              <w:spacing w:line="181" w:lineRule="exact" w:before="45"/>
              <w:ind w:right="133"/>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5"/>
              <w:ind w:right="102"/>
              <w:jc w:val="right"/>
              <w:rPr>
                <w:sz w:val="16"/>
              </w:rPr>
            </w:pPr>
            <w:r>
              <w:rPr>
                <w:sz w:val="16"/>
              </w:rPr>
              <w:t>0.6</w:t>
            </w:r>
          </w:p>
        </w:tc>
        <w:tc>
          <w:tcPr>
            <w:tcW w:w="612" w:type="dxa"/>
            <w:tcBorders>
              <w:top w:val="single" w:sz="4" w:space="0" w:color="585858"/>
              <w:bottom w:val="single" w:sz="4" w:space="0" w:color="585858"/>
            </w:tcBorders>
          </w:tcPr>
          <w:p>
            <w:pPr>
              <w:pStyle w:val="TableParagraph"/>
              <w:spacing w:line="181" w:lineRule="exact" w:before="45"/>
              <w:ind w:left="115"/>
              <w:rPr>
                <w:sz w:val="16"/>
              </w:rPr>
            </w:pPr>
            <w:r>
              <w:rPr>
                <w:sz w:val="16"/>
              </w:rPr>
              <w:t>!</w:t>
            </w:r>
          </w:p>
        </w:tc>
        <w:tc>
          <w:tcPr>
            <w:tcW w:w="770" w:type="dxa"/>
            <w:tcBorders>
              <w:top w:val="single" w:sz="4" w:space="0" w:color="585858"/>
              <w:bottom w:val="single" w:sz="4" w:space="0" w:color="585858"/>
            </w:tcBorders>
          </w:tcPr>
          <w:p>
            <w:pPr>
              <w:pStyle w:val="TableParagraph"/>
              <w:spacing w:line="181" w:lineRule="exact" w:before="45"/>
              <w:ind w:right="131"/>
              <w:jc w:val="right"/>
              <w:rPr>
                <w:sz w:val="16"/>
              </w:rPr>
            </w:pPr>
            <w:r>
              <w:rPr>
                <w:sz w:val="16"/>
              </w:rPr>
              <w:t>&lt;10</w:t>
            </w:r>
          </w:p>
        </w:tc>
        <w:tc>
          <w:tcPr>
            <w:tcW w:w="646" w:type="dxa"/>
            <w:tcBorders>
              <w:top w:val="single" w:sz="4" w:space="0" w:color="585858"/>
              <w:bottom w:val="single" w:sz="4" w:space="0" w:color="585858"/>
            </w:tcBorders>
          </w:tcPr>
          <w:p>
            <w:pPr>
              <w:pStyle w:val="TableParagraph"/>
              <w:spacing w:line="181" w:lineRule="exact" w:before="45"/>
              <w:ind w:right="102"/>
              <w:jc w:val="right"/>
              <w:rPr>
                <w:sz w:val="16"/>
              </w:rPr>
            </w:pPr>
            <w:r>
              <w:rPr>
                <w:sz w:val="16"/>
              </w:rPr>
              <w:t>0.6</w:t>
            </w:r>
          </w:p>
        </w:tc>
        <w:tc>
          <w:tcPr>
            <w:tcW w:w="638" w:type="dxa"/>
            <w:tcBorders>
              <w:top w:val="single" w:sz="4" w:space="0" w:color="585858"/>
              <w:bottom w:val="single" w:sz="4" w:space="0" w:color="585858"/>
            </w:tcBorders>
          </w:tcPr>
          <w:p>
            <w:pPr>
              <w:pStyle w:val="TableParagraph"/>
              <w:spacing w:line="181" w:lineRule="exact" w:before="45"/>
              <w:ind w:left="119"/>
              <w:rPr>
                <w:sz w:val="16"/>
              </w:rPr>
            </w:pPr>
            <w:r>
              <w:rPr>
                <w:sz w:val="16"/>
              </w:rPr>
              <w:t>!</w:t>
            </w:r>
          </w:p>
        </w:tc>
        <w:tc>
          <w:tcPr>
            <w:tcW w:w="790" w:type="dxa"/>
            <w:tcBorders>
              <w:top w:val="single" w:sz="4" w:space="0" w:color="585858"/>
              <w:bottom w:val="single" w:sz="4" w:space="0" w:color="585858"/>
            </w:tcBorders>
          </w:tcPr>
          <w:p>
            <w:pPr>
              <w:pStyle w:val="TableParagraph"/>
              <w:spacing w:line="181" w:lineRule="exact" w:before="45"/>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5"/>
              <w:ind w:right="100"/>
              <w:jc w:val="right"/>
              <w:rPr>
                <w:sz w:val="16"/>
              </w:rPr>
            </w:pPr>
            <w:r>
              <w:rPr>
                <w:sz w:val="16"/>
              </w:rPr>
              <w:t>1.0</w:t>
            </w:r>
          </w:p>
        </w:tc>
        <w:tc>
          <w:tcPr>
            <w:tcW w:w="667" w:type="dxa"/>
            <w:tcBorders>
              <w:top w:val="single" w:sz="4" w:space="0" w:color="585858"/>
              <w:bottom w:val="single" w:sz="4" w:space="0" w:color="585858"/>
            </w:tcBorders>
          </w:tcPr>
          <w:p>
            <w:pPr>
              <w:pStyle w:val="TableParagraph"/>
              <w:spacing w:line="181" w:lineRule="exact" w:before="45"/>
              <w:ind w:left="121"/>
              <w:rPr>
                <w:sz w:val="16"/>
              </w:rPr>
            </w:pPr>
            <w:r>
              <w:rPr>
                <w:sz w:val="16"/>
              </w:rPr>
              <w:t>!</w:t>
            </w:r>
          </w:p>
        </w:tc>
      </w:tr>
      <w:tr>
        <w:trPr>
          <w:trHeight w:val="242"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Brain injury</w:t>
            </w:r>
          </w:p>
        </w:tc>
        <w:tc>
          <w:tcPr>
            <w:tcW w:w="715" w:type="dxa"/>
            <w:tcBorders>
              <w:top w:val="single" w:sz="4" w:space="0" w:color="585858"/>
              <w:bottom w:val="single" w:sz="4" w:space="0" w:color="585858"/>
            </w:tcBorders>
          </w:tcPr>
          <w:p>
            <w:pPr>
              <w:pStyle w:val="TableParagraph"/>
              <w:spacing w:line="181" w:lineRule="exact" w:before="41"/>
              <w:ind w:right="139"/>
              <w:jc w:val="right"/>
              <w:rPr>
                <w:sz w:val="16"/>
              </w:rPr>
            </w:pPr>
            <w:r>
              <w:rPr>
                <w:sz w:val="16"/>
              </w:rPr>
              <w:t>&lt;10</w:t>
            </w:r>
          </w:p>
        </w:tc>
        <w:tc>
          <w:tcPr>
            <w:tcW w:w="646" w:type="dxa"/>
            <w:tcBorders>
              <w:top w:val="single" w:sz="4" w:space="0" w:color="585858"/>
              <w:bottom w:val="single" w:sz="4" w:space="0" w:color="585858"/>
            </w:tcBorders>
          </w:tcPr>
          <w:p>
            <w:pPr>
              <w:pStyle w:val="TableParagraph"/>
              <w:spacing w:line="181" w:lineRule="exact" w:before="41"/>
              <w:ind w:right="106"/>
              <w:jc w:val="right"/>
              <w:rPr>
                <w:sz w:val="16"/>
              </w:rPr>
            </w:pPr>
            <w:r>
              <w:rPr>
                <w:sz w:val="16"/>
              </w:rPr>
              <w:t>1.0</w:t>
            </w:r>
          </w:p>
        </w:tc>
        <w:tc>
          <w:tcPr>
            <w:tcW w:w="636" w:type="dxa"/>
            <w:tcBorders>
              <w:top w:val="single" w:sz="4" w:space="0" w:color="585858"/>
              <w:bottom w:val="single" w:sz="4" w:space="0" w:color="585858"/>
            </w:tcBorders>
          </w:tcPr>
          <w:p>
            <w:pPr>
              <w:pStyle w:val="TableParagraph"/>
              <w:spacing w:line="181" w:lineRule="exact" w:before="41"/>
              <w:ind w:left="111"/>
              <w:rPr>
                <w:sz w:val="16"/>
              </w:rPr>
            </w:pPr>
            <w:r>
              <w:rPr>
                <w:sz w:val="16"/>
              </w:rPr>
              <w:t>!</w:t>
            </w:r>
          </w:p>
        </w:tc>
        <w:tc>
          <w:tcPr>
            <w:tcW w:w="746" w:type="dxa"/>
            <w:tcBorders>
              <w:top w:val="single" w:sz="4" w:space="0" w:color="585858"/>
              <w:bottom w:val="single" w:sz="4" w:space="0" w:color="585858"/>
            </w:tcBorders>
          </w:tcPr>
          <w:p>
            <w:pPr>
              <w:pStyle w:val="TableParagraph"/>
              <w:spacing w:line="181" w:lineRule="exact" w:before="41"/>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1"/>
              <w:ind w:right="104"/>
              <w:jc w:val="right"/>
              <w:rPr>
                <w:sz w:val="16"/>
              </w:rPr>
            </w:pPr>
            <w:r>
              <w:rPr>
                <w:sz w:val="16"/>
              </w:rPr>
              <w:t>0.3</w:t>
            </w:r>
          </w:p>
        </w:tc>
        <w:tc>
          <w:tcPr>
            <w:tcW w:w="574" w:type="dxa"/>
            <w:tcBorders>
              <w:top w:val="single" w:sz="4" w:space="0" w:color="585858"/>
              <w:bottom w:val="single" w:sz="4" w:space="0" w:color="585858"/>
            </w:tcBorders>
          </w:tcPr>
          <w:p>
            <w:pPr>
              <w:pStyle w:val="TableParagraph"/>
              <w:spacing w:line="181" w:lineRule="exact" w:before="41"/>
              <w:ind w:left="113"/>
              <w:rPr>
                <w:sz w:val="16"/>
              </w:rPr>
            </w:pPr>
            <w:r>
              <w:rPr>
                <w:sz w:val="16"/>
              </w:rPr>
              <w:t>!</w:t>
            </w:r>
          </w:p>
        </w:tc>
        <w:tc>
          <w:tcPr>
            <w:tcW w:w="812" w:type="dxa"/>
            <w:tcBorders>
              <w:top w:val="single" w:sz="4" w:space="0" w:color="585858"/>
              <w:bottom w:val="single" w:sz="4" w:space="0" w:color="585858"/>
            </w:tcBorders>
          </w:tcPr>
          <w:p>
            <w:pPr>
              <w:pStyle w:val="TableParagraph"/>
              <w:spacing w:line="181" w:lineRule="exact" w:before="41"/>
              <w:ind w:right="133"/>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1"/>
              <w:ind w:right="102"/>
              <w:jc w:val="right"/>
              <w:rPr>
                <w:sz w:val="16"/>
              </w:rPr>
            </w:pPr>
            <w:r>
              <w:rPr>
                <w:sz w:val="16"/>
              </w:rPr>
              <w:t>0.6</w:t>
            </w:r>
          </w:p>
        </w:tc>
        <w:tc>
          <w:tcPr>
            <w:tcW w:w="612" w:type="dxa"/>
            <w:tcBorders>
              <w:top w:val="single" w:sz="4" w:space="0" w:color="585858"/>
              <w:bottom w:val="single" w:sz="4" w:space="0" w:color="585858"/>
            </w:tcBorders>
          </w:tcPr>
          <w:p>
            <w:pPr>
              <w:pStyle w:val="TableParagraph"/>
              <w:spacing w:line="181" w:lineRule="exact" w:before="41"/>
              <w:ind w:left="115"/>
              <w:rPr>
                <w:sz w:val="16"/>
              </w:rPr>
            </w:pPr>
            <w:r>
              <w:rPr>
                <w:sz w:val="16"/>
              </w:rPr>
              <w:t>!</w:t>
            </w:r>
          </w:p>
        </w:tc>
        <w:tc>
          <w:tcPr>
            <w:tcW w:w="770" w:type="dxa"/>
            <w:tcBorders>
              <w:top w:val="single" w:sz="4" w:space="0" w:color="585858"/>
              <w:bottom w:val="single" w:sz="4" w:space="0" w:color="585858"/>
            </w:tcBorders>
          </w:tcPr>
          <w:p>
            <w:pPr>
              <w:pStyle w:val="TableParagraph"/>
              <w:spacing w:line="181" w:lineRule="exact" w:before="41"/>
              <w:ind w:right="131"/>
              <w:jc w:val="right"/>
              <w:rPr>
                <w:sz w:val="16"/>
              </w:rPr>
            </w:pPr>
            <w:r>
              <w:rPr>
                <w:sz w:val="16"/>
              </w:rPr>
              <w:t>&lt;10</w:t>
            </w:r>
          </w:p>
        </w:tc>
        <w:tc>
          <w:tcPr>
            <w:tcW w:w="646" w:type="dxa"/>
            <w:tcBorders>
              <w:top w:val="single" w:sz="4" w:space="0" w:color="585858"/>
              <w:bottom w:val="single" w:sz="4" w:space="0" w:color="585858"/>
            </w:tcBorders>
          </w:tcPr>
          <w:p>
            <w:pPr>
              <w:pStyle w:val="TableParagraph"/>
              <w:spacing w:line="181" w:lineRule="exact" w:before="41"/>
              <w:ind w:right="102"/>
              <w:jc w:val="right"/>
              <w:rPr>
                <w:sz w:val="16"/>
              </w:rPr>
            </w:pPr>
            <w:r>
              <w:rPr>
                <w:sz w:val="16"/>
              </w:rPr>
              <w:t>0.4</w:t>
            </w:r>
          </w:p>
        </w:tc>
        <w:tc>
          <w:tcPr>
            <w:tcW w:w="638" w:type="dxa"/>
            <w:tcBorders>
              <w:top w:val="single" w:sz="4" w:space="0" w:color="585858"/>
              <w:bottom w:val="single" w:sz="4" w:space="0" w:color="585858"/>
            </w:tcBorders>
          </w:tcPr>
          <w:p>
            <w:pPr>
              <w:pStyle w:val="TableParagraph"/>
              <w:spacing w:line="181" w:lineRule="exact" w:before="41"/>
              <w:ind w:left="119"/>
              <w:rPr>
                <w:sz w:val="16"/>
              </w:rPr>
            </w:pPr>
            <w:r>
              <w:rPr>
                <w:sz w:val="16"/>
              </w:rPr>
              <w:t>!</w:t>
            </w:r>
          </w:p>
        </w:tc>
        <w:tc>
          <w:tcPr>
            <w:tcW w:w="790" w:type="dxa"/>
            <w:tcBorders>
              <w:top w:val="single" w:sz="4" w:space="0" w:color="585858"/>
              <w:bottom w:val="single" w:sz="4" w:space="0" w:color="585858"/>
            </w:tcBorders>
          </w:tcPr>
          <w:p>
            <w:pPr>
              <w:pStyle w:val="TableParagraph"/>
              <w:spacing w:line="181" w:lineRule="exact" w:before="4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1"/>
              <w:ind w:right="100"/>
              <w:jc w:val="right"/>
              <w:rPr>
                <w:sz w:val="16"/>
              </w:rPr>
            </w:pPr>
            <w:r>
              <w:rPr>
                <w:sz w:val="16"/>
              </w:rPr>
              <w:t>1.0</w:t>
            </w:r>
          </w:p>
        </w:tc>
        <w:tc>
          <w:tcPr>
            <w:tcW w:w="667" w:type="dxa"/>
            <w:tcBorders>
              <w:top w:val="single" w:sz="4" w:space="0" w:color="585858"/>
              <w:bottom w:val="single" w:sz="4" w:space="0" w:color="585858"/>
            </w:tcBorders>
          </w:tcPr>
          <w:p>
            <w:pPr>
              <w:pStyle w:val="TableParagraph"/>
              <w:spacing w:line="181" w:lineRule="exact" w:before="41"/>
              <w:ind w:left="121"/>
              <w:rPr>
                <w:sz w:val="16"/>
              </w:rPr>
            </w:pPr>
            <w:r>
              <w:rPr>
                <w:sz w:val="16"/>
              </w:rPr>
              <w:t>!</w:t>
            </w:r>
          </w:p>
        </w:tc>
      </w:tr>
      <w:tr>
        <w:trPr>
          <w:trHeight w:val="246" w:hRule="atLeast"/>
        </w:trPr>
        <w:tc>
          <w:tcPr>
            <w:tcW w:w="2922" w:type="dxa"/>
            <w:tcBorders>
              <w:top w:val="single" w:sz="4" w:space="0" w:color="585858"/>
              <w:bottom w:val="single" w:sz="4" w:space="0" w:color="585858"/>
            </w:tcBorders>
          </w:tcPr>
          <w:p>
            <w:pPr>
              <w:pStyle w:val="TableParagraph"/>
              <w:spacing w:line="181" w:lineRule="exact" w:before="45"/>
              <w:ind w:left="370"/>
              <w:rPr>
                <w:sz w:val="16"/>
              </w:rPr>
            </w:pPr>
            <w:r>
              <w:rPr>
                <w:sz w:val="16"/>
              </w:rPr>
              <w:t>Chronic health conditions</w:t>
            </w:r>
          </w:p>
        </w:tc>
        <w:tc>
          <w:tcPr>
            <w:tcW w:w="715" w:type="dxa"/>
            <w:tcBorders>
              <w:top w:val="single" w:sz="4" w:space="0" w:color="585858"/>
              <w:bottom w:val="single" w:sz="4" w:space="0" w:color="585858"/>
            </w:tcBorders>
          </w:tcPr>
          <w:p>
            <w:pPr>
              <w:pStyle w:val="TableParagraph"/>
              <w:spacing w:line="181" w:lineRule="exact" w:before="45"/>
              <w:ind w:right="138"/>
              <w:jc w:val="right"/>
              <w:rPr>
                <w:sz w:val="16"/>
              </w:rPr>
            </w:pPr>
            <w:r>
              <w:rPr>
                <w:sz w:val="16"/>
              </w:rPr>
              <w:t>89</w:t>
            </w:r>
          </w:p>
        </w:tc>
        <w:tc>
          <w:tcPr>
            <w:tcW w:w="1282" w:type="dxa"/>
            <w:gridSpan w:val="2"/>
            <w:tcBorders>
              <w:top w:val="single" w:sz="4" w:space="0" w:color="585858"/>
              <w:bottom w:val="single" w:sz="4" w:space="0" w:color="585858"/>
            </w:tcBorders>
          </w:tcPr>
          <w:p>
            <w:pPr>
              <w:pStyle w:val="TableParagraph"/>
              <w:spacing w:line="181" w:lineRule="exact" w:before="45"/>
              <w:ind w:left="229"/>
              <w:rPr>
                <w:sz w:val="16"/>
              </w:rPr>
            </w:pPr>
            <w:r>
              <w:rPr>
                <w:sz w:val="16"/>
              </w:rPr>
              <w:t>11.1</w:t>
            </w:r>
          </w:p>
        </w:tc>
        <w:tc>
          <w:tcPr>
            <w:tcW w:w="746" w:type="dxa"/>
            <w:tcBorders>
              <w:top w:val="single" w:sz="4" w:space="0" w:color="585858"/>
              <w:bottom w:val="single" w:sz="4" w:space="0" w:color="585858"/>
            </w:tcBorders>
          </w:tcPr>
          <w:p>
            <w:pPr>
              <w:pStyle w:val="TableParagraph"/>
              <w:spacing w:line="181" w:lineRule="exact" w:before="45"/>
              <w:ind w:right="134"/>
              <w:jc w:val="right"/>
              <w:rPr>
                <w:sz w:val="16"/>
              </w:rPr>
            </w:pPr>
            <w:r>
              <w:rPr>
                <w:sz w:val="16"/>
              </w:rPr>
              <w:t>46</w:t>
            </w:r>
          </w:p>
        </w:tc>
        <w:tc>
          <w:tcPr>
            <w:tcW w:w="1218" w:type="dxa"/>
            <w:gridSpan w:val="2"/>
            <w:tcBorders>
              <w:top w:val="single" w:sz="4" w:space="0" w:color="585858"/>
              <w:bottom w:val="single" w:sz="4" w:space="0" w:color="585858"/>
            </w:tcBorders>
          </w:tcPr>
          <w:p>
            <w:pPr>
              <w:pStyle w:val="TableParagraph"/>
              <w:spacing w:line="181" w:lineRule="exact" w:before="45"/>
              <w:ind w:left="317"/>
              <w:rPr>
                <w:sz w:val="16"/>
              </w:rPr>
            </w:pPr>
            <w:r>
              <w:rPr>
                <w:sz w:val="16"/>
              </w:rPr>
              <w:t>7.2</w:t>
            </w:r>
          </w:p>
        </w:tc>
        <w:tc>
          <w:tcPr>
            <w:tcW w:w="812" w:type="dxa"/>
            <w:tcBorders>
              <w:top w:val="single" w:sz="4" w:space="0" w:color="585858"/>
              <w:bottom w:val="single" w:sz="4" w:space="0" w:color="585858"/>
            </w:tcBorders>
          </w:tcPr>
          <w:p>
            <w:pPr>
              <w:pStyle w:val="TableParagraph"/>
              <w:spacing w:line="181" w:lineRule="exact" w:before="45"/>
              <w:ind w:right="136"/>
              <w:jc w:val="right"/>
              <w:rPr>
                <w:sz w:val="16"/>
              </w:rPr>
            </w:pPr>
            <w:r>
              <w:rPr>
                <w:sz w:val="16"/>
              </w:rPr>
              <w:t>190</w:t>
            </w:r>
          </w:p>
        </w:tc>
        <w:tc>
          <w:tcPr>
            <w:tcW w:w="1256" w:type="dxa"/>
            <w:gridSpan w:val="2"/>
            <w:tcBorders>
              <w:top w:val="single" w:sz="4" w:space="0" w:color="585858"/>
              <w:bottom w:val="single" w:sz="4" w:space="0" w:color="585858"/>
            </w:tcBorders>
          </w:tcPr>
          <w:p>
            <w:pPr>
              <w:pStyle w:val="TableParagraph"/>
              <w:spacing w:line="181" w:lineRule="exact" w:before="45"/>
              <w:ind w:left="231"/>
              <w:rPr>
                <w:sz w:val="16"/>
              </w:rPr>
            </w:pPr>
            <w:r>
              <w:rPr>
                <w:sz w:val="16"/>
              </w:rPr>
              <w:t>12.9</w:t>
            </w:r>
          </w:p>
        </w:tc>
        <w:tc>
          <w:tcPr>
            <w:tcW w:w="770" w:type="dxa"/>
            <w:tcBorders>
              <w:top w:val="single" w:sz="4" w:space="0" w:color="585858"/>
              <w:bottom w:val="single" w:sz="4" w:space="0" w:color="585858"/>
            </w:tcBorders>
          </w:tcPr>
          <w:p>
            <w:pPr>
              <w:pStyle w:val="TableParagraph"/>
              <w:spacing w:line="181" w:lineRule="exact" w:before="45"/>
              <w:ind w:right="130"/>
              <w:jc w:val="right"/>
              <w:rPr>
                <w:sz w:val="16"/>
              </w:rPr>
            </w:pPr>
            <w:r>
              <w:rPr>
                <w:sz w:val="16"/>
              </w:rPr>
              <w:t>41</w:t>
            </w:r>
          </w:p>
        </w:tc>
        <w:tc>
          <w:tcPr>
            <w:tcW w:w="1284" w:type="dxa"/>
            <w:gridSpan w:val="2"/>
            <w:tcBorders>
              <w:top w:val="single" w:sz="4" w:space="0" w:color="585858"/>
              <w:bottom w:val="single" w:sz="4" w:space="0" w:color="585858"/>
            </w:tcBorders>
          </w:tcPr>
          <w:p>
            <w:pPr>
              <w:pStyle w:val="TableParagraph"/>
              <w:spacing w:line="181" w:lineRule="exact" w:before="45"/>
              <w:ind w:left="321"/>
              <w:rPr>
                <w:sz w:val="16"/>
              </w:rPr>
            </w:pPr>
            <w:r>
              <w:rPr>
                <w:sz w:val="16"/>
              </w:rPr>
              <w:t>6.0</w:t>
            </w:r>
          </w:p>
        </w:tc>
        <w:tc>
          <w:tcPr>
            <w:tcW w:w="790" w:type="dxa"/>
            <w:tcBorders>
              <w:top w:val="single" w:sz="4" w:space="0" w:color="585858"/>
              <w:bottom w:val="single" w:sz="4" w:space="0" w:color="585858"/>
            </w:tcBorders>
          </w:tcPr>
          <w:p>
            <w:pPr>
              <w:pStyle w:val="TableParagraph"/>
              <w:spacing w:line="181" w:lineRule="exact" w:before="45"/>
              <w:ind w:right="172"/>
              <w:jc w:val="right"/>
              <w:rPr>
                <w:sz w:val="16"/>
              </w:rPr>
            </w:pPr>
            <w:r>
              <w:rPr>
                <w:sz w:val="16"/>
              </w:rPr>
              <w:t>26</w:t>
            </w:r>
          </w:p>
        </w:tc>
        <w:tc>
          <w:tcPr>
            <w:tcW w:w="1269" w:type="dxa"/>
            <w:gridSpan w:val="2"/>
            <w:tcBorders>
              <w:top w:val="single" w:sz="4" w:space="0" w:color="585858"/>
              <w:bottom w:val="single" w:sz="4" w:space="0" w:color="585858"/>
            </w:tcBorders>
          </w:tcPr>
          <w:p>
            <w:pPr>
              <w:pStyle w:val="TableParagraph"/>
              <w:spacing w:line="181" w:lineRule="exact" w:before="45"/>
              <w:ind w:left="191"/>
              <w:rPr>
                <w:sz w:val="16"/>
              </w:rPr>
            </w:pPr>
            <w:r>
              <w:rPr>
                <w:sz w:val="16"/>
              </w:rPr>
              <w:t>26.8</w:t>
            </w:r>
          </w:p>
        </w:tc>
      </w:tr>
      <w:tr>
        <w:trPr>
          <w:trHeight w:val="241"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Deaf/Hard of hearing</w:t>
            </w:r>
          </w:p>
        </w:tc>
        <w:tc>
          <w:tcPr>
            <w:tcW w:w="715" w:type="dxa"/>
            <w:tcBorders>
              <w:top w:val="single" w:sz="4" w:space="0" w:color="585858"/>
              <w:bottom w:val="single" w:sz="4" w:space="0" w:color="585858"/>
            </w:tcBorders>
          </w:tcPr>
          <w:p>
            <w:pPr>
              <w:pStyle w:val="TableParagraph"/>
              <w:spacing w:line="181" w:lineRule="exact" w:before="41"/>
              <w:ind w:right="138"/>
              <w:jc w:val="right"/>
              <w:rPr>
                <w:sz w:val="16"/>
              </w:rPr>
            </w:pPr>
            <w:r>
              <w:rPr>
                <w:sz w:val="16"/>
              </w:rPr>
              <w:t>14</w:t>
            </w:r>
          </w:p>
        </w:tc>
        <w:tc>
          <w:tcPr>
            <w:tcW w:w="1282"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1.7</w:t>
            </w:r>
          </w:p>
        </w:tc>
        <w:tc>
          <w:tcPr>
            <w:tcW w:w="746" w:type="dxa"/>
            <w:tcBorders>
              <w:top w:val="single" w:sz="4" w:space="0" w:color="585858"/>
              <w:bottom w:val="single" w:sz="4" w:space="0" w:color="585858"/>
            </w:tcBorders>
          </w:tcPr>
          <w:p>
            <w:pPr>
              <w:pStyle w:val="TableParagraph"/>
              <w:spacing w:line="181" w:lineRule="exact" w:before="41"/>
              <w:ind w:right="134"/>
              <w:jc w:val="right"/>
              <w:rPr>
                <w:sz w:val="16"/>
              </w:rPr>
            </w:pPr>
            <w:r>
              <w:rPr>
                <w:sz w:val="16"/>
              </w:rPr>
              <w:t>19</w:t>
            </w:r>
          </w:p>
        </w:tc>
        <w:tc>
          <w:tcPr>
            <w:tcW w:w="1218"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3.0</w:t>
            </w:r>
          </w:p>
        </w:tc>
        <w:tc>
          <w:tcPr>
            <w:tcW w:w="812"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22</w:t>
            </w:r>
          </w:p>
        </w:tc>
        <w:tc>
          <w:tcPr>
            <w:tcW w:w="1256" w:type="dxa"/>
            <w:gridSpan w:val="2"/>
            <w:tcBorders>
              <w:top w:val="single" w:sz="4" w:space="0" w:color="585858"/>
              <w:bottom w:val="single" w:sz="4" w:space="0" w:color="585858"/>
            </w:tcBorders>
          </w:tcPr>
          <w:p>
            <w:pPr>
              <w:pStyle w:val="TableParagraph"/>
              <w:spacing w:line="181" w:lineRule="exact" w:before="41"/>
              <w:ind w:left="319"/>
              <w:rPr>
                <w:sz w:val="16"/>
              </w:rPr>
            </w:pPr>
            <w:r>
              <w:rPr>
                <w:sz w:val="16"/>
              </w:rPr>
              <w:t>1.5</w:t>
            </w:r>
          </w:p>
        </w:tc>
        <w:tc>
          <w:tcPr>
            <w:tcW w:w="770" w:type="dxa"/>
            <w:tcBorders>
              <w:top w:val="single" w:sz="4" w:space="0" w:color="585858"/>
              <w:bottom w:val="single" w:sz="4" w:space="0" w:color="585858"/>
            </w:tcBorders>
          </w:tcPr>
          <w:p>
            <w:pPr>
              <w:pStyle w:val="TableParagraph"/>
              <w:spacing w:line="181" w:lineRule="exact" w:before="41"/>
              <w:ind w:right="130"/>
              <w:jc w:val="right"/>
              <w:rPr>
                <w:sz w:val="16"/>
              </w:rPr>
            </w:pPr>
            <w:r>
              <w:rPr>
                <w:sz w:val="16"/>
              </w:rPr>
              <w:t>16</w:t>
            </w:r>
          </w:p>
        </w:tc>
        <w:tc>
          <w:tcPr>
            <w:tcW w:w="1284" w:type="dxa"/>
            <w:gridSpan w:val="2"/>
            <w:tcBorders>
              <w:top w:val="single" w:sz="4" w:space="0" w:color="585858"/>
              <w:bottom w:val="single" w:sz="4" w:space="0" w:color="585858"/>
            </w:tcBorders>
          </w:tcPr>
          <w:p>
            <w:pPr>
              <w:pStyle w:val="TableParagraph"/>
              <w:spacing w:line="181" w:lineRule="exact" w:before="41"/>
              <w:ind w:left="321"/>
              <w:rPr>
                <w:sz w:val="16"/>
              </w:rPr>
            </w:pPr>
            <w:r>
              <w:rPr>
                <w:sz w:val="16"/>
              </w:rPr>
              <w:t>2.3</w:t>
            </w:r>
          </w:p>
        </w:tc>
        <w:tc>
          <w:tcPr>
            <w:tcW w:w="790" w:type="dxa"/>
            <w:tcBorders>
              <w:top w:val="single" w:sz="4" w:space="0" w:color="585858"/>
              <w:bottom w:val="single" w:sz="4" w:space="0" w:color="585858"/>
            </w:tcBorders>
          </w:tcPr>
          <w:p>
            <w:pPr>
              <w:pStyle w:val="TableParagraph"/>
              <w:spacing w:line="181" w:lineRule="exact" w:before="4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1"/>
              <w:ind w:right="100"/>
              <w:jc w:val="right"/>
              <w:rPr>
                <w:sz w:val="16"/>
              </w:rPr>
            </w:pPr>
            <w:r>
              <w:rPr>
                <w:sz w:val="16"/>
              </w:rPr>
              <w:t>6.2</w:t>
            </w:r>
          </w:p>
        </w:tc>
        <w:tc>
          <w:tcPr>
            <w:tcW w:w="667" w:type="dxa"/>
            <w:tcBorders>
              <w:top w:val="single" w:sz="4" w:space="0" w:color="585858"/>
              <w:bottom w:val="single" w:sz="4" w:space="0" w:color="585858"/>
            </w:tcBorders>
          </w:tcPr>
          <w:p>
            <w:pPr>
              <w:pStyle w:val="TableParagraph"/>
              <w:spacing w:line="181" w:lineRule="exact" w:before="41"/>
              <w:ind w:left="121"/>
              <w:rPr>
                <w:sz w:val="16"/>
              </w:rPr>
            </w:pPr>
            <w:r>
              <w:rPr>
                <w:sz w:val="16"/>
              </w:rPr>
              <w:t>!</w:t>
            </w:r>
          </w:p>
        </w:tc>
      </w:tr>
      <w:tr>
        <w:trPr>
          <w:trHeight w:val="430" w:hRule="atLeast"/>
        </w:trPr>
        <w:tc>
          <w:tcPr>
            <w:tcW w:w="2922" w:type="dxa"/>
            <w:tcBorders>
              <w:top w:val="single" w:sz="4" w:space="0" w:color="585858"/>
              <w:bottom w:val="single" w:sz="4" w:space="0" w:color="585858"/>
            </w:tcBorders>
          </w:tcPr>
          <w:p>
            <w:pPr>
              <w:pStyle w:val="TableParagraph"/>
              <w:spacing w:line="180" w:lineRule="atLeast" w:before="45"/>
              <w:ind w:left="370" w:right="281"/>
              <w:rPr>
                <w:sz w:val="16"/>
              </w:rPr>
            </w:pPr>
            <w:r>
              <w:rPr>
                <w:sz w:val="16"/>
              </w:rPr>
              <w:t>Learning disabilities or attention deficit</w:t>
            </w:r>
          </w:p>
        </w:tc>
        <w:tc>
          <w:tcPr>
            <w:tcW w:w="715" w:type="dxa"/>
            <w:tcBorders>
              <w:top w:val="single" w:sz="4" w:space="0" w:color="585858"/>
              <w:bottom w:val="single" w:sz="4" w:space="0" w:color="585858"/>
            </w:tcBorders>
          </w:tcPr>
          <w:p>
            <w:pPr>
              <w:pStyle w:val="TableParagraph"/>
              <w:spacing w:before="45"/>
              <w:ind w:right="138"/>
              <w:jc w:val="right"/>
              <w:rPr>
                <w:sz w:val="16"/>
              </w:rPr>
            </w:pPr>
            <w:r>
              <w:rPr>
                <w:sz w:val="16"/>
              </w:rPr>
              <w:t>33</w:t>
            </w:r>
          </w:p>
        </w:tc>
        <w:tc>
          <w:tcPr>
            <w:tcW w:w="1282" w:type="dxa"/>
            <w:gridSpan w:val="2"/>
            <w:tcBorders>
              <w:top w:val="single" w:sz="4" w:space="0" w:color="585858"/>
              <w:bottom w:val="single" w:sz="4" w:space="0" w:color="585858"/>
            </w:tcBorders>
          </w:tcPr>
          <w:p>
            <w:pPr>
              <w:pStyle w:val="TableParagraph"/>
              <w:spacing w:before="45"/>
              <w:ind w:left="317"/>
              <w:rPr>
                <w:sz w:val="16"/>
              </w:rPr>
            </w:pPr>
            <w:r>
              <w:rPr>
                <w:sz w:val="16"/>
              </w:rPr>
              <w:t>4.1</w:t>
            </w:r>
          </w:p>
        </w:tc>
        <w:tc>
          <w:tcPr>
            <w:tcW w:w="746" w:type="dxa"/>
            <w:tcBorders>
              <w:top w:val="single" w:sz="4" w:space="0" w:color="585858"/>
              <w:bottom w:val="single" w:sz="4" w:space="0" w:color="585858"/>
            </w:tcBorders>
          </w:tcPr>
          <w:p>
            <w:pPr>
              <w:pStyle w:val="TableParagraph"/>
              <w:spacing w:before="45"/>
              <w:ind w:right="134"/>
              <w:jc w:val="right"/>
              <w:rPr>
                <w:sz w:val="16"/>
              </w:rPr>
            </w:pPr>
            <w:r>
              <w:rPr>
                <w:sz w:val="16"/>
              </w:rPr>
              <w:t>21</w:t>
            </w:r>
          </w:p>
        </w:tc>
        <w:tc>
          <w:tcPr>
            <w:tcW w:w="1218" w:type="dxa"/>
            <w:gridSpan w:val="2"/>
            <w:tcBorders>
              <w:top w:val="single" w:sz="4" w:space="0" w:color="585858"/>
              <w:bottom w:val="single" w:sz="4" w:space="0" w:color="585858"/>
            </w:tcBorders>
          </w:tcPr>
          <w:p>
            <w:pPr>
              <w:pStyle w:val="TableParagraph"/>
              <w:spacing w:before="45"/>
              <w:ind w:left="317"/>
              <w:rPr>
                <w:sz w:val="16"/>
              </w:rPr>
            </w:pPr>
            <w:r>
              <w:rPr>
                <w:sz w:val="16"/>
              </w:rPr>
              <w:t>3.3</w:t>
            </w:r>
          </w:p>
        </w:tc>
        <w:tc>
          <w:tcPr>
            <w:tcW w:w="812" w:type="dxa"/>
            <w:tcBorders>
              <w:top w:val="single" w:sz="4" w:space="0" w:color="585858"/>
              <w:bottom w:val="single" w:sz="4" w:space="0" w:color="585858"/>
            </w:tcBorders>
          </w:tcPr>
          <w:p>
            <w:pPr>
              <w:pStyle w:val="TableParagraph"/>
              <w:spacing w:before="45"/>
              <w:ind w:right="132"/>
              <w:jc w:val="right"/>
              <w:rPr>
                <w:sz w:val="16"/>
              </w:rPr>
            </w:pPr>
            <w:r>
              <w:rPr>
                <w:sz w:val="16"/>
              </w:rPr>
              <w:t>78</w:t>
            </w:r>
          </w:p>
        </w:tc>
        <w:tc>
          <w:tcPr>
            <w:tcW w:w="1256" w:type="dxa"/>
            <w:gridSpan w:val="2"/>
            <w:tcBorders>
              <w:top w:val="single" w:sz="4" w:space="0" w:color="585858"/>
              <w:bottom w:val="single" w:sz="4" w:space="0" w:color="585858"/>
            </w:tcBorders>
          </w:tcPr>
          <w:p>
            <w:pPr>
              <w:pStyle w:val="TableParagraph"/>
              <w:spacing w:before="45"/>
              <w:ind w:left="319"/>
              <w:rPr>
                <w:sz w:val="16"/>
              </w:rPr>
            </w:pPr>
            <w:r>
              <w:rPr>
                <w:sz w:val="16"/>
              </w:rPr>
              <w:t>5.3</w:t>
            </w:r>
          </w:p>
        </w:tc>
        <w:tc>
          <w:tcPr>
            <w:tcW w:w="770" w:type="dxa"/>
            <w:tcBorders>
              <w:top w:val="single" w:sz="4" w:space="0" w:color="585858"/>
              <w:bottom w:val="single" w:sz="4" w:space="0" w:color="585858"/>
            </w:tcBorders>
          </w:tcPr>
          <w:p>
            <w:pPr>
              <w:pStyle w:val="TableParagraph"/>
              <w:spacing w:before="45"/>
              <w:ind w:right="130"/>
              <w:jc w:val="right"/>
              <w:rPr>
                <w:sz w:val="16"/>
              </w:rPr>
            </w:pPr>
            <w:r>
              <w:rPr>
                <w:sz w:val="16"/>
              </w:rPr>
              <w:t>31</w:t>
            </w:r>
          </w:p>
        </w:tc>
        <w:tc>
          <w:tcPr>
            <w:tcW w:w="1284" w:type="dxa"/>
            <w:gridSpan w:val="2"/>
            <w:tcBorders>
              <w:top w:val="single" w:sz="4" w:space="0" w:color="585858"/>
              <w:bottom w:val="single" w:sz="4" w:space="0" w:color="585858"/>
            </w:tcBorders>
          </w:tcPr>
          <w:p>
            <w:pPr>
              <w:pStyle w:val="TableParagraph"/>
              <w:spacing w:before="45"/>
              <w:ind w:left="321"/>
              <w:rPr>
                <w:sz w:val="16"/>
              </w:rPr>
            </w:pPr>
            <w:r>
              <w:rPr>
                <w:sz w:val="16"/>
              </w:rPr>
              <w:t>4.5</w:t>
            </w:r>
          </w:p>
        </w:tc>
        <w:tc>
          <w:tcPr>
            <w:tcW w:w="790" w:type="dxa"/>
            <w:tcBorders>
              <w:top w:val="single" w:sz="4" w:space="0" w:color="585858"/>
              <w:bottom w:val="single" w:sz="4" w:space="0" w:color="585858"/>
            </w:tcBorders>
          </w:tcPr>
          <w:p>
            <w:pPr>
              <w:pStyle w:val="TableParagraph"/>
              <w:spacing w:before="45"/>
              <w:ind w:right="172"/>
              <w:jc w:val="right"/>
              <w:rPr>
                <w:sz w:val="16"/>
              </w:rPr>
            </w:pPr>
            <w:r>
              <w:rPr>
                <w:sz w:val="16"/>
              </w:rPr>
              <w:t>14</w:t>
            </w:r>
          </w:p>
        </w:tc>
        <w:tc>
          <w:tcPr>
            <w:tcW w:w="1269" w:type="dxa"/>
            <w:gridSpan w:val="2"/>
            <w:tcBorders>
              <w:top w:val="single" w:sz="4" w:space="0" w:color="585858"/>
              <w:bottom w:val="single" w:sz="4" w:space="0" w:color="585858"/>
            </w:tcBorders>
          </w:tcPr>
          <w:p>
            <w:pPr>
              <w:pStyle w:val="TableParagraph"/>
              <w:spacing w:before="45"/>
              <w:ind w:left="191"/>
              <w:rPr>
                <w:sz w:val="16"/>
              </w:rPr>
            </w:pPr>
            <w:r>
              <w:rPr>
                <w:sz w:val="16"/>
              </w:rPr>
              <w:t>14.4</w:t>
            </w:r>
          </w:p>
        </w:tc>
      </w:tr>
      <w:tr>
        <w:trPr>
          <w:trHeight w:val="242" w:hRule="atLeast"/>
        </w:trPr>
        <w:tc>
          <w:tcPr>
            <w:tcW w:w="2922" w:type="dxa"/>
            <w:tcBorders>
              <w:top w:val="single" w:sz="4" w:space="0" w:color="585858"/>
              <w:bottom w:val="single" w:sz="4" w:space="0" w:color="585858"/>
            </w:tcBorders>
          </w:tcPr>
          <w:p>
            <w:pPr>
              <w:pStyle w:val="TableParagraph"/>
              <w:spacing w:line="181" w:lineRule="exact" w:before="41"/>
              <w:ind w:left="370"/>
              <w:rPr>
                <w:sz w:val="16"/>
              </w:rPr>
            </w:pPr>
            <w:r>
              <w:rPr>
                <w:sz w:val="16"/>
              </w:rPr>
              <w:t>Mobility conditions</w:t>
            </w:r>
          </w:p>
        </w:tc>
        <w:tc>
          <w:tcPr>
            <w:tcW w:w="715" w:type="dxa"/>
            <w:tcBorders>
              <w:top w:val="single" w:sz="4" w:space="0" w:color="585858"/>
              <w:bottom w:val="single" w:sz="4" w:space="0" w:color="585858"/>
            </w:tcBorders>
          </w:tcPr>
          <w:p>
            <w:pPr>
              <w:pStyle w:val="TableParagraph"/>
              <w:spacing w:line="181" w:lineRule="exact" w:before="41"/>
              <w:ind w:right="138"/>
              <w:jc w:val="right"/>
              <w:rPr>
                <w:sz w:val="16"/>
              </w:rPr>
            </w:pPr>
            <w:r>
              <w:rPr>
                <w:sz w:val="16"/>
              </w:rPr>
              <w:t>14</w:t>
            </w:r>
          </w:p>
        </w:tc>
        <w:tc>
          <w:tcPr>
            <w:tcW w:w="1282"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1.7</w:t>
            </w:r>
          </w:p>
        </w:tc>
        <w:tc>
          <w:tcPr>
            <w:tcW w:w="746" w:type="dxa"/>
            <w:tcBorders>
              <w:top w:val="single" w:sz="4" w:space="0" w:color="585858"/>
              <w:bottom w:val="single" w:sz="4" w:space="0" w:color="585858"/>
            </w:tcBorders>
          </w:tcPr>
          <w:p>
            <w:pPr>
              <w:pStyle w:val="TableParagraph"/>
              <w:spacing w:line="181" w:lineRule="exact" w:before="41"/>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1"/>
              <w:ind w:right="104"/>
              <w:jc w:val="right"/>
              <w:rPr>
                <w:sz w:val="16"/>
              </w:rPr>
            </w:pPr>
            <w:r>
              <w:rPr>
                <w:sz w:val="16"/>
              </w:rPr>
              <w:t>1.3</w:t>
            </w:r>
          </w:p>
        </w:tc>
        <w:tc>
          <w:tcPr>
            <w:tcW w:w="574" w:type="dxa"/>
            <w:tcBorders>
              <w:top w:val="single" w:sz="4" w:space="0" w:color="585858"/>
              <w:bottom w:val="single" w:sz="4" w:space="0" w:color="585858"/>
            </w:tcBorders>
          </w:tcPr>
          <w:p>
            <w:pPr>
              <w:pStyle w:val="TableParagraph"/>
              <w:spacing w:line="181" w:lineRule="exact" w:before="41"/>
              <w:ind w:left="113"/>
              <w:rPr>
                <w:sz w:val="16"/>
              </w:rPr>
            </w:pPr>
            <w:r>
              <w:rPr>
                <w:sz w:val="16"/>
              </w:rPr>
              <w:t>!</w:t>
            </w:r>
          </w:p>
        </w:tc>
        <w:tc>
          <w:tcPr>
            <w:tcW w:w="812"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20</w:t>
            </w:r>
          </w:p>
        </w:tc>
        <w:tc>
          <w:tcPr>
            <w:tcW w:w="1256" w:type="dxa"/>
            <w:gridSpan w:val="2"/>
            <w:tcBorders>
              <w:top w:val="single" w:sz="4" w:space="0" w:color="585858"/>
              <w:bottom w:val="single" w:sz="4" w:space="0" w:color="585858"/>
            </w:tcBorders>
          </w:tcPr>
          <w:p>
            <w:pPr>
              <w:pStyle w:val="TableParagraph"/>
              <w:spacing w:line="181" w:lineRule="exact" w:before="41"/>
              <w:ind w:left="319"/>
              <w:rPr>
                <w:sz w:val="16"/>
              </w:rPr>
            </w:pPr>
            <w:r>
              <w:rPr>
                <w:sz w:val="16"/>
              </w:rPr>
              <w:t>1.4</w:t>
            </w:r>
          </w:p>
        </w:tc>
        <w:tc>
          <w:tcPr>
            <w:tcW w:w="770" w:type="dxa"/>
            <w:tcBorders>
              <w:top w:val="single" w:sz="4" w:space="0" w:color="585858"/>
              <w:bottom w:val="single" w:sz="4" w:space="0" w:color="585858"/>
            </w:tcBorders>
          </w:tcPr>
          <w:p>
            <w:pPr>
              <w:pStyle w:val="TableParagraph"/>
              <w:spacing w:line="181" w:lineRule="exact" w:before="41"/>
              <w:ind w:right="130"/>
              <w:jc w:val="right"/>
              <w:rPr>
                <w:sz w:val="16"/>
              </w:rPr>
            </w:pPr>
            <w:r>
              <w:rPr>
                <w:sz w:val="16"/>
              </w:rPr>
              <w:t>10</w:t>
            </w:r>
          </w:p>
        </w:tc>
        <w:tc>
          <w:tcPr>
            <w:tcW w:w="1284" w:type="dxa"/>
            <w:gridSpan w:val="2"/>
            <w:tcBorders>
              <w:top w:val="single" w:sz="4" w:space="0" w:color="585858"/>
              <w:bottom w:val="single" w:sz="4" w:space="0" w:color="585858"/>
            </w:tcBorders>
          </w:tcPr>
          <w:p>
            <w:pPr>
              <w:pStyle w:val="TableParagraph"/>
              <w:spacing w:line="181" w:lineRule="exact" w:before="41"/>
              <w:ind w:left="321"/>
              <w:rPr>
                <w:sz w:val="16"/>
              </w:rPr>
            </w:pPr>
            <w:r>
              <w:rPr>
                <w:sz w:val="16"/>
              </w:rPr>
              <w:t>1.5</w:t>
            </w:r>
          </w:p>
        </w:tc>
        <w:tc>
          <w:tcPr>
            <w:tcW w:w="790" w:type="dxa"/>
            <w:tcBorders>
              <w:top w:val="single" w:sz="4" w:space="0" w:color="585858"/>
              <w:bottom w:val="single" w:sz="4" w:space="0" w:color="585858"/>
            </w:tcBorders>
          </w:tcPr>
          <w:p>
            <w:pPr>
              <w:pStyle w:val="TableParagraph"/>
              <w:spacing w:line="181" w:lineRule="exact" w:before="4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1"/>
              <w:ind w:right="100"/>
              <w:jc w:val="right"/>
              <w:rPr>
                <w:sz w:val="16"/>
              </w:rPr>
            </w:pPr>
            <w:r>
              <w:rPr>
                <w:sz w:val="16"/>
              </w:rPr>
              <w:t>7.2</w:t>
            </w:r>
          </w:p>
        </w:tc>
        <w:tc>
          <w:tcPr>
            <w:tcW w:w="667" w:type="dxa"/>
            <w:tcBorders>
              <w:top w:val="single" w:sz="4" w:space="0" w:color="585858"/>
              <w:bottom w:val="single" w:sz="4" w:space="0" w:color="585858"/>
            </w:tcBorders>
          </w:tcPr>
          <w:p>
            <w:pPr>
              <w:pStyle w:val="TableParagraph"/>
              <w:spacing w:line="181" w:lineRule="exact" w:before="41"/>
              <w:ind w:left="121"/>
              <w:rPr>
                <w:sz w:val="16"/>
              </w:rPr>
            </w:pPr>
            <w:r>
              <w:rPr>
                <w:sz w:val="16"/>
              </w:rPr>
              <w:t>!</w:t>
            </w:r>
          </w:p>
        </w:tc>
      </w:tr>
      <w:tr>
        <w:trPr>
          <w:trHeight w:val="246" w:hRule="atLeast"/>
        </w:trPr>
        <w:tc>
          <w:tcPr>
            <w:tcW w:w="2922" w:type="dxa"/>
            <w:tcBorders>
              <w:top w:val="single" w:sz="4" w:space="0" w:color="585858"/>
              <w:bottom w:val="single" w:sz="4" w:space="0" w:color="585858"/>
            </w:tcBorders>
          </w:tcPr>
          <w:p>
            <w:pPr>
              <w:pStyle w:val="TableParagraph"/>
              <w:spacing w:line="181" w:lineRule="exact" w:before="45"/>
              <w:ind w:left="370"/>
              <w:rPr>
                <w:sz w:val="16"/>
              </w:rPr>
            </w:pPr>
            <w:r>
              <w:rPr>
                <w:sz w:val="16"/>
              </w:rPr>
              <w:t>Psychiatric conditions</w:t>
            </w:r>
          </w:p>
        </w:tc>
        <w:tc>
          <w:tcPr>
            <w:tcW w:w="715" w:type="dxa"/>
            <w:tcBorders>
              <w:top w:val="single" w:sz="4" w:space="0" w:color="585858"/>
              <w:bottom w:val="single" w:sz="4" w:space="0" w:color="585858"/>
            </w:tcBorders>
          </w:tcPr>
          <w:p>
            <w:pPr>
              <w:pStyle w:val="TableParagraph"/>
              <w:spacing w:line="181" w:lineRule="exact" w:before="45"/>
              <w:ind w:right="142"/>
              <w:jc w:val="right"/>
              <w:rPr>
                <w:sz w:val="16"/>
              </w:rPr>
            </w:pPr>
            <w:r>
              <w:rPr>
                <w:sz w:val="16"/>
              </w:rPr>
              <w:t>106</w:t>
            </w:r>
          </w:p>
        </w:tc>
        <w:tc>
          <w:tcPr>
            <w:tcW w:w="1282" w:type="dxa"/>
            <w:gridSpan w:val="2"/>
            <w:tcBorders>
              <w:top w:val="single" w:sz="4" w:space="0" w:color="585858"/>
              <w:bottom w:val="single" w:sz="4" w:space="0" w:color="585858"/>
            </w:tcBorders>
          </w:tcPr>
          <w:p>
            <w:pPr>
              <w:pStyle w:val="TableParagraph"/>
              <w:spacing w:line="181" w:lineRule="exact" w:before="45"/>
              <w:ind w:left="229"/>
              <w:rPr>
                <w:sz w:val="16"/>
              </w:rPr>
            </w:pPr>
            <w:r>
              <w:rPr>
                <w:sz w:val="16"/>
              </w:rPr>
              <w:t>13.2</w:t>
            </w:r>
          </w:p>
        </w:tc>
        <w:tc>
          <w:tcPr>
            <w:tcW w:w="746" w:type="dxa"/>
            <w:tcBorders>
              <w:top w:val="single" w:sz="4" w:space="0" w:color="585858"/>
              <w:bottom w:val="single" w:sz="4" w:space="0" w:color="585858"/>
            </w:tcBorders>
          </w:tcPr>
          <w:p>
            <w:pPr>
              <w:pStyle w:val="TableParagraph"/>
              <w:spacing w:line="181" w:lineRule="exact" w:before="45"/>
              <w:ind w:right="134"/>
              <w:jc w:val="right"/>
              <w:rPr>
                <w:sz w:val="16"/>
              </w:rPr>
            </w:pPr>
            <w:r>
              <w:rPr>
                <w:sz w:val="16"/>
              </w:rPr>
              <w:t>40</w:t>
            </w:r>
          </w:p>
        </w:tc>
        <w:tc>
          <w:tcPr>
            <w:tcW w:w="1218" w:type="dxa"/>
            <w:gridSpan w:val="2"/>
            <w:tcBorders>
              <w:top w:val="single" w:sz="4" w:space="0" w:color="585858"/>
              <w:bottom w:val="single" w:sz="4" w:space="0" w:color="585858"/>
            </w:tcBorders>
          </w:tcPr>
          <w:p>
            <w:pPr>
              <w:pStyle w:val="TableParagraph"/>
              <w:spacing w:line="181" w:lineRule="exact" w:before="45"/>
              <w:ind w:left="317"/>
              <w:rPr>
                <w:sz w:val="16"/>
              </w:rPr>
            </w:pPr>
            <w:r>
              <w:rPr>
                <w:sz w:val="16"/>
              </w:rPr>
              <w:t>6.3</w:t>
            </w:r>
          </w:p>
        </w:tc>
        <w:tc>
          <w:tcPr>
            <w:tcW w:w="812" w:type="dxa"/>
            <w:tcBorders>
              <w:top w:val="single" w:sz="4" w:space="0" w:color="585858"/>
              <w:bottom w:val="single" w:sz="4" w:space="0" w:color="585858"/>
            </w:tcBorders>
          </w:tcPr>
          <w:p>
            <w:pPr>
              <w:pStyle w:val="TableParagraph"/>
              <w:spacing w:line="181" w:lineRule="exact" w:before="45"/>
              <w:ind w:right="136"/>
              <w:jc w:val="right"/>
              <w:rPr>
                <w:sz w:val="16"/>
              </w:rPr>
            </w:pPr>
            <w:r>
              <w:rPr>
                <w:sz w:val="16"/>
              </w:rPr>
              <w:t>271</w:t>
            </w:r>
          </w:p>
        </w:tc>
        <w:tc>
          <w:tcPr>
            <w:tcW w:w="1256" w:type="dxa"/>
            <w:gridSpan w:val="2"/>
            <w:tcBorders>
              <w:top w:val="single" w:sz="4" w:space="0" w:color="585858"/>
              <w:bottom w:val="single" w:sz="4" w:space="0" w:color="585858"/>
            </w:tcBorders>
          </w:tcPr>
          <w:p>
            <w:pPr>
              <w:pStyle w:val="TableParagraph"/>
              <w:spacing w:line="181" w:lineRule="exact" w:before="45"/>
              <w:ind w:left="231"/>
              <w:rPr>
                <w:sz w:val="16"/>
              </w:rPr>
            </w:pPr>
            <w:r>
              <w:rPr>
                <w:sz w:val="16"/>
              </w:rPr>
              <w:t>18.4</w:t>
            </w:r>
          </w:p>
        </w:tc>
        <w:tc>
          <w:tcPr>
            <w:tcW w:w="770" w:type="dxa"/>
            <w:tcBorders>
              <w:top w:val="single" w:sz="4" w:space="0" w:color="585858"/>
              <w:bottom w:val="single" w:sz="4" w:space="0" w:color="585858"/>
            </w:tcBorders>
          </w:tcPr>
          <w:p>
            <w:pPr>
              <w:pStyle w:val="TableParagraph"/>
              <w:spacing w:line="181" w:lineRule="exact" w:before="45"/>
              <w:ind w:right="130"/>
              <w:jc w:val="right"/>
              <w:rPr>
                <w:sz w:val="16"/>
              </w:rPr>
            </w:pPr>
            <w:r>
              <w:rPr>
                <w:sz w:val="16"/>
              </w:rPr>
              <w:t>84</w:t>
            </w:r>
          </w:p>
        </w:tc>
        <w:tc>
          <w:tcPr>
            <w:tcW w:w="1284" w:type="dxa"/>
            <w:gridSpan w:val="2"/>
            <w:tcBorders>
              <w:top w:val="single" w:sz="4" w:space="0" w:color="585858"/>
              <w:bottom w:val="single" w:sz="4" w:space="0" w:color="585858"/>
            </w:tcBorders>
          </w:tcPr>
          <w:p>
            <w:pPr>
              <w:pStyle w:val="TableParagraph"/>
              <w:spacing w:line="181" w:lineRule="exact" w:before="45"/>
              <w:ind w:left="233"/>
              <w:rPr>
                <w:sz w:val="16"/>
              </w:rPr>
            </w:pPr>
            <w:r>
              <w:rPr>
                <w:sz w:val="16"/>
              </w:rPr>
              <w:t>12.2</w:t>
            </w:r>
          </w:p>
        </w:tc>
        <w:tc>
          <w:tcPr>
            <w:tcW w:w="790" w:type="dxa"/>
            <w:tcBorders>
              <w:top w:val="single" w:sz="4" w:space="0" w:color="585858"/>
              <w:bottom w:val="single" w:sz="4" w:space="0" w:color="585858"/>
            </w:tcBorders>
          </w:tcPr>
          <w:p>
            <w:pPr>
              <w:pStyle w:val="TableParagraph"/>
              <w:spacing w:line="181" w:lineRule="exact" w:before="45"/>
              <w:ind w:right="172"/>
              <w:jc w:val="right"/>
              <w:rPr>
                <w:sz w:val="16"/>
              </w:rPr>
            </w:pPr>
            <w:r>
              <w:rPr>
                <w:sz w:val="16"/>
              </w:rPr>
              <w:t>44</w:t>
            </w:r>
          </w:p>
        </w:tc>
        <w:tc>
          <w:tcPr>
            <w:tcW w:w="1269" w:type="dxa"/>
            <w:gridSpan w:val="2"/>
            <w:tcBorders>
              <w:top w:val="single" w:sz="4" w:space="0" w:color="585858"/>
              <w:bottom w:val="single" w:sz="4" w:space="0" w:color="585858"/>
            </w:tcBorders>
          </w:tcPr>
          <w:p>
            <w:pPr>
              <w:pStyle w:val="TableParagraph"/>
              <w:spacing w:line="181" w:lineRule="exact" w:before="45"/>
              <w:ind w:left="191"/>
              <w:rPr>
                <w:sz w:val="16"/>
              </w:rPr>
            </w:pPr>
            <w:r>
              <w:rPr>
                <w:sz w:val="16"/>
              </w:rPr>
              <w:t>45.4</w:t>
            </w:r>
          </w:p>
        </w:tc>
      </w:tr>
      <w:tr>
        <w:trPr>
          <w:trHeight w:val="241" w:hRule="atLeast"/>
        </w:trPr>
        <w:tc>
          <w:tcPr>
            <w:tcW w:w="2922" w:type="dxa"/>
            <w:tcBorders>
              <w:top w:val="single" w:sz="4" w:space="0" w:color="585858"/>
              <w:bottom w:val="single" w:sz="4" w:space="0" w:color="585858"/>
            </w:tcBorders>
          </w:tcPr>
          <w:p>
            <w:pPr>
              <w:pStyle w:val="TableParagraph"/>
              <w:spacing w:line="181" w:lineRule="exact" w:before="41"/>
              <w:ind w:right="401"/>
              <w:jc w:val="right"/>
              <w:rPr>
                <w:sz w:val="16"/>
              </w:rPr>
            </w:pPr>
            <w:r>
              <w:rPr>
                <w:sz w:val="16"/>
              </w:rPr>
              <w:t>Something else not listed here</w:t>
            </w:r>
          </w:p>
        </w:tc>
        <w:tc>
          <w:tcPr>
            <w:tcW w:w="715" w:type="dxa"/>
            <w:tcBorders>
              <w:top w:val="single" w:sz="4" w:space="0" w:color="585858"/>
              <w:bottom w:val="single" w:sz="4" w:space="0" w:color="585858"/>
            </w:tcBorders>
          </w:tcPr>
          <w:p>
            <w:pPr>
              <w:pStyle w:val="TableParagraph"/>
              <w:spacing w:line="181" w:lineRule="exact" w:before="41"/>
              <w:ind w:right="138"/>
              <w:jc w:val="right"/>
              <w:rPr>
                <w:sz w:val="16"/>
              </w:rPr>
            </w:pPr>
            <w:r>
              <w:rPr>
                <w:sz w:val="16"/>
              </w:rPr>
              <w:t>12</w:t>
            </w:r>
          </w:p>
        </w:tc>
        <w:tc>
          <w:tcPr>
            <w:tcW w:w="1282" w:type="dxa"/>
            <w:gridSpan w:val="2"/>
            <w:tcBorders>
              <w:top w:val="single" w:sz="4" w:space="0" w:color="585858"/>
              <w:bottom w:val="single" w:sz="4" w:space="0" w:color="585858"/>
            </w:tcBorders>
          </w:tcPr>
          <w:p>
            <w:pPr>
              <w:pStyle w:val="TableParagraph"/>
              <w:spacing w:line="181" w:lineRule="exact" w:before="41"/>
              <w:ind w:left="317"/>
              <w:rPr>
                <w:sz w:val="16"/>
              </w:rPr>
            </w:pPr>
            <w:r>
              <w:rPr>
                <w:sz w:val="16"/>
              </w:rPr>
              <w:t>1.5</w:t>
            </w:r>
          </w:p>
        </w:tc>
        <w:tc>
          <w:tcPr>
            <w:tcW w:w="746" w:type="dxa"/>
            <w:tcBorders>
              <w:top w:val="single" w:sz="4" w:space="0" w:color="585858"/>
              <w:bottom w:val="single" w:sz="4" w:space="0" w:color="585858"/>
            </w:tcBorders>
          </w:tcPr>
          <w:p>
            <w:pPr>
              <w:pStyle w:val="TableParagraph"/>
              <w:spacing w:line="181" w:lineRule="exact" w:before="41"/>
              <w:ind w:right="135"/>
              <w:jc w:val="right"/>
              <w:rPr>
                <w:sz w:val="16"/>
              </w:rPr>
            </w:pPr>
            <w:r>
              <w:rPr>
                <w:sz w:val="16"/>
              </w:rPr>
              <w:t>&lt;10</w:t>
            </w:r>
          </w:p>
        </w:tc>
        <w:tc>
          <w:tcPr>
            <w:tcW w:w="644" w:type="dxa"/>
            <w:tcBorders>
              <w:top w:val="single" w:sz="4" w:space="0" w:color="585858"/>
              <w:bottom w:val="single" w:sz="4" w:space="0" w:color="585858"/>
            </w:tcBorders>
          </w:tcPr>
          <w:p>
            <w:pPr>
              <w:pStyle w:val="TableParagraph"/>
              <w:spacing w:line="181" w:lineRule="exact" w:before="41"/>
              <w:ind w:right="104"/>
              <w:jc w:val="right"/>
              <w:rPr>
                <w:sz w:val="16"/>
              </w:rPr>
            </w:pPr>
            <w:r>
              <w:rPr>
                <w:sz w:val="16"/>
              </w:rPr>
              <w:t>1.1</w:t>
            </w:r>
          </w:p>
        </w:tc>
        <w:tc>
          <w:tcPr>
            <w:tcW w:w="574" w:type="dxa"/>
            <w:tcBorders>
              <w:top w:val="single" w:sz="4" w:space="0" w:color="585858"/>
              <w:bottom w:val="single" w:sz="4" w:space="0" w:color="585858"/>
            </w:tcBorders>
          </w:tcPr>
          <w:p>
            <w:pPr>
              <w:pStyle w:val="TableParagraph"/>
              <w:spacing w:line="181" w:lineRule="exact" w:before="41"/>
              <w:ind w:left="113"/>
              <w:rPr>
                <w:sz w:val="16"/>
              </w:rPr>
            </w:pPr>
            <w:r>
              <w:rPr>
                <w:sz w:val="16"/>
              </w:rPr>
              <w:t>!</w:t>
            </w:r>
          </w:p>
        </w:tc>
        <w:tc>
          <w:tcPr>
            <w:tcW w:w="812" w:type="dxa"/>
            <w:tcBorders>
              <w:top w:val="single" w:sz="4" w:space="0" w:color="585858"/>
              <w:bottom w:val="single" w:sz="4" w:space="0" w:color="585858"/>
            </w:tcBorders>
          </w:tcPr>
          <w:p>
            <w:pPr>
              <w:pStyle w:val="TableParagraph"/>
              <w:spacing w:line="181" w:lineRule="exact" w:before="41"/>
              <w:ind w:right="132"/>
              <w:jc w:val="right"/>
              <w:rPr>
                <w:sz w:val="16"/>
              </w:rPr>
            </w:pPr>
            <w:r>
              <w:rPr>
                <w:sz w:val="16"/>
              </w:rPr>
              <w:t>44</w:t>
            </w:r>
          </w:p>
        </w:tc>
        <w:tc>
          <w:tcPr>
            <w:tcW w:w="1256" w:type="dxa"/>
            <w:gridSpan w:val="2"/>
            <w:tcBorders>
              <w:top w:val="single" w:sz="4" w:space="0" w:color="585858"/>
              <w:bottom w:val="single" w:sz="4" w:space="0" w:color="585858"/>
            </w:tcBorders>
          </w:tcPr>
          <w:p>
            <w:pPr>
              <w:pStyle w:val="TableParagraph"/>
              <w:spacing w:line="181" w:lineRule="exact" w:before="41"/>
              <w:ind w:left="319"/>
              <w:rPr>
                <w:sz w:val="16"/>
              </w:rPr>
            </w:pPr>
            <w:r>
              <w:rPr>
                <w:sz w:val="16"/>
              </w:rPr>
              <w:t>3.0</w:t>
            </w:r>
          </w:p>
        </w:tc>
        <w:tc>
          <w:tcPr>
            <w:tcW w:w="770" w:type="dxa"/>
            <w:tcBorders>
              <w:top w:val="single" w:sz="4" w:space="0" w:color="585858"/>
              <w:bottom w:val="single" w:sz="4" w:space="0" w:color="585858"/>
            </w:tcBorders>
          </w:tcPr>
          <w:p>
            <w:pPr>
              <w:pStyle w:val="TableParagraph"/>
              <w:spacing w:line="181" w:lineRule="exact" w:before="41"/>
              <w:ind w:right="130"/>
              <w:jc w:val="right"/>
              <w:rPr>
                <w:sz w:val="16"/>
              </w:rPr>
            </w:pPr>
            <w:r>
              <w:rPr>
                <w:sz w:val="16"/>
              </w:rPr>
              <w:t>12</w:t>
            </w:r>
          </w:p>
        </w:tc>
        <w:tc>
          <w:tcPr>
            <w:tcW w:w="1284" w:type="dxa"/>
            <w:gridSpan w:val="2"/>
            <w:tcBorders>
              <w:top w:val="single" w:sz="4" w:space="0" w:color="585858"/>
              <w:bottom w:val="single" w:sz="4" w:space="0" w:color="585858"/>
            </w:tcBorders>
          </w:tcPr>
          <w:p>
            <w:pPr>
              <w:pStyle w:val="TableParagraph"/>
              <w:spacing w:line="181" w:lineRule="exact" w:before="41"/>
              <w:ind w:left="321"/>
              <w:rPr>
                <w:sz w:val="16"/>
              </w:rPr>
            </w:pPr>
            <w:r>
              <w:rPr>
                <w:sz w:val="16"/>
              </w:rPr>
              <w:t>1.7</w:t>
            </w:r>
          </w:p>
        </w:tc>
        <w:tc>
          <w:tcPr>
            <w:tcW w:w="790" w:type="dxa"/>
            <w:tcBorders>
              <w:top w:val="single" w:sz="4" w:space="0" w:color="585858"/>
              <w:bottom w:val="single" w:sz="4" w:space="0" w:color="585858"/>
            </w:tcBorders>
          </w:tcPr>
          <w:p>
            <w:pPr>
              <w:pStyle w:val="TableParagraph"/>
              <w:spacing w:line="181" w:lineRule="exact" w:before="41"/>
              <w:ind w:right="173"/>
              <w:jc w:val="right"/>
              <w:rPr>
                <w:sz w:val="16"/>
              </w:rPr>
            </w:pPr>
            <w:r>
              <w:rPr>
                <w:sz w:val="16"/>
              </w:rPr>
              <w:t>&lt;10</w:t>
            </w:r>
          </w:p>
        </w:tc>
        <w:tc>
          <w:tcPr>
            <w:tcW w:w="602" w:type="dxa"/>
            <w:tcBorders>
              <w:top w:val="single" w:sz="4" w:space="0" w:color="585858"/>
              <w:bottom w:val="single" w:sz="4" w:space="0" w:color="585858"/>
            </w:tcBorders>
          </w:tcPr>
          <w:p>
            <w:pPr>
              <w:pStyle w:val="TableParagraph"/>
              <w:spacing w:line="181" w:lineRule="exact" w:before="41"/>
              <w:ind w:right="100"/>
              <w:jc w:val="right"/>
              <w:rPr>
                <w:sz w:val="16"/>
              </w:rPr>
            </w:pPr>
            <w:r>
              <w:rPr>
                <w:sz w:val="16"/>
              </w:rPr>
              <w:t>5.2</w:t>
            </w:r>
          </w:p>
        </w:tc>
        <w:tc>
          <w:tcPr>
            <w:tcW w:w="667" w:type="dxa"/>
            <w:tcBorders>
              <w:top w:val="single" w:sz="4" w:space="0" w:color="585858"/>
              <w:bottom w:val="single" w:sz="4" w:space="0" w:color="585858"/>
            </w:tcBorders>
          </w:tcPr>
          <w:p>
            <w:pPr>
              <w:pStyle w:val="TableParagraph"/>
              <w:spacing w:line="181" w:lineRule="exact" w:before="41"/>
              <w:ind w:left="121"/>
              <w:rPr>
                <w:sz w:val="16"/>
              </w:rPr>
            </w:pPr>
            <w:r>
              <w:rPr>
                <w:sz w:val="16"/>
              </w:rPr>
              <w:t>!</w:t>
            </w:r>
          </w:p>
        </w:tc>
      </w:tr>
      <w:tr>
        <w:trPr>
          <w:trHeight w:val="233" w:hRule="atLeast"/>
        </w:trPr>
        <w:tc>
          <w:tcPr>
            <w:tcW w:w="2922" w:type="dxa"/>
            <w:tcBorders>
              <w:top w:val="single" w:sz="4" w:space="0" w:color="585858"/>
              <w:bottom w:val="single" w:sz="4" w:space="0" w:color="585858"/>
            </w:tcBorders>
          </w:tcPr>
          <w:p>
            <w:pPr>
              <w:pStyle w:val="TableParagraph"/>
              <w:spacing w:before="25"/>
              <w:ind w:left="370"/>
              <w:rPr>
                <w:sz w:val="16"/>
              </w:rPr>
            </w:pPr>
            <w:r>
              <w:rPr>
                <w:sz w:val="16"/>
              </w:rPr>
              <w:t>None</w:t>
            </w:r>
          </w:p>
        </w:tc>
        <w:tc>
          <w:tcPr>
            <w:tcW w:w="715" w:type="dxa"/>
            <w:tcBorders>
              <w:top w:val="single" w:sz="4" w:space="0" w:color="585858"/>
              <w:bottom w:val="single" w:sz="4" w:space="0" w:color="585858"/>
            </w:tcBorders>
          </w:tcPr>
          <w:p>
            <w:pPr>
              <w:pStyle w:val="TableParagraph"/>
              <w:spacing w:before="25"/>
              <w:ind w:right="142"/>
              <w:jc w:val="right"/>
              <w:rPr>
                <w:sz w:val="16"/>
              </w:rPr>
            </w:pPr>
            <w:r>
              <w:rPr>
                <w:sz w:val="16"/>
              </w:rPr>
              <w:t>485</w:t>
            </w:r>
          </w:p>
        </w:tc>
        <w:tc>
          <w:tcPr>
            <w:tcW w:w="1282" w:type="dxa"/>
            <w:gridSpan w:val="2"/>
            <w:tcBorders>
              <w:top w:val="single" w:sz="4" w:space="0" w:color="585858"/>
              <w:bottom w:val="single" w:sz="4" w:space="0" w:color="585858"/>
            </w:tcBorders>
          </w:tcPr>
          <w:p>
            <w:pPr>
              <w:pStyle w:val="TableParagraph"/>
              <w:spacing w:before="25"/>
              <w:ind w:left="229"/>
              <w:rPr>
                <w:sz w:val="16"/>
              </w:rPr>
            </w:pPr>
            <w:r>
              <w:rPr>
                <w:sz w:val="16"/>
              </w:rPr>
              <w:t>60.5</w:t>
            </w:r>
          </w:p>
        </w:tc>
        <w:tc>
          <w:tcPr>
            <w:tcW w:w="746" w:type="dxa"/>
            <w:tcBorders>
              <w:top w:val="single" w:sz="4" w:space="0" w:color="585858"/>
              <w:bottom w:val="single" w:sz="4" w:space="0" w:color="585858"/>
            </w:tcBorders>
          </w:tcPr>
          <w:p>
            <w:pPr>
              <w:pStyle w:val="TableParagraph"/>
              <w:spacing w:before="25"/>
              <w:ind w:right="138"/>
              <w:jc w:val="right"/>
              <w:rPr>
                <w:sz w:val="16"/>
              </w:rPr>
            </w:pPr>
            <w:r>
              <w:rPr>
                <w:sz w:val="16"/>
              </w:rPr>
              <w:t>469</w:t>
            </w:r>
          </w:p>
        </w:tc>
        <w:tc>
          <w:tcPr>
            <w:tcW w:w="1218" w:type="dxa"/>
            <w:gridSpan w:val="2"/>
            <w:tcBorders>
              <w:top w:val="single" w:sz="4" w:space="0" w:color="585858"/>
              <w:bottom w:val="single" w:sz="4" w:space="0" w:color="585858"/>
            </w:tcBorders>
          </w:tcPr>
          <w:p>
            <w:pPr>
              <w:pStyle w:val="TableParagraph"/>
              <w:spacing w:before="25"/>
              <w:ind w:left="229"/>
              <w:rPr>
                <w:sz w:val="16"/>
              </w:rPr>
            </w:pPr>
            <w:r>
              <w:rPr>
                <w:sz w:val="16"/>
              </w:rPr>
              <w:t>73.7</w:t>
            </w:r>
          </w:p>
        </w:tc>
        <w:tc>
          <w:tcPr>
            <w:tcW w:w="812" w:type="dxa"/>
            <w:tcBorders>
              <w:top w:val="single" w:sz="4" w:space="0" w:color="585858"/>
              <w:bottom w:val="single" w:sz="4" w:space="0" w:color="585858"/>
            </w:tcBorders>
          </w:tcPr>
          <w:p>
            <w:pPr>
              <w:pStyle w:val="TableParagraph"/>
              <w:spacing w:before="25"/>
              <w:ind w:right="136"/>
              <w:jc w:val="right"/>
              <w:rPr>
                <w:sz w:val="16"/>
              </w:rPr>
            </w:pPr>
            <w:r>
              <w:rPr>
                <w:sz w:val="16"/>
              </w:rPr>
              <w:t>895</w:t>
            </w:r>
          </w:p>
        </w:tc>
        <w:tc>
          <w:tcPr>
            <w:tcW w:w="1256" w:type="dxa"/>
            <w:gridSpan w:val="2"/>
            <w:tcBorders>
              <w:top w:val="single" w:sz="4" w:space="0" w:color="585858"/>
              <w:bottom w:val="single" w:sz="4" w:space="0" w:color="585858"/>
            </w:tcBorders>
          </w:tcPr>
          <w:p>
            <w:pPr>
              <w:pStyle w:val="TableParagraph"/>
              <w:spacing w:before="25"/>
              <w:ind w:left="231"/>
              <w:rPr>
                <w:sz w:val="16"/>
              </w:rPr>
            </w:pPr>
            <w:r>
              <w:rPr>
                <w:sz w:val="16"/>
              </w:rPr>
              <w:t>60.8</w:t>
            </w:r>
          </w:p>
        </w:tc>
        <w:tc>
          <w:tcPr>
            <w:tcW w:w="770" w:type="dxa"/>
            <w:tcBorders>
              <w:top w:val="single" w:sz="4" w:space="0" w:color="585858"/>
              <w:bottom w:val="single" w:sz="4" w:space="0" w:color="585858"/>
            </w:tcBorders>
          </w:tcPr>
          <w:p>
            <w:pPr>
              <w:pStyle w:val="TableParagraph"/>
              <w:spacing w:before="25"/>
              <w:ind w:right="134"/>
              <w:jc w:val="right"/>
              <w:rPr>
                <w:sz w:val="16"/>
              </w:rPr>
            </w:pPr>
            <w:r>
              <w:rPr>
                <w:sz w:val="16"/>
              </w:rPr>
              <w:t>463</w:t>
            </w:r>
          </w:p>
        </w:tc>
        <w:tc>
          <w:tcPr>
            <w:tcW w:w="1284" w:type="dxa"/>
            <w:gridSpan w:val="2"/>
            <w:tcBorders>
              <w:top w:val="single" w:sz="4" w:space="0" w:color="585858"/>
              <w:bottom w:val="single" w:sz="4" w:space="0" w:color="585858"/>
            </w:tcBorders>
          </w:tcPr>
          <w:p>
            <w:pPr>
              <w:pStyle w:val="TableParagraph"/>
              <w:spacing w:before="25"/>
              <w:ind w:left="233"/>
              <w:rPr>
                <w:sz w:val="16"/>
              </w:rPr>
            </w:pPr>
            <w:r>
              <w:rPr>
                <w:sz w:val="16"/>
              </w:rPr>
              <w:t>67.4</w:t>
            </w:r>
          </w:p>
        </w:tc>
        <w:tc>
          <w:tcPr>
            <w:tcW w:w="790" w:type="dxa"/>
            <w:tcBorders>
              <w:top w:val="single" w:sz="4" w:space="0" w:color="585858"/>
              <w:bottom w:val="single" w:sz="4" w:space="0" w:color="585858"/>
            </w:tcBorders>
          </w:tcPr>
          <w:p>
            <w:pPr>
              <w:pStyle w:val="TableParagraph"/>
              <w:spacing w:before="25"/>
              <w:ind w:right="172"/>
              <w:jc w:val="right"/>
              <w:rPr>
                <w:sz w:val="16"/>
              </w:rPr>
            </w:pPr>
            <w:r>
              <w:rPr>
                <w:sz w:val="16"/>
              </w:rPr>
              <w:t>31</w:t>
            </w:r>
          </w:p>
        </w:tc>
        <w:tc>
          <w:tcPr>
            <w:tcW w:w="1269" w:type="dxa"/>
            <w:gridSpan w:val="2"/>
            <w:tcBorders>
              <w:top w:val="single" w:sz="4" w:space="0" w:color="585858"/>
              <w:bottom w:val="single" w:sz="4" w:space="0" w:color="585858"/>
            </w:tcBorders>
          </w:tcPr>
          <w:p>
            <w:pPr>
              <w:pStyle w:val="TableParagraph"/>
              <w:spacing w:before="25"/>
              <w:ind w:left="191"/>
              <w:rPr>
                <w:sz w:val="16"/>
              </w:rPr>
            </w:pPr>
            <w:r>
              <w:rPr>
                <w:sz w:val="16"/>
              </w:rPr>
              <w:t>32.0</w:t>
            </w:r>
          </w:p>
        </w:tc>
      </w:tr>
    </w:tbl>
    <w:p>
      <w:pPr>
        <w:spacing w:before="15"/>
        <w:ind w:left="120" w:right="0" w:firstLine="0"/>
        <w:jc w:val="left"/>
        <w:rPr>
          <w:sz w:val="18"/>
        </w:rPr>
      </w:pPr>
      <w:r>
        <w:rPr>
          <w:sz w:val="18"/>
        </w:rPr>
        <w:t>Notes: Percentages may not sum to 100% because of nonresponse in the survey item.</w:t>
      </w:r>
    </w:p>
    <w:p>
      <w:pPr>
        <w:spacing w:before="49"/>
        <w:ind w:left="120" w:right="0" w:firstLine="0"/>
        <w:jc w:val="left"/>
        <w:rPr>
          <w:sz w:val="18"/>
        </w:rPr>
      </w:pPr>
      <w:r>
        <w:rPr>
          <w:position w:val="5"/>
          <w:sz w:val="12"/>
        </w:rPr>
        <w:t>a </w:t>
      </w:r>
      <w:r>
        <w:rPr>
          <w:sz w:val="18"/>
        </w:rPr>
        <w:t>Categorizations come from administrative records.</w:t>
      </w:r>
    </w:p>
    <w:p>
      <w:pPr>
        <w:spacing w:before="45"/>
        <w:ind w:left="336" w:right="314" w:hanging="217"/>
        <w:jc w:val="left"/>
        <w:rPr>
          <w:sz w:val="18"/>
        </w:rPr>
      </w:pPr>
      <w:r>
        <w:rPr>
          <w:position w:val="5"/>
          <w:sz w:val="12"/>
        </w:rPr>
        <w:t>b </w:t>
      </w:r>
      <w:r>
        <w:rPr>
          <w:sz w:val="18"/>
        </w:rPr>
        <w:t>Among faculty who selected more than one race, the most common pattern was American Indian/Alaska Native and White. Among staff, it was Black and White, Asian and White, and American Indian/Alaska Native and White.</w:t>
      </w:r>
    </w:p>
    <w:p>
      <w:pPr>
        <w:spacing w:before="50"/>
        <w:ind w:left="308" w:right="928" w:hanging="188"/>
        <w:jc w:val="left"/>
        <w:rPr>
          <w:sz w:val="18"/>
        </w:rPr>
      </w:pPr>
      <w:r>
        <w:rPr>
          <w:sz w:val="18"/>
        </w:rPr>
        <w:t>! Estimate is considered not statistically reliable because it is either based on fewer than 10 people or has a relative standard error greater than 30%. &lt; 10 indicates that 0–10 faculty/staff in the school are in this category. The exact number is suppressed to protect the identity of the faculty/staff.</w:t>
      </w:r>
    </w:p>
    <w:p>
      <w:pPr>
        <w:spacing w:after="0"/>
        <w:jc w:val="left"/>
        <w:rPr>
          <w:sz w:val="18"/>
        </w:rPr>
        <w:sectPr>
          <w:pgSz w:w="15840" w:h="12240" w:orient="landscape"/>
          <w:pgMar w:header="0" w:footer="592" w:top="1100" w:bottom="780" w:left="1320" w:right="1220"/>
        </w:sectPr>
      </w:pPr>
    </w:p>
    <w:p>
      <w:pPr>
        <w:pStyle w:val="BodyText"/>
        <w:spacing w:before="1"/>
        <w:rPr>
          <w:sz w:val="15"/>
        </w:rPr>
      </w:pPr>
      <w:r>
        <w:rPr/>
        <w:pict>
          <v:group style="position:absolute;margin-left:0pt;margin-top:757pt;width:612pt;height:.4pt;mso-position-horizontal-relative:page;mso-position-vertical-relative:page;z-index:251681792" coordorigin="0,15140" coordsize="12240,8">
            <v:line style="position:absolute" from="0,15144" to="1348,15144" stroked="true" strokeweight=".4pt" strokecolor="#09357d">
              <v:stroke dashstyle="solid"/>
            </v:line>
            <v:rect style="position:absolute;left:1348;top:15140;width:8;height:8" filled="true" fillcolor="#09357d" stroked="false">
              <v:fill type="solid"/>
            </v:rect>
            <v:line style="position:absolute" from="1356,15144" to="8460,15144" stroked="true" strokeweight=".4pt" strokecolor="#09357d">
              <v:stroke dashstyle="solid"/>
            </v:line>
            <v:rect style="position:absolute;left:8460;top:15140;width:8;height:8" filled="true" fillcolor="#09357d" stroked="false">
              <v:fill type="solid"/>
            </v:rect>
            <v:line style="position:absolute" from="8468,15144" to="9720,15144" stroked="true" strokeweight=".4pt" strokecolor="#09357d">
              <v:stroke dashstyle="solid"/>
            </v:line>
            <v:rect style="position:absolute;left:9720;top:15140;width:8;height:8" filled="true" fillcolor="#09357d" stroked="false">
              <v:fill type="solid"/>
            </v:rect>
            <v:line style="position:absolute" from="9728,15144" to="10892,15144" stroked="true" strokeweight=".4pt" strokecolor="#09357d">
              <v:stroke dashstyle="solid"/>
            </v:line>
            <v:rect style="position:absolute;left:10892;top:15140;width:9;height:8" filled="true" fillcolor="#0f52c1" stroked="false">
              <v:fill type="solid"/>
            </v:rect>
            <v:line style="position:absolute" from="10900,15144" to="12240,15144" stroked="true" strokeweight=".4pt" strokecolor="#0f52c1">
              <v:stroke dashstyle="solid"/>
            </v:line>
            <w10:wrap type="none"/>
          </v:group>
        </w:pict>
      </w:r>
    </w:p>
    <w:p>
      <w:pPr>
        <w:pStyle w:val="Heading2"/>
        <w:numPr>
          <w:ilvl w:val="0"/>
          <w:numId w:val="4"/>
        </w:numPr>
        <w:tabs>
          <w:tab w:pos="1043" w:val="left" w:leader="none"/>
          <w:tab w:pos="1044" w:val="left" w:leader="none"/>
        </w:tabs>
        <w:spacing w:line="240" w:lineRule="auto" w:before="88" w:after="0"/>
        <w:ind w:left="1043" w:right="0" w:hanging="864"/>
        <w:jc w:val="left"/>
      </w:pPr>
      <w:bookmarkStart w:name="_TOC_250012" w:id="8"/>
      <w:bookmarkStart w:name="2. Students’ Victimization Experiences" w:id="9"/>
      <w:r>
        <w:rPr>
          <w:b w:val="0"/>
        </w:rPr>
      </w:r>
      <w:bookmarkEnd w:id="9"/>
      <w:bookmarkStart w:name="2. Students’ Victimization Experiences" w:id="10"/>
      <w:r>
        <w:rPr>
          <w:color w:val="09357D"/>
        </w:rPr>
        <w:t>Students’</w:t>
      </w:r>
      <w:r>
        <w:rPr>
          <w:color w:val="09357D"/>
        </w:rPr>
        <w:t> Victimization</w:t>
      </w:r>
      <w:r>
        <w:rPr>
          <w:color w:val="09357D"/>
          <w:spacing w:val="-1"/>
        </w:rPr>
        <w:t> </w:t>
      </w:r>
      <w:bookmarkEnd w:id="8"/>
      <w:r>
        <w:rPr>
          <w:color w:val="09357D"/>
        </w:rPr>
        <w:t>Experiences</w:t>
      </w:r>
    </w:p>
    <w:p>
      <w:pPr>
        <w:pStyle w:val="BodyText"/>
        <w:spacing w:line="333" w:lineRule="auto" w:before="229"/>
        <w:ind w:left="180" w:right="1575" w:firstLine="720"/>
      </w:pPr>
      <w:r>
        <w:rPr/>
        <w:t>One of the primary goals of the Know More @ MSU Campus Survey was to understand the magnitude and nature of students’ experiences with sexual assault and other forms of victimization. This section summarizes the prevalence of various types of victimization among undergraduate and graduate/professional students, as well as key characteristics of sexual harassment and sexual assault incidents, to better inform MSU’s prevention resources and support services for survivors.</w:t>
      </w:r>
    </w:p>
    <w:p>
      <w:pPr>
        <w:pStyle w:val="BodyText"/>
        <w:spacing w:line="333" w:lineRule="auto" w:before="161"/>
        <w:ind w:left="180" w:right="1464" w:firstLine="720"/>
      </w:pPr>
      <w:r>
        <w:rPr/>
        <w:t>The types of victimization that were covered in the student survey are described in Table 5.</w:t>
      </w:r>
      <w:r>
        <w:rPr>
          <w:position w:val="5"/>
          <w:sz w:val="12"/>
        </w:rPr>
        <w:t>14 </w:t>
      </w:r>
      <w:r>
        <w:rPr/>
        <w:t>Victimization indicators were developed for 21 different outcomes reflecting different types of victimization and an array of reference periods.</w:t>
      </w:r>
    </w:p>
    <w:p>
      <w:pPr>
        <w:pStyle w:val="Heading5"/>
        <w:tabs>
          <w:tab w:pos="1259" w:val="left" w:leader="none"/>
        </w:tabs>
        <w:spacing w:before="161"/>
        <w:ind w:left="179" w:firstLine="0"/>
      </w:pPr>
      <w:r>
        <w:rPr/>
        <w:t>Table</w:t>
      </w:r>
      <w:r>
        <w:rPr>
          <w:spacing w:val="-3"/>
        </w:rPr>
        <w:t> </w:t>
      </w:r>
      <w:r>
        <w:rPr/>
        <w:t>5.</w:t>
        <w:tab/>
        <w:t>Sexual Victimization</w:t>
      </w:r>
      <w:r>
        <w:rPr>
          <w:spacing w:val="2"/>
        </w:rPr>
        <w:t> </w:t>
      </w:r>
      <w:r>
        <w:rPr/>
        <w:t>Definitions</w:t>
      </w:r>
    </w:p>
    <w:p>
      <w:pPr>
        <w:pStyle w:val="BodyText"/>
        <w:spacing w:before="1"/>
        <w:rPr>
          <w:b/>
          <w:sz w:val="7"/>
        </w:rPr>
      </w:pPr>
    </w:p>
    <w:tbl>
      <w:tblPr>
        <w:tblW w:w="0" w:type="auto"/>
        <w:jc w:val="left"/>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7"/>
        <w:gridCol w:w="7200"/>
      </w:tblGrid>
      <w:tr>
        <w:trPr>
          <w:trHeight w:val="287" w:hRule="atLeast"/>
        </w:trPr>
        <w:tc>
          <w:tcPr>
            <w:tcW w:w="2067" w:type="dxa"/>
            <w:tcBorders>
              <w:bottom w:val="single" w:sz="4" w:space="0" w:color="585858"/>
            </w:tcBorders>
            <w:shd w:val="clear" w:color="auto" w:fill="09357D"/>
          </w:tcPr>
          <w:p>
            <w:pPr>
              <w:pStyle w:val="TableParagraph"/>
              <w:spacing w:before="39"/>
              <w:ind w:left="714"/>
              <w:rPr>
                <w:b/>
                <w:sz w:val="18"/>
              </w:rPr>
            </w:pPr>
            <w:r>
              <w:rPr>
                <w:b/>
                <w:color w:val="FFFFFF"/>
                <w:sz w:val="18"/>
              </w:rPr>
              <w:t>Measure</w:t>
            </w:r>
          </w:p>
        </w:tc>
        <w:tc>
          <w:tcPr>
            <w:tcW w:w="7200" w:type="dxa"/>
            <w:tcBorders>
              <w:bottom w:val="single" w:sz="4" w:space="0" w:color="585858"/>
            </w:tcBorders>
            <w:shd w:val="clear" w:color="auto" w:fill="09357D"/>
          </w:tcPr>
          <w:p>
            <w:pPr>
              <w:pStyle w:val="TableParagraph"/>
              <w:spacing w:before="39"/>
              <w:ind w:left="3126" w:right="3043"/>
              <w:jc w:val="center"/>
              <w:rPr>
                <w:b/>
                <w:sz w:val="18"/>
              </w:rPr>
            </w:pPr>
            <w:r>
              <w:rPr>
                <w:b/>
                <w:color w:val="FFFFFF"/>
                <w:sz w:val="18"/>
              </w:rPr>
              <w:t>Description</w:t>
            </w:r>
          </w:p>
        </w:tc>
      </w:tr>
      <w:tr>
        <w:trPr>
          <w:trHeight w:val="1633" w:hRule="atLeast"/>
        </w:trPr>
        <w:tc>
          <w:tcPr>
            <w:tcW w:w="2067" w:type="dxa"/>
            <w:tcBorders>
              <w:top w:val="single" w:sz="4" w:space="0" w:color="585858"/>
              <w:bottom w:val="single" w:sz="4" w:space="0" w:color="585858"/>
            </w:tcBorders>
          </w:tcPr>
          <w:p>
            <w:pPr>
              <w:pStyle w:val="TableParagraph"/>
              <w:ind w:left="114" w:right="181"/>
              <w:rPr>
                <w:sz w:val="18"/>
              </w:rPr>
            </w:pPr>
            <w:r>
              <w:rPr>
                <w:sz w:val="18"/>
              </w:rPr>
              <w:t>Intimate partner violence (experienced during 2021–2022 academic year)</w:t>
            </w:r>
          </w:p>
        </w:tc>
        <w:tc>
          <w:tcPr>
            <w:tcW w:w="7200" w:type="dxa"/>
            <w:tcBorders>
              <w:top w:val="single" w:sz="4" w:space="0" w:color="585858"/>
              <w:bottom w:val="single" w:sz="4" w:space="0" w:color="585858"/>
            </w:tcBorders>
          </w:tcPr>
          <w:p>
            <w:pPr>
              <w:pStyle w:val="TableParagraph"/>
              <w:ind w:left="195" w:right="210"/>
              <w:rPr>
                <w:sz w:val="18"/>
              </w:rPr>
            </w:pPr>
            <w:r>
              <w:rPr>
                <w:sz w:val="18"/>
              </w:rPr>
              <w:t>Includes any of the following behaviors by an intimate partner (boyfriend, girlfriend, spouse, or anyone the student was in an intimate relationship with or hooked up with, including exes and current partners):</w:t>
            </w:r>
          </w:p>
          <w:p>
            <w:pPr>
              <w:pStyle w:val="TableParagraph"/>
              <w:numPr>
                <w:ilvl w:val="0"/>
                <w:numId w:val="6"/>
              </w:numPr>
              <w:tabs>
                <w:tab w:pos="456" w:val="left" w:leader="none"/>
              </w:tabs>
              <w:spacing w:line="240" w:lineRule="auto" w:before="39" w:after="0"/>
              <w:ind w:left="455" w:right="348" w:hanging="261"/>
              <w:jc w:val="left"/>
              <w:rPr>
                <w:sz w:val="18"/>
              </w:rPr>
            </w:pPr>
            <w:r>
              <w:rPr>
                <w:sz w:val="18"/>
              </w:rPr>
              <w:t>(</w:t>
            </w:r>
            <w:r>
              <w:rPr>
                <w:i/>
                <w:sz w:val="18"/>
              </w:rPr>
              <w:t>physical</w:t>
            </w:r>
            <w:r>
              <w:rPr>
                <w:sz w:val="18"/>
              </w:rPr>
              <w:t>) threats that made the student think they might really get hurt; pushing, grabbing, or shaking; and hitting, kicking, slapping, or beating up the</w:t>
            </w:r>
            <w:r>
              <w:rPr>
                <w:spacing w:val="-22"/>
                <w:sz w:val="18"/>
              </w:rPr>
              <w:t> </w:t>
            </w:r>
            <w:r>
              <w:rPr>
                <w:sz w:val="18"/>
              </w:rPr>
              <w:t>student</w:t>
            </w:r>
          </w:p>
          <w:p>
            <w:pPr>
              <w:pStyle w:val="TableParagraph"/>
              <w:numPr>
                <w:ilvl w:val="0"/>
                <w:numId w:val="6"/>
              </w:numPr>
              <w:tabs>
                <w:tab w:pos="456" w:val="left" w:leader="none"/>
              </w:tabs>
              <w:spacing w:line="240" w:lineRule="auto" w:before="42" w:after="0"/>
              <w:ind w:left="455" w:right="606" w:hanging="261"/>
              <w:jc w:val="left"/>
              <w:rPr>
                <w:sz w:val="18"/>
              </w:rPr>
            </w:pPr>
            <w:r>
              <w:rPr>
                <w:sz w:val="18"/>
              </w:rPr>
              <w:t>(</w:t>
            </w:r>
            <w:r>
              <w:rPr>
                <w:i/>
                <w:sz w:val="18"/>
              </w:rPr>
              <w:t>emotional/controlling</w:t>
            </w:r>
            <w:r>
              <w:rPr>
                <w:sz w:val="18"/>
              </w:rPr>
              <w:t>) insulting, intentionally humiliating, or making fun </w:t>
            </w:r>
            <w:r>
              <w:rPr>
                <w:spacing w:val="-3"/>
                <w:sz w:val="18"/>
              </w:rPr>
              <w:t>of </w:t>
            </w:r>
            <w:r>
              <w:rPr>
                <w:sz w:val="18"/>
              </w:rPr>
              <w:t>the student in front of others; or attempting to control the</w:t>
            </w:r>
            <w:r>
              <w:rPr>
                <w:spacing w:val="-13"/>
                <w:sz w:val="18"/>
              </w:rPr>
              <w:t> </w:t>
            </w:r>
            <w:r>
              <w:rPr>
                <w:sz w:val="18"/>
              </w:rPr>
              <w:t>student</w:t>
            </w:r>
          </w:p>
        </w:tc>
      </w:tr>
      <w:tr>
        <w:trPr>
          <w:trHeight w:val="4118" w:hRule="atLeast"/>
        </w:trPr>
        <w:tc>
          <w:tcPr>
            <w:tcW w:w="2067" w:type="dxa"/>
            <w:tcBorders>
              <w:top w:val="single" w:sz="4" w:space="0" w:color="585858"/>
              <w:bottom w:val="single" w:sz="4" w:space="0" w:color="585858"/>
            </w:tcBorders>
          </w:tcPr>
          <w:p>
            <w:pPr>
              <w:pStyle w:val="TableParagraph"/>
              <w:ind w:left="114" w:right="202"/>
              <w:rPr>
                <w:sz w:val="18"/>
              </w:rPr>
            </w:pPr>
            <w:r>
              <w:rPr>
                <w:sz w:val="18"/>
              </w:rPr>
              <w:t>Stalking (experienced during 2021–2022 academic year)</w:t>
            </w:r>
          </w:p>
        </w:tc>
        <w:tc>
          <w:tcPr>
            <w:tcW w:w="7200" w:type="dxa"/>
            <w:tcBorders>
              <w:top w:val="single" w:sz="4" w:space="0" w:color="585858"/>
              <w:bottom w:val="single" w:sz="4" w:space="0" w:color="585858"/>
            </w:tcBorders>
          </w:tcPr>
          <w:p>
            <w:pPr>
              <w:pStyle w:val="TableParagraph"/>
              <w:ind w:left="195" w:right="151"/>
              <w:rPr>
                <w:sz w:val="18"/>
              </w:rPr>
            </w:pPr>
            <w:r>
              <w:rPr>
                <w:sz w:val="18"/>
              </w:rPr>
              <w:t>Includes several experiences that caused students emotional distress or made them afraid for their personal safety. Students were classified if they experienced one of the following </w:t>
            </w:r>
            <w:r>
              <w:rPr>
                <w:i/>
                <w:sz w:val="18"/>
              </w:rPr>
              <w:t>and </w:t>
            </w:r>
            <w:r>
              <w:rPr>
                <w:sz w:val="18"/>
              </w:rPr>
              <w:t>indicated that the same person did any of them more than once:</w:t>
            </w:r>
          </w:p>
          <w:p>
            <w:pPr>
              <w:pStyle w:val="TableParagraph"/>
              <w:numPr>
                <w:ilvl w:val="0"/>
                <w:numId w:val="7"/>
              </w:numPr>
              <w:tabs>
                <w:tab w:pos="456" w:val="left" w:leader="none"/>
              </w:tabs>
              <w:spacing w:line="240" w:lineRule="auto" w:before="39" w:after="0"/>
              <w:ind w:left="455" w:right="103" w:hanging="261"/>
              <w:jc w:val="left"/>
              <w:rPr>
                <w:sz w:val="18"/>
              </w:rPr>
            </w:pPr>
            <w:r>
              <w:rPr>
                <w:sz w:val="18"/>
              </w:rPr>
              <w:t>following you around, watching you, showing up, riding by, or waiting for you at home, work, school, or any other place when you didn’t want them to; sneaking into your home, car, or any place else and doing unwanted things to let you know they had been there; giving or leaving you unwanted items, cards, letters, presents, flowers, or any other unwanted items; harassing or repeatedly asking your friends or family for information about you or your</w:t>
            </w:r>
            <w:r>
              <w:rPr>
                <w:spacing w:val="-3"/>
                <w:sz w:val="18"/>
              </w:rPr>
              <w:t> </w:t>
            </w:r>
            <w:r>
              <w:rPr>
                <w:sz w:val="18"/>
              </w:rPr>
              <w:t>whereabouts</w:t>
            </w:r>
          </w:p>
          <w:p>
            <w:pPr>
              <w:pStyle w:val="TableParagraph"/>
              <w:numPr>
                <w:ilvl w:val="0"/>
                <w:numId w:val="7"/>
              </w:numPr>
              <w:tabs>
                <w:tab w:pos="456" w:val="left" w:leader="none"/>
              </w:tabs>
              <w:spacing w:line="240" w:lineRule="auto" w:before="42" w:after="0"/>
              <w:ind w:left="455" w:right="134" w:hanging="261"/>
              <w:jc w:val="left"/>
              <w:rPr>
                <w:sz w:val="18"/>
              </w:rPr>
            </w:pPr>
            <w:r>
              <w:rPr>
                <w:sz w:val="18"/>
              </w:rPr>
              <w:t>(contacts or behaviors using various technologies, such </w:t>
            </w:r>
            <w:r>
              <w:rPr>
                <w:spacing w:val="-3"/>
                <w:sz w:val="18"/>
              </w:rPr>
              <w:t>as </w:t>
            </w:r>
            <w:r>
              <w:rPr>
                <w:sz w:val="18"/>
              </w:rPr>
              <w:t>your phone, the Internet, or social media apps): making unwanted phone calls to you, leaving voice messages, sending text messages, or using the phone excessively to contact you; spying on you, tracking your whereabouts, or monitoring your activities using technologies, such as a listening device, camera, GPS, computer, or cell phone monitoring software, or social media apps like Instagram, Twitter, Facebook, Snapchat, or Tinder; posting or threatening to post inappropriate, unwanted, or personal information about you on the Internet; sending unwanted emails or messages using the Internet, for example, using social media apps or websites like Instagram, Twitter, Facebook, Snapchat, or</w:t>
            </w:r>
            <w:r>
              <w:rPr>
                <w:spacing w:val="3"/>
                <w:sz w:val="18"/>
              </w:rPr>
              <w:t> </w:t>
            </w:r>
            <w:r>
              <w:rPr>
                <w:sz w:val="18"/>
              </w:rPr>
              <w:t>Tinder</w:t>
            </w:r>
          </w:p>
        </w:tc>
      </w:tr>
    </w:tbl>
    <w:p>
      <w:pPr>
        <w:spacing w:before="0"/>
        <w:ind w:left="0" w:right="1438" w:firstLine="0"/>
        <w:jc w:val="right"/>
        <w:rPr>
          <w:sz w:val="18"/>
        </w:rPr>
      </w:pPr>
      <w:r>
        <w:rPr>
          <w:sz w:val="18"/>
        </w:rPr>
        <w:t>(continued)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5"/>
        </w:rPr>
      </w:pPr>
      <w:r>
        <w:rPr/>
        <w:pict>
          <v:shape style="position:absolute;margin-left:72pt;margin-top:16.801556pt;width:144pt;height:.1pt;mso-position-horizontal-relative:page;mso-position-vertical-relative:paragraph;z-index:-251635712;mso-wrap-distance-left:0;mso-wrap-distance-right:0" coordorigin="1440,336" coordsize="2880,0" path="m1440,336l4320,336e" filled="false" stroked="true" strokeweight=".4pt" strokecolor="#000000">
            <v:path arrowok="t"/>
            <v:stroke dashstyle="solid"/>
            <w10:wrap type="topAndBottom"/>
          </v:shape>
        </w:pict>
      </w:r>
    </w:p>
    <w:p>
      <w:pPr>
        <w:spacing w:before="50"/>
        <w:ind w:left="451" w:right="1846" w:hanging="258"/>
        <w:jc w:val="left"/>
        <w:rPr>
          <w:sz w:val="18"/>
        </w:rPr>
      </w:pPr>
      <w:r>
        <w:rPr>
          <w:position w:val="6"/>
          <w:sz w:val="12"/>
        </w:rPr>
        <w:t>14 </w:t>
      </w:r>
      <w:r>
        <w:rPr>
          <w:sz w:val="18"/>
        </w:rPr>
        <w:t>Note that this study’s operationalization of these forms of victimization may differ from definitions under MSU’s RVSM policy.</w:t>
      </w:r>
    </w:p>
    <w:p>
      <w:pPr>
        <w:pStyle w:val="BodyText"/>
      </w:pPr>
    </w:p>
    <w:p>
      <w:pPr>
        <w:pStyle w:val="BodyText"/>
      </w:pPr>
    </w:p>
    <w:p>
      <w:pPr>
        <w:pStyle w:val="BodyText"/>
        <w:spacing w:before="6"/>
      </w:pPr>
    </w:p>
    <w:p>
      <w:pPr>
        <w:tabs>
          <w:tab w:pos="8547" w:val="left" w:leader="none"/>
        </w:tabs>
        <w:spacing w:before="149"/>
        <w:ind w:left="175" w:right="0" w:firstLine="0"/>
        <w:jc w:val="left"/>
        <w:rPr>
          <w:rFonts w:ascii="Arial Narrow"/>
          <w:b/>
          <w:sz w:val="16"/>
        </w:rPr>
      </w:pPr>
      <w:r>
        <w:rPr/>
        <w:pict>
          <v:shape style="position:absolute;margin-left:544.599976pt;margin-top:2.746093pt;width:67.4pt;height:16pt;mso-position-horizontal-relative:page;mso-position-vertical-relative:paragraph;z-index:251682816" type="#_x0000_t202" filled="true" fillcolor="#09357d" stroked="false">
            <v:textbox inset="0,0,0,0">
              <w:txbxContent>
                <w:p>
                  <w:pPr>
                    <w:pStyle w:val="BodyText"/>
                    <w:spacing w:before="44"/>
                    <w:ind w:left="83"/>
                    <w:rPr>
                      <w:rFonts w:ascii="Arial Narrow"/>
                    </w:rPr>
                  </w:pPr>
                  <w:r>
                    <w:rPr>
                      <w:rFonts w:ascii="Arial Narrow"/>
                      <w:color w:val="FFFFFF"/>
                    </w:rPr>
                    <w:t>13</w:t>
                  </w:r>
                </w:p>
              </w:txbxContent>
            </v:textbox>
            <v:fill type="solid"/>
            <w10:wrap type="none"/>
          </v:shape>
        </w:pict>
      </w:r>
      <w:r>
        <w:rPr>
          <w:rFonts w:ascii="Arial Narrow"/>
          <w:b/>
          <w:color w:val="09357D"/>
          <w:sz w:val="16"/>
        </w:rPr>
        <w:t>Findings from the Know More @ MSU</w:t>
      </w:r>
      <w:r>
        <w:rPr>
          <w:rFonts w:ascii="Arial Narrow"/>
          <w:b/>
          <w:color w:val="09357D"/>
          <w:spacing w:val="-22"/>
          <w:sz w:val="16"/>
        </w:rPr>
        <w:t> </w:t>
      </w:r>
      <w:r>
        <w:rPr>
          <w:rFonts w:ascii="Arial Narrow"/>
          <w:b/>
          <w:color w:val="09357D"/>
          <w:sz w:val="16"/>
        </w:rPr>
        <w:t>Campus Survey</w:t>
        <w:tab/>
        <w:t>November</w:t>
      </w:r>
      <w:r>
        <w:rPr>
          <w:rFonts w:ascii="Arial Narrow"/>
          <w:b/>
          <w:color w:val="09357D"/>
          <w:spacing w:val="-1"/>
          <w:sz w:val="16"/>
        </w:rPr>
        <w:t> </w:t>
      </w:r>
      <w:r>
        <w:rPr>
          <w:rFonts w:ascii="Arial Narrow"/>
          <w:b/>
          <w:color w:val="09357D"/>
          <w:sz w:val="16"/>
        </w:rPr>
        <w:t>2022</w:t>
      </w:r>
    </w:p>
    <w:p>
      <w:pPr>
        <w:spacing w:after="0"/>
        <w:jc w:val="left"/>
        <w:rPr>
          <w:rFonts w:ascii="Arial Narrow"/>
          <w:sz w:val="16"/>
        </w:rPr>
        <w:sectPr>
          <w:headerReference w:type="default" r:id="rId45"/>
          <w:footerReference w:type="default" r:id="rId46"/>
          <w:pgSz w:w="12240" w:h="15840"/>
          <w:pgMar w:header="0" w:footer="0" w:top="1120" w:bottom="0" w:left="1260" w:right="0"/>
        </w:sectPr>
      </w:pPr>
    </w:p>
    <w:p>
      <w:pPr>
        <w:pStyle w:val="BodyText"/>
        <w:spacing w:before="8"/>
        <w:rPr>
          <w:rFonts w:ascii="Arial Narrow"/>
          <w:b/>
          <w:sz w:val="11"/>
        </w:rPr>
      </w:pPr>
    </w:p>
    <w:p>
      <w:pPr>
        <w:pStyle w:val="Heading5"/>
        <w:tabs>
          <w:tab w:pos="1259" w:val="left" w:leader="none"/>
        </w:tabs>
        <w:ind w:left="180" w:firstLine="0"/>
      </w:pPr>
      <w:r>
        <w:rPr/>
        <w:pict>
          <v:group style="position:absolute;margin-left:72pt;margin-top:22.279896pt;width:463pt;height:14.8pt;mso-position-horizontal-relative:page;mso-position-vertical-relative:paragraph;z-index:-261078016" coordorigin="1440,446" coordsize="9260,296">
            <v:rect style="position:absolute;left:1440;top:445;width:9260;height:288" filled="true" fillcolor="#09357d" stroked="false">
              <v:fill type="solid"/>
            </v:rect>
            <v:line style="position:absolute" from="1440,738" to="3592,738" stroked="true" strokeweight=".401pt" strokecolor="#585858">
              <v:stroke dashstyle="solid"/>
            </v:line>
            <v:rect style="position:absolute;left:3592;top:733;width:8;height:9" filled="true" fillcolor="#585858" stroked="false">
              <v:fill type="solid"/>
            </v:rect>
            <v:line style="position:absolute" from="3600,738" to="10700,738" stroked="true" strokeweight=".401pt" strokecolor="#585858">
              <v:stroke dashstyle="solid"/>
            </v:line>
            <w10:wrap type="none"/>
          </v:group>
        </w:pict>
      </w:r>
      <w:r>
        <w:rPr/>
        <w:t>Table</w:t>
      </w:r>
      <w:r>
        <w:rPr>
          <w:spacing w:val="-3"/>
        </w:rPr>
        <w:t> </w:t>
      </w:r>
      <w:r>
        <w:rPr/>
        <w:t>5.</w:t>
        <w:tab/>
        <w:t>Sexual Victimization Definitions</w:t>
      </w:r>
      <w:r>
        <w:rPr>
          <w:spacing w:val="-1"/>
        </w:rPr>
        <w:t> </w:t>
      </w:r>
      <w:r>
        <w:rPr/>
        <w:t>(cont.)</w:t>
      </w:r>
    </w:p>
    <w:p>
      <w:pPr>
        <w:pStyle w:val="BodyText"/>
        <w:spacing w:before="6"/>
        <w:rPr>
          <w:b/>
          <w:sz w:val="10"/>
        </w:rPr>
      </w:pPr>
    </w:p>
    <w:tbl>
      <w:tblPr>
        <w:tblW w:w="0" w:type="auto"/>
        <w:jc w:val="left"/>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31"/>
        <w:gridCol w:w="7136"/>
      </w:tblGrid>
      <w:tr>
        <w:trPr>
          <w:trHeight w:val="3378" w:hRule="atLeast"/>
        </w:trPr>
        <w:tc>
          <w:tcPr>
            <w:tcW w:w="2131" w:type="dxa"/>
            <w:tcBorders>
              <w:bottom w:val="single" w:sz="4" w:space="0" w:color="585858"/>
            </w:tcBorders>
          </w:tcPr>
          <w:p>
            <w:pPr>
              <w:pStyle w:val="TableParagraph"/>
              <w:spacing w:before="39"/>
              <w:ind w:left="714"/>
              <w:rPr>
                <w:b/>
                <w:sz w:val="18"/>
              </w:rPr>
            </w:pPr>
            <w:r>
              <w:rPr>
                <w:b/>
                <w:color w:val="FFFFFF"/>
                <w:sz w:val="18"/>
              </w:rPr>
              <w:t>Measure</w:t>
            </w:r>
          </w:p>
          <w:p>
            <w:pPr>
              <w:pStyle w:val="TableParagraph"/>
              <w:spacing w:before="89"/>
              <w:ind w:left="114" w:right="275"/>
              <w:rPr>
                <w:sz w:val="18"/>
              </w:rPr>
            </w:pPr>
            <w:r>
              <w:rPr>
                <w:sz w:val="18"/>
              </w:rPr>
              <w:t>Sexual harassment (experienced during 2021–2022 academic year)</w:t>
            </w:r>
          </w:p>
        </w:tc>
        <w:tc>
          <w:tcPr>
            <w:tcW w:w="7136" w:type="dxa"/>
            <w:tcBorders>
              <w:bottom w:val="single" w:sz="4" w:space="0" w:color="585858"/>
            </w:tcBorders>
          </w:tcPr>
          <w:p>
            <w:pPr>
              <w:pStyle w:val="TableParagraph"/>
              <w:spacing w:before="39"/>
              <w:ind w:left="3079"/>
              <w:rPr>
                <w:b/>
                <w:sz w:val="18"/>
              </w:rPr>
            </w:pPr>
            <w:r>
              <w:rPr>
                <w:b/>
                <w:color w:val="FFFFFF"/>
                <w:sz w:val="18"/>
              </w:rPr>
              <w:t>Description</w:t>
            </w:r>
          </w:p>
          <w:p>
            <w:pPr>
              <w:pStyle w:val="TableParagraph"/>
              <w:spacing w:before="89"/>
              <w:ind w:left="131" w:right="310"/>
              <w:rPr>
                <w:sz w:val="18"/>
              </w:rPr>
            </w:pPr>
            <w:r>
              <w:rPr>
                <w:sz w:val="18"/>
              </w:rPr>
              <w:t>Includes any of the following behaviors (which could have happened in person or by phone, text message, email, or social media):</w:t>
            </w:r>
          </w:p>
          <w:p>
            <w:pPr>
              <w:pStyle w:val="TableParagraph"/>
              <w:numPr>
                <w:ilvl w:val="0"/>
                <w:numId w:val="8"/>
              </w:numPr>
              <w:tabs>
                <w:tab w:pos="392" w:val="left" w:leader="none"/>
              </w:tabs>
              <w:spacing w:line="240" w:lineRule="auto" w:before="42" w:after="0"/>
              <w:ind w:left="391" w:right="156" w:hanging="261"/>
              <w:jc w:val="left"/>
              <w:rPr>
                <w:sz w:val="18"/>
              </w:rPr>
            </w:pPr>
            <w:r>
              <w:rPr>
                <w:sz w:val="18"/>
              </w:rPr>
              <w:t>someone making sexual remarks or telling jokes or stories that were insulting to you; making inappropriate or offensive comments about your or someone else’s body, appearance, or sexual activities; saying crude or gross sexual things to you or trying to get you to talk about sexual matters when you didn’t want to; sharing offensive sexual remarks, jokes, stories, pictures, </w:t>
            </w:r>
            <w:r>
              <w:rPr>
                <w:spacing w:val="-3"/>
                <w:sz w:val="18"/>
              </w:rPr>
              <w:t>or </w:t>
            </w:r>
            <w:r>
              <w:rPr>
                <w:sz w:val="18"/>
              </w:rPr>
              <w:t>videos with you that you didn’t want; continuing to ask you to go out, get dinner, have drinks, or have sex even though you said “no”; staring, leering, or making gestures of a sexual nature that made you feel uncomfortable or offended; or referring to people of your gender in insulting or offensive</w:t>
            </w:r>
            <w:r>
              <w:rPr>
                <w:spacing w:val="-5"/>
                <w:sz w:val="18"/>
              </w:rPr>
              <w:t> </w:t>
            </w:r>
            <w:r>
              <w:rPr>
                <w:sz w:val="18"/>
              </w:rPr>
              <w:t>terms</w:t>
            </w:r>
          </w:p>
          <w:p>
            <w:pPr>
              <w:pStyle w:val="TableParagraph"/>
              <w:numPr>
                <w:ilvl w:val="0"/>
                <w:numId w:val="8"/>
              </w:numPr>
              <w:tabs>
                <w:tab w:pos="392" w:val="left" w:leader="none"/>
              </w:tabs>
              <w:spacing w:line="240" w:lineRule="auto" w:before="37" w:after="0"/>
              <w:ind w:left="391" w:right="302" w:hanging="261"/>
              <w:jc w:val="left"/>
              <w:rPr>
                <w:sz w:val="18"/>
              </w:rPr>
            </w:pPr>
            <w:r>
              <w:rPr>
                <w:sz w:val="18"/>
              </w:rPr>
              <w:t>someone in a position of authority over you promising you better treatment or implying favors if you engaged in sexual contact or implying or threatening worse treatment if you refused sexual</w:t>
            </w:r>
            <w:r>
              <w:rPr>
                <w:spacing w:val="-2"/>
                <w:sz w:val="18"/>
              </w:rPr>
              <w:t> </w:t>
            </w:r>
            <w:r>
              <w:rPr>
                <w:sz w:val="18"/>
              </w:rPr>
              <w:t>contact</w:t>
            </w:r>
          </w:p>
        </w:tc>
      </w:tr>
      <w:tr>
        <w:trPr>
          <w:trHeight w:val="1114" w:hRule="atLeast"/>
        </w:trPr>
        <w:tc>
          <w:tcPr>
            <w:tcW w:w="2131" w:type="dxa"/>
            <w:tcBorders>
              <w:top w:val="single" w:sz="4" w:space="0" w:color="585858"/>
              <w:bottom w:val="single" w:sz="4" w:space="0" w:color="585858"/>
            </w:tcBorders>
          </w:tcPr>
          <w:p>
            <w:pPr>
              <w:pStyle w:val="TableParagraph"/>
              <w:ind w:left="114" w:right="115"/>
              <w:rPr>
                <w:sz w:val="18"/>
              </w:rPr>
            </w:pPr>
            <w:r>
              <w:rPr>
                <w:sz w:val="18"/>
              </w:rPr>
              <w:t>Coerced sexual contact (experienced during 2021–2022 academic year)</w:t>
            </w:r>
          </w:p>
        </w:tc>
        <w:tc>
          <w:tcPr>
            <w:tcW w:w="7136" w:type="dxa"/>
            <w:tcBorders>
              <w:top w:val="single" w:sz="4" w:space="0" w:color="585858"/>
              <w:bottom w:val="single" w:sz="4" w:space="0" w:color="585858"/>
            </w:tcBorders>
          </w:tcPr>
          <w:p>
            <w:pPr>
              <w:pStyle w:val="TableParagraph"/>
              <w:ind w:left="131" w:right="271"/>
              <w:rPr>
                <w:sz w:val="18"/>
              </w:rPr>
            </w:pPr>
            <w:r>
              <w:rPr>
                <w:sz w:val="18"/>
              </w:rPr>
              <w:t>Includes situations where someone had sexual contact (touching of a sexual nature, oral sex, or vaginal or anal sex) with the student by threatening to tell lies, end their relationship, or spread rumors about them; making promises the student knew or discovered were untrue; or continually verbally pressuring the student after they said they did not want to</w:t>
            </w:r>
          </w:p>
        </w:tc>
      </w:tr>
      <w:tr>
        <w:trPr>
          <w:trHeight w:val="2670" w:hRule="atLeast"/>
        </w:trPr>
        <w:tc>
          <w:tcPr>
            <w:tcW w:w="2131" w:type="dxa"/>
            <w:tcBorders>
              <w:top w:val="single" w:sz="4" w:space="0" w:color="585858"/>
              <w:bottom w:val="single" w:sz="4" w:space="0" w:color="585858"/>
            </w:tcBorders>
          </w:tcPr>
          <w:p>
            <w:pPr>
              <w:pStyle w:val="TableParagraph"/>
              <w:ind w:left="114" w:right="115"/>
              <w:rPr>
                <w:sz w:val="18"/>
              </w:rPr>
            </w:pPr>
            <w:r>
              <w:rPr>
                <w:sz w:val="18"/>
              </w:rPr>
              <w:t>Sexual assault, rape, and sexual battery (experienced during 2021–2022 academic year, before entering college, before entering MSU, since entering MSU, and in the student’s lifetime)</w:t>
            </w:r>
          </w:p>
        </w:tc>
        <w:tc>
          <w:tcPr>
            <w:tcW w:w="7136" w:type="dxa"/>
            <w:tcBorders>
              <w:top w:val="single" w:sz="4" w:space="0" w:color="585858"/>
              <w:bottom w:val="single" w:sz="4" w:space="0" w:color="585858"/>
            </w:tcBorders>
          </w:tcPr>
          <w:p>
            <w:pPr>
              <w:pStyle w:val="TableParagraph"/>
              <w:ind w:left="131" w:right="330"/>
              <w:rPr>
                <w:sz w:val="18"/>
              </w:rPr>
            </w:pPr>
            <w:r>
              <w:rPr>
                <w:sz w:val="18"/>
              </w:rPr>
              <w:t>Includes any unwanted, nonconsensual sexual contact (“sexual contact that you did not consent to and that you did not want to happen”). It does not include sexual harassment or coerced sexual contact. For each reference period, estimates are further broken down into rape and sexual battery, which are mutually exclusive:</w:t>
            </w:r>
          </w:p>
          <w:p>
            <w:pPr>
              <w:pStyle w:val="TableParagraph"/>
              <w:numPr>
                <w:ilvl w:val="0"/>
                <w:numId w:val="9"/>
              </w:numPr>
              <w:tabs>
                <w:tab w:pos="392" w:val="left" w:leader="none"/>
              </w:tabs>
              <w:spacing w:line="240" w:lineRule="auto" w:before="40" w:after="0"/>
              <w:ind w:left="391" w:right="416" w:hanging="261"/>
              <w:jc w:val="both"/>
              <w:rPr>
                <w:sz w:val="18"/>
              </w:rPr>
            </w:pPr>
            <w:r>
              <w:rPr>
                <w:b/>
                <w:sz w:val="18"/>
              </w:rPr>
              <w:t>Sexual battery </w:t>
            </w:r>
            <w:r>
              <w:rPr>
                <w:sz w:val="18"/>
              </w:rPr>
              <w:t>is defined as any unwanted, nonconsensual sexual contact that involved forced touching </w:t>
            </w:r>
            <w:r>
              <w:rPr>
                <w:spacing w:val="-3"/>
                <w:sz w:val="18"/>
              </w:rPr>
              <w:t>of </w:t>
            </w:r>
            <w:r>
              <w:rPr>
                <w:sz w:val="18"/>
              </w:rPr>
              <w:t>a sexual nature but not penetration. It could include forced kissing, touching, grabbing, or fondling of sexual body</w:t>
            </w:r>
            <w:r>
              <w:rPr>
                <w:spacing w:val="-12"/>
                <w:sz w:val="18"/>
              </w:rPr>
              <w:t> </w:t>
            </w:r>
            <w:r>
              <w:rPr>
                <w:sz w:val="18"/>
              </w:rPr>
              <w:t>parts.</w:t>
            </w:r>
          </w:p>
          <w:p>
            <w:pPr>
              <w:pStyle w:val="TableParagraph"/>
              <w:numPr>
                <w:ilvl w:val="0"/>
                <w:numId w:val="9"/>
              </w:numPr>
              <w:tabs>
                <w:tab w:pos="393" w:val="left" w:leader="none"/>
              </w:tabs>
              <w:spacing w:line="240" w:lineRule="auto" w:before="39" w:after="0"/>
              <w:ind w:left="391" w:right="243" w:hanging="260"/>
              <w:jc w:val="left"/>
              <w:rPr>
                <w:sz w:val="18"/>
              </w:rPr>
            </w:pPr>
            <w:r>
              <w:rPr>
                <w:b/>
                <w:sz w:val="18"/>
              </w:rPr>
              <w:t>Rape </w:t>
            </w:r>
            <w:r>
              <w:rPr>
                <w:sz w:val="18"/>
              </w:rPr>
              <w:t>is defined </w:t>
            </w:r>
            <w:r>
              <w:rPr>
                <w:spacing w:val="-3"/>
                <w:sz w:val="18"/>
              </w:rPr>
              <w:t>as </w:t>
            </w:r>
            <w:r>
              <w:rPr>
                <w:sz w:val="18"/>
              </w:rPr>
              <w:t>any unwanted, nonconsensual sexual contact that involved a penetrative act, including oral sex, anal sex, sexual intercourse, or sexual penetration with a finger or object. Sexual battery and rape are mutually exclusive categories (i.e., a survivor or a sexual victimization incident would be counted </w:t>
            </w:r>
            <w:r>
              <w:rPr>
                <w:spacing w:val="-3"/>
                <w:sz w:val="18"/>
              </w:rPr>
              <w:t>as </w:t>
            </w:r>
            <w:r>
              <w:rPr>
                <w:sz w:val="18"/>
              </w:rPr>
              <w:t>one or the other, but not</w:t>
            </w:r>
            <w:r>
              <w:rPr>
                <w:spacing w:val="10"/>
                <w:sz w:val="18"/>
              </w:rPr>
              <w:t> </w:t>
            </w:r>
            <w:r>
              <w:rPr>
                <w:sz w:val="18"/>
              </w:rPr>
              <w:t>both).</w:t>
            </w:r>
          </w:p>
        </w:tc>
      </w:tr>
    </w:tbl>
    <w:p>
      <w:pPr>
        <w:pStyle w:val="BodyText"/>
        <w:rPr>
          <w:b/>
          <w:sz w:val="22"/>
        </w:rPr>
      </w:pPr>
    </w:p>
    <w:p>
      <w:pPr>
        <w:pStyle w:val="BodyText"/>
        <w:spacing w:before="1"/>
        <w:rPr>
          <w:b/>
          <w:sz w:val="22"/>
        </w:rPr>
      </w:pPr>
    </w:p>
    <w:p>
      <w:pPr>
        <w:pStyle w:val="Heading3"/>
        <w:numPr>
          <w:ilvl w:val="1"/>
          <w:numId w:val="4"/>
        </w:numPr>
        <w:tabs>
          <w:tab w:pos="1043" w:val="left" w:leader="none"/>
          <w:tab w:pos="1044" w:val="left" w:leader="none"/>
        </w:tabs>
        <w:spacing w:line="240" w:lineRule="auto" w:before="1" w:after="0"/>
        <w:ind w:left="1043" w:right="0" w:hanging="864"/>
        <w:jc w:val="left"/>
      </w:pPr>
      <w:bookmarkStart w:name="_TOC_250011" w:id="11"/>
      <w:bookmarkStart w:name="2.1 Overall Prevalence of Victimization" w:id="12"/>
      <w:r>
        <w:rPr>
          <w:b w:val="0"/>
        </w:rPr>
      </w:r>
      <w:bookmarkEnd w:id="12"/>
      <w:bookmarkStart w:name="2.1 Overall Prevalence of Victimization" w:id="13"/>
      <w:r>
        <w:rPr>
          <w:color w:val="09357D"/>
        </w:rPr>
        <w:t>O</w:t>
      </w:r>
      <w:r>
        <w:rPr>
          <w:color w:val="09357D"/>
        </w:rPr>
        <w:t>verall Prevalence of</w:t>
      </w:r>
      <w:r>
        <w:rPr>
          <w:color w:val="09357D"/>
          <w:spacing w:val="-3"/>
        </w:rPr>
        <w:t> </w:t>
      </w:r>
      <w:bookmarkEnd w:id="11"/>
      <w:r>
        <w:rPr>
          <w:color w:val="09357D"/>
        </w:rPr>
        <w:t>Victimization</w:t>
      </w:r>
    </w:p>
    <w:p>
      <w:pPr>
        <w:pStyle w:val="BodyText"/>
        <w:spacing w:line="333" w:lineRule="auto" w:before="228"/>
        <w:ind w:left="179" w:right="1621" w:firstLine="720"/>
      </w:pPr>
      <w:r>
        <w:rPr/>
        <w:t>Figure 1 shows the prevalence of various forms of victimization (i.e., the percentage of students who experienced each type) for undergraduate and graduate/professional students, by gender identity. The first set of estimates reflects various forms of victimization experienced in the 2021–2022 academic year, and the second set focuses on sexual assault experienced in broader reference periods.</w:t>
      </w:r>
    </w:p>
    <w:p>
      <w:pPr>
        <w:spacing w:after="0" w:line="333" w:lineRule="auto"/>
        <w:sectPr>
          <w:headerReference w:type="default" r:id="rId47"/>
          <w:footerReference w:type="default" r:id="rId48"/>
          <w:pgSz w:w="12240" w:h="15840"/>
          <w:pgMar w:header="0" w:footer="592" w:top="1120" w:bottom="780" w:left="1260" w:right="0"/>
          <w:pgNumType w:start="14"/>
        </w:sectPr>
      </w:pPr>
    </w:p>
    <w:p>
      <w:pPr>
        <w:pStyle w:val="BodyText"/>
        <w:spacing w:before="8"/>
        <w:rPr>
          <w:sz w:val="11"/>
        </w:rPr>
      </w:pPr>
    </w:p>
    <w:p>
      <w:pPr>
        <w:pStyle w:val="Heading5"/>
        <w:tabs>
          <w:tab w:pos="1259" w:val="left" w:leader="none"/>
        </w:tabs>
        <w:ind w:left="180" w:firstLine="0"/>
      </w:pPr>
      <w:r>
        <w:rPr/>
        <w:pict>
          <v:group style="position:absolute;margin-left:73.199997pt;margin-top:19.478895pt;width:463.6pt;height:193.65pt;mso-position-horizontal-relative:page;mso-position-vertical-relative:paragraph;z-index:-251631616;mso-wrap-distance-left:0;mso-wrap-distance-right:0" coordorigin="1464,390" coordsize="9272,3873">
            <v:line style="position:absolute" from="1472,394" to="10728,394" stroked="true" strokeweight=".401pt" strokecolor="#a4a4a4">
              <v:stroke dashstyle="solid"/>
            </v:line>
            <v:rect style="position:absolute;left:1464;top:4253;width:8;height:9" filled="true" fillcolor="#a4a4a4" stroked="false">
              <v:fill type="solid"/>
            </v:rect>
            <v:rect style="position:absolute;left:1464;top:4253;width:8;height:9" filled="true" fillcolor="#a4a4a4" stroked="false">
              <v:fill type="solid"/>
            </v:rect>
            <v:line style="position:absolute" from="1472,4258" to="10728,4258" stroked="true" strokeweight=".401pt" strokecolor="#a4a4a4">
              <v:stroke dashstyle="solid"/>
            </v:line>
            <v:rect style="position:absolute;left:10728;top:4253;width:8;height:9" filled="true" fillcolor="#a4a4a4" stroked="false">
              <v:fill type="solid"/>
            </v:rect>
            <v:rect style="position:absolute;left:10728;top:4253;width:8;height:9" filled="true" fillcolor="#a4a4a4" stroked="false">
              <v:fill type="solid"/>
            </v:rect>
            <v:line style="position:absolute" from="1468,390" to="1468,4254" stroked="true" strokeweight=".4pt" strokecolor="#a4a4a4">
              <v:stroke dashstyle="solid"/>
            </v:line>
            <v:line style="position:absolute" from="10732,390" to="10732,4254" stroked="true" strokeweight=".4pt" strokecolor="#a4a4a4">
              <v:stroke dashstyle="solid"/>
            </v:line>
            <v:shape style="position:absolute;left:1777;top:475;width:8936;height:3697" type="#_x0000_t75" alt="See Notes for information on an accessible version of this figure.  " stroked="false">
              <v:imagedata r:id="rId49" o:title=""/>
            </v:shape>
            <w10:wrap type="topAndBottom"/>
          </v:group>
        </w:pict>
      </w:r>
      <w:r>
        <w:rPr/>
        <w:t>Figure</w:t>
      </w:r>
      <w:r>
        <w:rPr>
          <w:spacing w:val="-3"/>
        </w:rPr>
        <w:t> </w:t>
      </w:r>
      <w:r>
        <w:rPr/>
        <w:t>1.</w:t>
        <w:tab/>
        <w:t>Victimization</w:t>
      </w:r>
      <w:r>
        <w:rPr>
          <w:spacing w:val="2"/>
        </w:rPr>
        <w:t> </w:t>
      </w:r>
      <w:r>
        <w:rPr/>
        <w:t>Prevalence</w:t>
      </w:r>
    </w:p>
    <w:p>
      <w:pPr>
        <w:spacing w:before="30"/>
        <w:ind w:left="367" w:right="1756" w:hanging="188"/>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19">
        <w:r>
          <w:rPr>
            <w:color w:val="1F419A"/>
            <w:sz w:val="18"/>
            <w:u w:val="single" w:color="1F419A"/>
          </w:rPr>
          <w:t>Appendix Tables D-1a</w:t>
        </w:r>
        <w:r>
          <w:rPr>
            <w:color w:val="1F419A"/>
            <w:sz w:val="18"/>
          </w:rPr>
          <w:t> </w:t>
        </w:r>
      </w:hyperlink>
      <w:r>
        <w:rPr>
          <w:sz w:val="18"/>
        </w:rPr>
        <w:t>and </w:t>
      </w:r>
      <w:hyperlink r:id="rId20">
        <w:r>
          <w:rPr>
            <w:color w:val="1F419A"/>
            <w:sz w:val="18"/>
            <w:u w:val="single" w:color="1F419A"/>
          </w:rPr>
          <w:t>D-1b</w:t>
        </w:r>
      </w:hyperlink>
      <w:r>
        <w:rPr>
          <w:sz w:val="18"/>
        </w:rPr>
        <w:t>.</w:t>
      </w:r>
    </w:p>
    <w:p>
      <w:pPr>
        <w:pStyle w:val="BodyText"/>
      </w:pPr>
    </w:p>
    <w:p>
      <w:pPr>
        <w:pStyle w:val="BodyText"/>
        <w:spacing w:before="8"/>
      </w:pPr>
    </w:p>
    <w:p>
      <w:pPr>
        <w:pStyle w:val="BodyText"/>
        <w:ind w:left="900"/>
      </w:pPr>
      <w:r>
        <w:rPr/>
        <w:t>Key findings pertaining to students’ victimization experiences included the following:</w:t>
      </w:r>
    </w:p>
    <w:p>
      <w:pPr>
        <w:pStyle w:val="ListParagraph"/>
        <w:numPr>
          <w:ilvl w:val="2"/>
          <w:numId w:val="4"/>
        </w:numPr>
        <w:tabs>
          <w:tab w:pos="1259" w:val="left" w:leader="none"/>
          <w:tab w:pos="1260" w:val="left" w:leader="none"/>
        </w:tabs>
        <w:spacing w:line="240" w:lineRule="auto" w:before="182" w:after="0"/>
        <w:ind w:left="1260" w:right="1665" w:hanging="360"/>
        <w:jc w:val="left"/>
        <w:rPr>
          <w:sz w:val="20"/>
        </w:rPr>
      </w:pPr>
      <w:r>
        <w:rPr>
          <w:sz w:val="20"/>
        </w:rPr>
        <w:t>Sexual harassment</w:t>
      </w:r>
      <w:r>
        <w:rPr>
          <w:position w:val="5"/>
          <w:sz w:val="12"/>
        </w:rPr>
        <w:t>15 </w:t>
      </w:r>
      <w:r>
        <w:rPr>
          <w:sz w:val="20"/>
        </w:rPr>
        <w:t>was the most prevalent type of victimization during the 2021–2022 academic year (Figure ES-1), experienced by 61.0% of undergraduate cisgender women,</w:t>
      </w:r>
      <w:r>
        <w:rPr>
          <w:position w:val="5"/>
          <w:sz w:val="12"/>
        </w:rPr>
        <w:t>16</w:t>
      </w:r>
      <w:r>
        <w:rPr>
          <w:sz w:val="12"/>
        </w:rPr>
        <w:t> </w:t>
      </w:r>
      <w:r>
        <w:rPr>
          <w:sz w:val="20"/>
        </w:rPr>
        <w:t>72.8% of transgender and/or nonbinary undergraduates, 37.5% of cisgender women graduate/professional students, 65.1% of transgender and/or nonbinary graduate/professional students, 35.7% of undergraduate cisgender men, and 17.3% of cisgender men graduate/professional</w:t>
      </w:r>
      <w:r>
        <w:rPr>
          <w:spacing w:val="-3"/>
          <w:sz w:val="20"/>
        </w:rPr>
        <w:t> </w:t>
      </w:r>
      <w:r>
        <w:rPr>
          <w:sz w:val="20"/>
        </w:rPr>
        <w:t>students.</w:t>
      </w:r>
    </w:p>
    <w:p>
      <w:pPr>
        <w:pStyle w:val="ListParagraph"/>
        <w:numPr>
          <w:ilvl w:val="3"/>
          <w:numId w:val="4"/>
        </w:numPr>
        <w:tabs>
          <w:tab w:pos="1619" w:val="left" w:leader="none"/>
          <w:tab w:pos="1620" w:val="left" w:leader="none"/>
        </w:tabs>
        <w:spacing w:line="240" w:lineRule="auto" w:before="80" w:after="0"/>
        <w:ind w:left="1620" w:right="1600" w:hanging="360"/>
        <w:jc w:val="left"/>
        <w:rPr>
          <w:sz w:val="20"/>
        </w:rPr>
      </w:pPr>
      <w:r>
        <w:rPr>
          <w:sz w:val="20"/>
        </w:rPr>
        <w:t>The most common forms of sexual harassment were someone making “inappropriate</w:t>
      </w:r>
      <w:r>
        <w:rPr>
          <w:spacing w:val="-38"/>
          <w:sz w:val="20"/>
        </w:rPr>
        <w:t> </w:t>
      </w:r>
      <w:r>
        <w:rPr>
          <w:sz w:val="20"/>
        </w:rPr>
        <w:t>or offensive comments about your or someone else’s body, appearance, or sexual activities” and “someone referring to people of your gender in insulting or offensive terms.”</w:t>
      </w:r>
    </w:p>
    <w:p>
      <w:pPr>
        <w:pStyle w:val="ListParagraph"/>
        <w:numPr>
          <w:ilvl w:val="2"/>
          <w:numId w:val="4"/>
        </w:numPr>
        <w:tabs>
          <w:tab w:pos="1259" w:val="left" w:leader="none"/>
          <w:tab w:pos="1260" w:val="left" w:leader="none"/>
        </w:tabs>
        <w:spacing w:line="240" w:lineRule="auto" w:before="80" w:after="0"/>
        <w:ind w:left="1260" w:right="1543" w:hanging="360"/>
        <w:jc w:val="left"/>
        <w:rPr>
          <w:sz w:val="20"/>
        </w:rPr>
      </w:pPr>
      <w:r>
        <w:rPr>
          <w:sz w:val="20"/>
        </w:rPr>
        <w:t>About 9.0% of undergraduate cisgender women, 3.0% of undergraduate cisgender men, 15.7% of transgender and/or nonbinary undergraduates, and 5.8% of cisgender women graduate/professional students experienced stalking in the 2021–2022 academic year. The stalking estimates for cisgender men graduate/professional students and transgender and/or nonbinary graduate/professional students are not discussed in the text because they were not reliable</w:t>
      </w:r>
      <w:r>
        <w:rPr>
          <w:spacing w:val="-4"/>
          <w:sz w:val="20"/>
        </w:rPr>
        <w:t> </w:t>
      </w:r>
      <w:r>
        <w:rPr>
          <w:sz w:val="20"/>
        </w:rPr>
        <w:t>statistically.</w:t>
      </w:r>
    </w:p>
    <w:p>
      <w:pPr>
        <w:pStyle w:val="ListParagraph"/>
        <w:numPr>
          <w:ilvl w:val="2"/>
          <w:numId w:val="4"/>
        </w:numPr>
        <w:tabs>
          <w:tab w:pos="1259" w:val="left" w:leader="none"/>
          <w:tab w:pos="1260" w:val="left" w:leader="none"/>
        </w:tabs>
        <w:spacing w:line="240" w:lineRule="auto" w:before="81" w:after="0"/>
        <w:ind w:left="1260" w:right="1550" w:hanging="360"/>
        <w:jc w:val="left"/>
        <w:rPr>
          <w:sz w:val="20"/>
        </w:rPr>
      </w:pPr>
      <w:r>
        <w:rPr>
          <w:sz w:val="20"/>
        </w:rPr>
        <w:t>About 11.8% of undergraduate cisgender women, 2.8% of undergraduate cisgender men, 10.6% of transgender and/or nonbinary undergraduates, and 3.1% of cisgender women graduate/professional student experienced sexual assault</w:t>
      </w:r>
      <w:r>
        <w:rPr>
          <w:position w:val="5"/>
          <w:sz w:val="12"/>
        </w:rPr>
        <w:t>17 </w:t>
      </w:r>
      <w:r>
        <w:rPr>
          <w:sz w:val="20"/>
        </w:rPr>
        <w:t>during the 2021–2022 academic year.</w:t>
      </w:r>
    </w:p>
    <w:p>
      <w:pPr>
        <w:pStyle w:val="BodyText"/>
      </w:pPr>
    </w:p>
    <w:p>
      <w:pPr>
        <w:pStyle w:val="BodyText"/>
      </w:pPr>
    </w:p>
    <w:p>
      <w:pPr>
        <w:pStyle w:val="BodyText"/>
        <w:spacing w:before="6"/>
      </w:pPr>
      <w:r>
        <w:rPr/>
        <w:pict>
          <v:shape style="position:absolute;margin-left:72pt;margin-top:13.97605pt;width:144pt;height:.1pt;mso-position-horizontal-relative:page;mso-position-vertical-relative:paragraph;z-index:-251630592;mso-wrap-distance-left:0;mso-wrap-distance-right:0" coordorigin="1440,280" coordsize="2880,0" path="m1440,280l4320,280e" filled="false" stroked="true" strokeweight=".4pt" strokecolor="#000000">
            <v:path arrowok="t"/>
            <v:stroke dashstyle="solid"/>
            <w10:wrap type="topAndBottom"/>
          </v:shape>
        </w:pict>
      </w:r>
    </w:p>
    <w:p>
      <w:pPr>
        <w:spacing w:line="240" w:lineRule="auto" w:before="54"/>
        <w:ind w:left="452" w:right="1493" w:hanging="279"/>
        <w:jc w:val="left"/>
        <w:rPr>
          <w:sz w:val="18"/>
        </w:rPr>
      </w:pPr>
      <w:r>
        <w:rPr>
          <w:position w:val="2"/>
          <w:sz w:val="12"/>
        </w:rPr>
        <w:t>15 </w:t>
      </w:r>
      <w:r>
        <w:rPr>
          <w:sz w:val="18"/>
        </w:rPr>
        <w:t>Sexual harassment included a number of behaviors pertaining to sexual remarks; continued sexual advances; sharing of sexual photos or videos; use of offensive, gender-based language; or someone in a position of authority promising better treatment (or threatening worse treatment) associated with sexual contact. See Table 5 for a detailed description of how sexual harassment was measured in the survey.</w:t>
      </w:r>
    </w:p>
    <w:p>
      <w:pPr>
        <w:spacing w:before="0"/>
        <w:ind w:left="452" w:right="1985" w:hanging="259"/>
        <w:jc w:val="left"/>
        <w:rPr>
          <w:sz w:val="18"/>
        </w:rPr>
      </w:pPr>
      <w:r>
        <w:rPr>
          <w:position w:val="4"/>
          <w:sz w:val="12"/>
        </w:rPr>
        <w:t>16 </w:t>
      </w:r>
      <w:r>
        <w:rPr>
          <w:sz w:val="18"/>
        </w:rPr>
        <w:t>Throughout this report, all results for students, faculty, and staff are shown according to self-reported gender identity.</w:t>
      </w:r>
    </w:p>
    <w:p>
      <w:pPr>
        <w:spacing w:before="0"/>
        <w:ind w:left="451" w:right="1614" w:hanging="258"/>
        <w:jc w:val="left"/>
        <w:rPr>
          <w:sz w:val="18"/>
        </w:rPr>
      </w:pPr>
      <w:r>
        <w:rPr>
          <w:position w:val="4"/>
          <w:sz w:val="12"/>
        </w:rPr>
        <w:t>17 </w:t>
      </w:r>
      <w:r>
        <w:rPr>
          <w:sz w:val="18"/>
        </w:rPr>
        <w:t>Sexual assault was defined as sexual contact that the person did not consent to and did not want to happen. See Table 5 for a detailed description of how sexual assault was measured in the survey.</w:t>
      </w:r>
    </w:p>
    <w:p>
      <w:pPr>
        <w:spacing w:after="0"/>
        <w:jc w:val="left"/>
        <w:rPr>
          <w:sz w:val="18"/>
        </w:rPr>
        <w:sectPr>
          <w:pgSz w:w="12240" w:h="15840"/>
          <w:pgMar w:header="0" w:footer="592" w:top="1120" w:bottom="780" w:left="1260" w:right="0"/>
        </w:sectPr>
      </w:pPr>
    </w:p>
    <w:p>
      <w:pPr>
        <w:pStyle w:val="BodyText"/>
        <w:spacing w:before="8"/>
        <w:rPr>
          <w:sz w:val="11"/>
        </w:rPr>
      </w:pPr>
    </w:p>
    <w:p>
      <w:pPr>
        <w:pStyle w:val="ListParagraph"/>
        <w:numPr>
          <w:ilvl w:val="3"/>
          <w:numId w:val="4"/>
        </w:numPr>
        <w:tabs>
          <w:tab w:pos="1619" w:val="left" w:leader="none"/>
          <w:tab w:pos="1620" w:val="left" w:leader="none"/>
        </w:tabs>
        <w:spacing w:line="242" w:lineRule="auto" w:before="94" w:after="0"/>
        <w:ind w:left="1620" w:right="1770" w:hanging="360"/>
        <w:jc w:val="left"/>
        <w:rPr>
          <w:sz w:val="20"/>
        </w:rPr>
      </w:pPr>
      <w:r>
        <w:rPr>
          <w:sz w:val="20"/>
        </w:rPr>
        <w:t>Sexual battery, defined as any unwanted, nonconsensual sexual contact that involved forced touching of a sexual nature but not penetration, was more common than</w:t>
      </w:r>
      <w:r>
        <w:rPr>
          <w:spacing w:val="-32"/>
          <w:sz w:val="20"/>
        </w:rPr>
        <w:t> </w:t>
      </w:r>
      <w:r>
        <w:rPr>
          <w:sz w:val="20"/>
        </w:rPr>
        <w:t>rape.</w:t>
      </w:r>
    </w:p>
    <w:p>
      <w:pPr>
        <w:pStyle w:val="ListParagraph"/>
        <w:numPr>
          <w:ilvl w:val="3"/>
          <w:numId w:val="4"/>
        </w:numPr>
        <w:tabs>
          <w:tab w:pos="1619" w:val="left" w:leader="none"/>
          <w:tab w:pos="1620" w:val="left" w:leader="none"/>
        </w:tabs>
        <w:spacing w:line="242" w:lineRule="auto" w:before="75" w:after="0"/>
        <w:ind w:left="1620" w:right="1450" w:hanging="360"/>
        <w:jc w:val="left"/>
        <w:rPr>
          <w:sz w:val="20"/>
        </w:rPr>
      </w:pPr>
      <w:r>
        <w:rPr>
          <w:sz w:val="20"/>
        </w:rPr>
        <w:t>People committing a sexual assault most commonly used the tactic of “ignoring you when you said ‘no’ or just [doing] it without your consent, when you did not want it to</w:t>
      </w:r>
      <w:r>
        <w:rPr>
          <w:spacing w:val="-32"/>
          <w:sz w:val="20"/>
        </w:rPr>
        <w:t> </w:t>
      </w:r>
      <w:r>
        <w:rPr>
          <w:sz w:val="20"/>
        </w:rPr>
        <w:t>happen.”</w:t>
      </w:r>
    </w:p>
    <w:p>
      <w:pPr>
        <w:pStyle w:val="ListParagraph"/>
        <w:numPr>
          <w:ilvl w:val="3"/>
          <w:numId w:val="4"/>
        </w:numPr>
        <w:tabs>
          <w:tab w:pos="1619" w:val="left" w:leader="none"/>
          <w:tab w:pos="1620" w:val="left" w:leader="none"/>
        </w:tabs>
        <w:spacing w:line="242" w:lineRule="auto" w:before="75" w:after="0"/>
        <w:ind w:left="1619" w:right="1626" w:hanging="360"/>
        <w:jc w:val="left"/>
        <w:rPr>
          <w:sz w:val="20"/>
        </w:rPr>
      </w:pPr>
      <w:r>
        <w:rPr>
          <w:sz w:val="20"/>
        </w:rPr>
        <w:t>Most perpetrators were MSU students, and the most common location of rape incidents was an off-campus private</w:t>
      </w:r>
      <w:r>
        <w:rPr>
          <w:spacing w:val="-7"/>
          <w:sz w:val="20"/>
        </w:rPr>
        <w:t> </w:t>
      </w:r>
      <w:r>
        <w:rPr>
          <w:sz w:val="20"/>
        </w:rPr>
        <w:t>residence.</w:t>
      </w:r>
    </w:p>
    <w:p>
      <w:pPr>
        <w:pStyle w:val="ListParagraph"/>
        <w:numPr>
          <w:ilvl w:val="3"/>
          <w:numId w:val="4"/>
        </w:numPr>
        <w:tabs>
          <w:tab w:pos="1619" w:val="left" w:leader="none"/>
          <w:tab w:pos="1620" w:val="left" w:leader="none"/>
        </w:tabs>
        <w:spacing w:line="242" w:lineRule="auto" w:before="76" w:after="0"/>
        <w:ind w:left="1619" w:right="1906" w:hanging="360"/>
        <w:jc w:val="left"/>
        <w:rPr>
          <w:sz w:val="20"/>
        </w:rPr>
      </w:pPr>
      <w:r>
        <w:rPr>
          <w:sz w:val="20"/>
        </w:rPr>
        <w:t>A disproportionately high number of incidents took place for first-year undergraduate cisgender women in September and</w:t>
      </w:r>
      <w:r>
        <w:rPr>
          <w:spacing w:val="3"/>
          <w:sz w:val="20"/>
        </w:rPr>
        <w:t> </w:t>
      </w:r>
      <w:r>
        <w:rPr>
          <w:sz w:val="20"/>
        </w:rPr>
        <w:t>October.</w:t>
      </w:r>
    </w:p>
    <w:p>
      <w:pPr>
        <w:pStyle w:val="ListParagraph"/>
        <w:numPr>
          <w:ilvl w:val="3"/>
          <w:numId w:val="4"/>
        </w:numPr>
        <w:tabs>
          <w:tab w:pos="1619" w:val="left" w:leader="none"/>
          <w:tab w:pos="1620" w:val="left" w:leader="none"/>
        </w:tabs>
        <w:spacing w:line="240" w:lineRule="auto" w:before="75" w:after="0"/>
        <w:ind w:left="1619" w:right="1462" w:hanging="360"/>
        <w:jc w:val="left"/>
        <w:rPr>
          <w:sz w:val="20"/>
        </w:rPr>
      </w:pPr>
      <w:r>
        <w:rPr>
          <w:sz w:val="20"/>
        </w:rPr>
        <w:t>Most incidents were disclosed to someone close to the survivor (e.g., a roommate, friend, or family member). In about 16.2% of rape incidents and 4.1% of sexual battery incidents undergraduate cisgender women experienced, the student disclosed the incident to, or sought services from, an MSU</w:t>
      </w:r>
      <w:r>
        <w:rPr>
          <w:spacing w:val="-4"/>
          <w:sz w:val="20"/>
        </w:rPr>
        <w:t> </w:t>
      </w:r>
      <w:r>
        <w:rPr>
          <w:sz w:val="20"/>
        </w:rPr>
        <w:t>office.</w:t>
      </w:r>
    </w:p>
    <w:p>
      <w:pPr>
        <w:pStyle w:val="ListParagraph"/>
        <w:numPr>
          <w:ilvl w:val="3"/>
          <w:numId w:val="4"/>
        </w:numPr>
        <w:tabs>
          <w:tab w:pos="1619" w:val="left" w:leader="none"/>
          <w:tab w:pos="1620" w:val="left" w:leader="none"/>
        </w:tabs>
        <w:spacing w:line="240" w:lineRule="auto" w:before="80" w:after="0"/>
        <w:ind w:left="1620" w:right="1606" w:hanging="360"/>
        <w:jc w:val="left"/>
        <w:rPr>
          <w:sz w:val="20"/>
        </w:rPr>
      </w:pPr>
      <w:r>
        <w:rPr>
          <w:sz w:val="20"/>
        </w:rPr>
        <w:t>Students who experienced sexual assault were affected in a number of ways; rape incidents were considered to be much more upsetting to the student than sexual battery incidents and led to more problems in various areas of their</w:t>
      </w:r>
      <w:r>
        <w:rPr>
          <w:spacing w:val="-14"/>
          <w:sz w:val="20"/>
        </w:rPr>
        <w:t> </w:t>
      </w:r>
      <w:r>
        <w:rPr>
          <w:sz w:val="20"/>
        </w:rPr>
        <w:t>lives.</w:t>
      </w:r>
    </w:p>
    <w:p>
      <w:pPr>
        <w:pStyle w:val="ListParagraph"/>
        <w:numPr>
          <w:ilvl w:val="3"/>
          <w:numId w:val="4"/>
        </w:numPr>
        <w:tabs>
          <w:tab w:pos="1619" w:val="left" w:leader="none"/>
          <w:tab w:pos="1620" w:val="left" w:leader="none"/>
        </w:tabs>
        <w:spacing w:line="240" w:lineRule="auto" w:before="82" w:after="0"/>
        <w:ind w:left="1620" w:right="1738" w:hanging="360"/>
        <w:jc w:val="left"/>
        <w:rPr>
          <w:sz w:val="20"/>
        </w:rPr>
      </w:pPr>
      <w:r>
        <w:rPr>
          <w:sz w:val="20"/>
        </w:rPr>
        <w:t>When other reference periods are considered, key findings shown in the figure include the following.</w:t>
      </w:r>
    </w:p>
    <w:p>
      <w:pPr>
        <w:pStyle w:val="ListParagraph"/>
        <w:numPr>
          <w:ilvl w:val="4"/>
          <w:numId w:val="4"/>
        </w:numPr>
        <w:tabs>
          <w:tab w:pos="1979" w:val="left" w:leader="none"/>
          <w:tab w:pos="1980" w:val="left" w:leader="none"/>
        </w:tabs>
        <w:spacing w:line="230" w:lineRule="auto" w:before="87" w:after="0"/>
        <w:ind w:left="1980" w:right="1610" w:hanging="360"/>
        <w:jc w:val="left"/>
        <w:rPr>
          <w:sz w:val="20"/>
        </w:rPr>
      </w:pPr>
      <w:r>
        <w:rPr>
          <w:sz w:val="20"/>
        </w:rPr>
        <w:t>Among undergraduate cisgender women, 28.6% experienced sexual assault before enrolling in MSU, 24.8% experienced sexual assault since enrolling at MSU, and 38.6% experienced sexual assault in their</w:t>
      </w:r>
      <w:r>
        <w:rPr>
          <w:spacing w:val="-6"/>
          <w:sz w:val="20"/>
        </w:rPr>
        <w:t> </w:t>
      </w:r>
      <w:r>
        <w:rPr>
          <w:sz w:val="20"/>
        </w:rPr>
        <w:t>lifetimes.</w:t>
      </w:r>
    </w:p>
    <w:p>
      <w:pPr>
        <w:pStyle w:val="ListParagraph"/>
        <w:numPr>
          <w:ilvl w:val="4"/>
          <w:numId w:val="4"/>
        </w:numPr>
        <w:tabs>
          <w:tab w:pos="1980" w:val="left" w:leader="none"/>
        </w:tabs>
        <w:spacing w:line="230" w:lineRule="auto" w:before="128" w:after="0"/>
        <w:ind w:left="1980" w:right="1979" w:hanging="360"/>
        <w:jc w:val="both"/>
        <w:rPr>
          <w:sz w:val="20"/>
        </w:rPr>
      </w:pPr>
      <w:r>
        <w:rPr>
          <w:sz w:val="20"/>
        </w:rPr>
        <w:t>Among undergraduate cisgender men, 6.9% experienced sexual assault before enrolling in MSU, 5.5% experienced sexual assault since enrolling at MSU, and 10.6% experienced sexual assault in their</w:t>
      </w:r>
      <w:r>
        <w:rPr>
          <w:spacing w:val="-8"/>
          <w:sz w:val="20"/>
        </w:rPr>
        <w:t> </w:t>
      </w:r>
      <w:r>
        <w:rPr>
          <w:sz w:val="20"/>
        </w:rPr>
        <w:t>lifetimes.</w:t>
      </w:r>
    </w:p>
    <w:p>
      <w:pPr>
        <w:pStyle w:val="ListParagraph"/>
        <w:numPr>
          <w:ilvl w:val="4"/>
          <w:numId w:val="4"/>
        </w:numPr>
        <w:tabs>
          <w:tab w:pos="1979" w:val="left" w:leader="none"/>
          <w:tab w:pos="1980" w:val="left" w:leader="none"/>
        </w:tabs>
        <w:spacing w:line="230" w:lineRule="auto" w:before="132" w:after="0"/>
        <w:ind w:left="1980" w:right="1513" w:hanging="360"/>
        <w:jc w:val="left"/>
        <w:rPr>
          <w:sz w:val="20"/>
        </w:rPr>
      </w:pPr>
      <w:r>
        <w:rPr>
          <w:sz w:val="20"/>
        </w:rPr>
        <w:t>Among transgender and/or nonbinary undergraduates, 40.1% experienced sexual assault before enrolling in MSU, 25.3% experienced sexual assault since enrolling at MSU, and 48.0% experienced sexual assault </w:t>
      </w:r>
      <w:r>
        <w:rPr>
          <w:spacing w:val="-3"/>
          <w:sz w:val="20"/>
        </w:rPr>
        <w:t>in </w:t>
      </w:r>
      <w:r>
        <w:rPr>
          <w:sz w:val="20"/>
        </w:rPr>
        <w:t>their</w:t>
      </w:r>
      <w:r>
        <w:rPr>
          <w:spacing w:val="-3"/>
          <w:sz w:val="20"/>
        </w:rPr>
        <w:t> </w:t>
      </w:r>
      <w:r>
        <w:rPr>
          <w:sz w:val="20"/>
        </w:rPr>
        <w:t>lifetimes.</w:t>
      </w:r>
    </w:p>
    <w:p>
      <w:pPr>
        <w:pStyle w:val="ListParagraph"/>
        <w:numPr>
          <w:ilvl w:val="4"/>
          <w:numId w:val="4"/>
        </w:numPr>
        <w:tabs>
          <w:tab w:pos="1979" w:val="left" w:leader="none"/>
          <w:tab w:pos="1980" w:val="left" w:leader="none"/>
        </w:tabs>
        <w:spacing w:line="230" w:lineRule="auto" w:before="128" w:after="0"/>
        <w:ind w:left="1980" w:right="1489" w:hanging="360"/>
        <w:jc w:val="left"/>
        <w:rPr>
          <w:sz w:val="20"/>
        </w:rPr>
      </w:pPr>
      <w:r>
        <w:rPr>
          <w:sz w:val="20"/>
        </w:rPr>
        <w:t>Among cisgender women graduate/professional students, 38.6% experienced sexual assault before enrolling in MSU, 7.3% experienced sexual assault since enrolling at MSU, and 39.8% experienced sexual assault </w:t>
      </w:r>
      <w:r>
        <w:rPr>
          <w:spacing w:val="-3"/>
          <w:sz w:val="20"/>
        </w:rPr>
        <w:t>in </w:t>
      </w:r>
      <w:r>
        <w:rPr>
          <w:sz w:val="20"/>
        </w:rPr>
        <w:t>their</w:t>
      </w:r>
      <w:r>
        <w:rPr>
          <w:spacing w:val="-3"/>
          <w:sz w:val="20"/>
        </w:rPr>
        <w:t> </w:t>
      </w:r>
      <w:r>
        <w:rPr>
          <w:sz w:val="20"/>
        </w:rPr>
        <w:t>lifetimes.</w:t>
      </w:r>
    </w:p>
    <w:p>
      <w:pPr>
        <w:pStyle w:val="ListParagraph"/>
        <w:numPr>
          <w:ilvl w:val="4"/>
          <w:numId w:val="4"/>
        </w:numPr>
        <w:tabs>
          <w:tab w:pos="1979" w:val="left" w:leader="none"/>
          <w:tab w:pos="1980" w:val="left" w:leader="none"/>
        </w:tabs>
        <w:spacing w:line="230" w:lineRule="auto" w:before="132" w:after="0"/>
        <w:ind w:left="1980" w:right="1745" w:hanging="360"/>
        <w:jc w:val="left"/>
        <w:rPr>
          <w:sz w:val="20"/>
        </w:rPr>
      </w:pPr>
      <w:r>
        <w:rPr>
          <w:sz w:val="20"/>
        </w:rPr>
        <w:t>Among cisgender men graduate/professional students, 10.3% experienced sexual assault before enrolling in MSU, and 11.1% experienced sexual assault in their lifetimes.</w:t>
      </w:r>
    </w:p>
    <w:p>
      <w:pPr>
        <w:pStyle w:val="ListParagraph"/>
        <w:numPr>
          <w:ilvl w:val="4"/>
          <w:numId w:val="4"/>
        </w:numPr>
        <w:tabs>
          <w:tab w:pos="1979" w:val="left" w:leader="none"/>
          <w:tab w:pos="1980" w:val="left" w:leader="none"/>
        </w:tabs>
        <w:spacing w:line="230" w:lineRule="auto" w:before="128" w:after="0"/>
        <w:ind w:left="1980" w:right="1589" w:hanging="360"/>
        <w:jc w:val="left"/>
        <w:rPr>
          <w:sz w:val="20"/>
        </w:rPr>
      </w:pPr>
      <w:r>
        <w:rPr>
          <w:sz w:val="20"/>
        </w:rPr>
        <w:t>Among transgender and/or nonbinary graduate/professional students, 45.5% experienced sexual assault before enrolling in MSU, and 55.0% experienced sexual assault in their</w:t>
      </w:r>
      <w:r>
        <w:rPr>
          <w:spacing w:val="1"/>
          <w:sz w:val="20"/>
        </w:rPr>
        <w:t> </w:t>
      </w:r>
      <w:r>
        <w:rPr>
          <w:sz w:val="20"/>
        </w:rPr>
        <w:t>lifetimes.</w:t>
      </w:r>
    </w:p>
    <w:p>
      <w:pPr>
        <w:pStyle w:val="BodyText"/>
        <w:spacing w:before="193"/>
        <w:ind w:left="900"/>
      </w:pPr>
      <w:r>
        <w:rPr/>
        <w:t>Additional key findings were as follows:</w:t>
      </w:r>
    </w:p>
    <w:p>
      <w:pPr>
        <w:pStyle w:val="ListParagraph"/>
        <w:numPr>
          <w:ilvl w:val="2"/>
          <w:numId w:val="4"/>
        </w:numPr>
        <w:tabs>
          <w:tab w:pos="1259" w:val="left" w:leader="none"/>
          <w:tab w:pos="1260" w:val="left" w:leader="none"/>
        </w:tabs>
        <w:spacing w:line="240" w:lineRule="auto" w:before="182" w:after="0"/>
        <w:ind w:left="1260" w:right="1454" w:hanging="360"/>
        <w:jc w:val="left"/>
        <w:rPr>
          <w:sz w:val="20"/>
        </w:rPr>
      </w:pPr>
      <w:r>
        <w:rPr>
          <w:sz w:val="20"/>
        </w:rPr>
        <w:t>Regarding the components of sexual assault, sexual battery was more common than rape. Among undergraduate cisgender women, 4.4% experienced rape and 6.9% experienced sexual battery during the 2021–2022 academic year. During the same reference period, 1.9% of undergraduate cisgender men experienced sexual battery, and 4.5% of transgender and/or nonbinary undergraduates experienced sexual battery. Comparable estimates for other groups are not discussed because they were not reliable</w:t>
      </w:r>
      <w:r>
        <w:rPr>
          <w:spacing w:val="-14"/>
          <w:sz w:val="20"/>
        </w:rPr>
        <w:t> </w:t>
      </w:r>
      <w:r>
        <w:rPr>
          <w:sz w:val="20"/>
        </w:rPr>
        <w:t>statistically.</w:t>
      </w:r>
      <w:r>
        <w:rPr>
          <w:position w:val="5"/>
          <w:sz w:val="12"/>
        </w:rPr>
        <w:t>18</w:t>
      </w:r>
    </w:p>
    <w:p>
      <w:pPr>
        <w:pStyle w:val="ListParagraph"/>
        <w:numPr>
          <w:ilvl w:val="3"/>
          <w:numId w:val="4"/>
        </w:numPr>
        <w:tabs>
          <w:tab w:pos="1619" w:val="left" w:leader="none"/>
          <w:tab w:pos="1620" w:val="left" w:leader="none"/>
        </w:tabs>
        <w:spacing w:line="240" w:lineRule="auto" w:before="80" w:after="0"/>
        <w:ind w:left="1620" w:right="2126" w:hanging="360"/>
        <w:jc w:val="left"/>
        <w:rPr>
          <w:sz w:val="20"/>
        </w:rPr>
      </w:pPr>
      <w:r>
        <w:rPr>
          <w:sz w:val="20"/>
        </w:rPr>
        <w:t>The most common types of sexual battery students experienced were someone “touching, grabbing, or fondling your sexual body parts” and “someone rubbing up against you in a sexual</w:t>
      </w:r>
      <w:r>
        <w:rPr>
          <w:spacing w:val="-2"/>
          <w:sz w:val="20"/>
        </w:rPr>
        <w:t> </w:t>
      </w:r>
      <w:r>
        <w:rPr>
          <w:sz w:val="20"/>
        </w:rPr>
        <w:t>way.”</w:t>
      </w:r>
    </w:p>
    <w:p>
      <w:pPr>
        <w:pStyle w:val="ListParagraph"/>
        <w:numPr>
          <w:ilvl w:val="2"/>
          <w:numId w:val="4"/>
        </w:numPr>
        <w:tabs>
          <w:tab w:pos="1259" w:val="left" w:leader="none"/>
          <w:tab w:pos="1260" w:val="left" w:leader="none"/>
        </w:tabs>
        <w:spacing w:line="242" w:lineRule="auto" w:before="79" w:after="0"/>
        <w:ind w:left="1260" w:right="1599" w:hanging="360"/>
        <w:jc w:val="left"/>
        <w:rPr>
          <w:sz w:val="20"/>
        </w:rPr>
      </w:pPr>
      <w:r>
        <w:rPr>
          <w:sz w:val="20"/>
        </w:rPr>
        <w:t>Some students experienced more than one incident of sexual assault during the 2021–2022 academic year. For example, among undergraduate cisgender women, 6.4% of</w:t>
      </w:r>
      <w:r>
        <w:rPr>
          <w:spacing w:val="-28"/>
          <w:sz w:val="20"/>
        </w:rPr>
        <w:t> </w:t>
      </w:r>
      <w:r>
        <w:rPr>
          <w:sz w:val="20"/>
        </w:rPr>
        <w:t>students</w:t>
      </w:r>
    </w:p>
    <w:p>
      <w:pPr>
        <w:pStyle w:val="BodyText"/>
        <w:rPr>
          <w:sz w:val="18"/>
        </w:rPr>
      </w:pPr>
      <w:r>
        <w:rPr/>
        <w:pict>
          <v:shape style="position:absolute;margin-left:72pt;margin-top:12.543017pt;width:144pt;height:.1pt;mso-position-horizontal-relative:page;mso-position-vertical-relative:paragraph;z-index:-251629568;mso-wrap-distance-left:0;mso-wrap-distance-right:0" coordorigin="1440,251" coordsize="2880,0" path="m1440,251l4320,251e" filled="false" stroked="true" strokeweight=".4pt" strokecolor="#000000">
            <v:path arrowok="t"/>
            <v:stroke dashstyle="solid"/>
            <w10:wrap type="topAndBottom"/>
          </v:shape>
        </w:pict>
      </w:r>
    </w:p>
    <w:p>
      <w:pPr>
        <w:spacing w:before="54"/>
        <w:ind w:left="193" w:right="0" w:firstLine="0"/>
        <w:jc w:val="left"/>
        <w:rPr>
          <w:sz w:val="18"/>
        </w:rPr>
      </w:pPr>
      <w:r>
        <w:rPr>
          <w:position w:val="4"/>
          <w:sz w:val="12"/>
        </w:rPr>
        <w:t>18 </w:t>
      </w:r>
      <w:r>
        <w:rPr>
          <w:sz w:val="18"/>
        </w:rPr>
        <w:t>The estimates for cisgender men graduate/professional students were statistically imprecise.</w:t>
      </w:r>
    </w:p>
    <w:p>
      <w:pPr>
        <w:spacing w:after="0"/>
        <w:jc w:val="left"/>
        <w:rPr>
          <w:sz w:val="18"/>
        </w:rPr>
        <w:sectPr>
          <w:pgSz w:w="12240" w:h="15840"/>
          <w:pgMar w:header="0" w:footer="592" w:top="1120" w:bottom="780" w:left="1260" w:right="0"/>
        </w:sectPr>
      </w:pPr>
    </w:p>
    <w:p>
      <w:pPr>
        <w:pStyle w:val="BodyText"/>
        <w:spacing w:before="8"/>
        <w:rPr>
          <w:sz w:val="11"/>
        </w:rPr>
      </w:pPr>
    </w:p>
    <w:p>
      <w:pPr>
        <w:pStyle w:val="BodyText"/>
        <w:spacing w:before="94"/>
        <w:ind w:left="1260" w:right="1539"/>
      </w:pPr>
      <w:r>
        <w:rPr/>
        <w:t>experienced one incident and 5.4% experienced two or more incidents. Among undergraduate cisgender men, 1.9% experienced one incident and 0.9% experienced two or more incidents.</w:t>
      </w:r>
    </w:p>
    <w:p>
      <w:pPr>
        <w:pStyle w:val="ListParagraph"/>
        <w:numPr>
          <w:ilvl w:val="3"/>
          <w:numId w:val="4"/>
        </w:numPr>
        <w:tabs>
          <w:tab w:pos="1619" w:val="left" w:leader="none"/>
          <w:tab w:pos="1620" w:val="left" w:leader="none"/>
        </w:tabs>
        <w:spacing w:line="240" w:lineRule="auto" w:before="82" w:after="0"/>
        <w:ind w:left="1620" w:right="6706" w:hanging="360"/>
        <w:jc w:val="left"/>
        <w:rPr>
          <w:sz w:val="20"/>
        </w:rPr>
      </w:pPr>
      <w:r>
        <w:rPr/>
        <w:pict>
          <v:shape style="position:absolute;margin-left:283.499512pt;margin-top:4.380358pt;width:256.25pt;height:320pt;mso-position-horizontal-relative:page;mso-position-vertical-relative:paragraph;z-index:251687936" type="#_x0000_t202" filled="true" fillcolor="#deebf7" stroked="true" strokeweight=".6pt" strokecolor="#000000">
            <v:textbox inset="0,0,0,0">
              <w:txbxContent>
                <w:p>
                  <w:pPr>
                    <w:spacing w:before="64"/>
                    <w:ind w:left="1208" w:right="0" w:firstLine="0"/>
                    <w:jc w:val="left"/>
                    <w:rPr>
                      <w:b/>
                      <w:sz w:val="20"/>
                    </w:rPr>
                  </w:pPr>
                  <w:r>
                    <w:rPr>
                      <w:b/>
                      <w:sz w:val="20"/>
                    </w:rPr>
                    <w:t>Clery Act Data Comparisons</w:t>
                  </w:r>
                </w:p>
                <w:p>
                  <w:pPr>
                    <w:spacing w:line="240" w:lineRule="auto" w:before="97"/>
                    <w:ind w:left="104" w:right="106" w:firstLine="0"/>
                    <w:jc w:val="left"/>
                    <w:rPr>
                      <w:sz w:val="18"/>
                    </w:rPr>
                  </w:pPr>
                  <w:r>
                    <w:rPr>
                      <w:sz w:val="18"/>
                    </w:rPr>
                    <w:t>Sexual assault is the most underreported crime in the world (Krebs et al., 2016; Thompson &amp; Tapp, 2022). The incident counts derived from the Know More @ MSU Campus Survey cannot be directly compared to data reported by MSU (regarding the number of sexual assault incidents) under the Clery Act. The estimates included in this report are based on data that students provided about their sexual assault experiences through a confidential survey, whereas data reported under the Clery Act are based on official reports and are limited to incidents that were formally reported to school officials. Given the extreme underreporting of sexual assault, Clery Act data are expected to be much lower than estimates obtained from a self-reported, confidential survey. Other factors that preclude direct comparisons are the Clery Act’s focus on rape incidents (whereas the survey estimates include both sexual battery and rape) and differences in the reference period (Clery Act reporting is based on a calendar year reference period, whereas the survey used an academic year reference period).</w:t>
                  </w:r>
                </w:p>
                <w:p>
                  <w:pPr>
                    <w:spacing w:before="106"/>
                    <w:ind w:left="292" w:right="134" w:hanging="188"/>
                    <w:jc w:val="left"/>
                    <w:rPr>
                      <w:sz w:val="16"/>
                    </w:rPr>
                  </w:pPr>
                  <w:r>
                    <w:rPr>
                      <w:sz w:val="16"/>
                    </w:rPr>
                    <w:t>Thompson, A.., &amp; Tapp, S. N. (2022, September). </w:t>
                  </w:r>
                  <w:r>
                    <w:rPr>
                      <w:i/>
                      <w:sz w:val="16"/>
                    </w:rPr>
                    <w:t>Criminal victimiza- </w:t>
                  </w:r>
                  <w:r>
                    <w:rPr>
                      <w:i/>
                      <w:sz w:val="16"/>
                    </w:rPr>
                    <w:t>tion, 2021 </w:t>
                  </w:r>
                  <w:r>
                    <w:rPr>
                      <w:sz w:val="16"/>
                    </w:rPr>
                    <w:t>(NCJ 305101). U.S. Department of Justice, Office of Justice Programs, Bureau of Justice Statistics. </w:t>
                  </w:r>
                  <w:hyperlink r:id="rId50">
                    <w:r>
                      <w:rPr>
                        <w:color w:val="1F419A"/>
                        <w:sz w:val="16"/>
                        <w:u w:val="single" w:color="1F419A"/>
                      </w:rPr>
                      <w:t>https://bjs.ojp.gov/content/pub/pdf/cv21.pdf</w:t>
                    </w:r>
                  </w:hyperlink>
                </w:p>
                <w:p>
                  <w:pPr>
                    <w:spacing w:before="60"/>
                    <w:ind w:left="292" w:right="0" w:hanging="188"/>
                    <w:jc w:val="left"/>
                    <w:rPr>
                      <w:sz w:val="16"/>
                    </w:rPr>
                  </w:pPr>
                  <w:r>
                    <w:rPr>
                      <w:sz w:val="16"/>
                    </w:rPr>
                    <w:t>Krebs, C., Lindquist, C., Berzofsky, M. Shook-Sa, B., Peterson, K., Planty, M., Langton, L., &amp; Stroop, J. (2016, January). </w:t>
                  </w:r>
                  <w:r>
                    <w:rPr>
                      <w:i/>
                      <w:sz w:val="16"/>
                    </w:rPr>
                    <w:t>Campus </w:t>
                  </w:r>
                  <w:r>
                    <w:rPr>
                      <w:i/>
                      <w:sz w:val="16"/>
                    </w:rPr>
                    <w:t>Climate Survey validation study: Final technical report </w:t>
                  </w:r>
                  <w:r>
                    <w:rPr>
                      <w:sz w:val="16"/>
                    </w:rPr>
                    <w:t>(NCJ 249545). U.S. Department of Justice, Office of Justice Programs, Bureau of Justice Statistics. </w:t>
                  </w:r>
                  <w:hyperlink r:id="rId34">
                    <w:r>
                      <w:rPr>
                        <w:color w:val="1F419A"/>
                        <w:sz w:val="16"/>
                        <w:u w:val="single" w:color="1F419A"/>
                      </w:rPr>
                      <w:t>https://bjs.ojp.gov/content/pub/pdf/ccsvsftr.pdf</w:t>
                    </w:r>
                  </w:hyperlink>
                </w:p>
              </w:txbxContent>
            </v:textbox>
            <v:fill type="solid"/>
            <v:stroke dashstyle="solid"/>
            <w10:wrap type="none"/>
          </v:shape>
        </w:pict>
      </w:r>
      <w:r>
        <w:rPr>
          <w:sz w:val="20"/>
        </w:rPr>
        <w:t>When weighted to reflect the entire student population at MSU, the total number of sexual assault incidents experienced during the 2021– 2022 academic year was 3,631 for undergraduate cisgender women, 619 </w:t>
      </w:r>
      <w:r>
        <w:rPr>
          <w:spacing w:val="-3"/>
          <w:sz w:val="20"/>
        </w:rPr>
        <w:t>for </w:t>
      </w:r>
      <w:r>
        <w:rPr>
          <w:sz w:val="20"/>
        </w:rPr>
        <w:t>undergraduate cisgender men, 221 for transgender and/or nonbinary undergraduates, 332 for cisgender women graduate/professional students, 46 for cisgender men graduate/professional students, and 77 for transgender and/or nonbinary graduate/professional students (see sidebar).</w:t>
      </w:r>
    </w:p>
    <w:p>
      <w:pPr>
        <w:pStyle w:val="ListParagraph"/>
        <w:numPr>
          <w:ilvl w:val="2"/>
          <w:numId w:val="4"/>
        </w:numPr>
        <w:tabs>
          <w:tab w:pos="1259" w:val="left" w:leader="none"/>
          <w:tab w:pos="1260" w:val="left" w:leader="none"/>
        </w:tabs>
        <w:spacing w:line="240" w:lineRule="auto" w:before="80" w:after="0"/>
        <w:ind w:left="1260" w:right="6734" w:hanging="360"/>
        <w:jc w:val="left"/>
        <w:rPr>
          <w:sz w:val="20"/>
        </w:rPr>
      </w:pPr>
      <w:r>
        <w:rPr>
          <w:sz w:val="20"/>
        </w:rPr>
        <w:t>The incident rates (number of incidents per 1,000 students in a given academic year) for sexual assault were 197.0 for undergraduate cisgender</w:t>
      </w:r>
      <w:r>
        <w:rPr>
          <w:spacing w:val="-11"/>
          <w:sz w:val="20"/>
        </w:rPr>
        <w:t> </w:t>
      </w:r>
      <w:r>
        <w:rPr>
          <w:sz w:val="20"/>
        </w:rPr>
        <w:t>women,</w:t>
      </w:r>
    </w:p>
    <w:p>
      <w:pPr>
        <w:pStyle w:val="BodyText"/>
        <w:ind w:left="1260" w:right="6759"/>
        <w:jc w:val="both"/>
      </w:pPr>
      <w:r>
        <w:rPr/>
        <w:t>36.7 for undergraduate cisgender men, 12.1 for transgender and/or nonbinary undergraduates, and</w:t>
      </w:r>
    </w:p>
    <w:p>
      <w:pPr>
        <w:pStyle w:val="BodyText"/>
        <w:ind w:left="1260"/>
        <w:jc w:val="both"/>
      </w:pPr>
      <w:r>
        <w:rPr/>
        <w:t>60.9 for cisgender women graduate/professional students.</w:t>
      </w:r>
    </w:p>
    <w:p>
      <w:pPr>
        <w:pStyle w:val="ListParagraph"/>
        <w:numPr>
          <w:ilvl w:val="2"/>
          <w:numId w:val="4"/>
        </w:numPr>
        <w:tabs>
          <w:tab w:pos="1259" w:val="left" w:leader="none"/>
          <w:tab w:pos="1260" w:val="left" w:leader="none"/>
        </w:tabs>
        <w:spacing w:line="240" w:lineRule="auto" w:before="77" w:after="0"/>
        <w:ind w:left="1259" w:right="1622" w:hanging="360"/>
        <w:jc w:val="left"/>
        <w:rPr>
          <w:color w:val="1F4D78"/>
          <w:sz w:val="24"/>
        </w:rPr>
      </w:pPr>
      <w:r>
        <w:rPr>
          <w:sz w:val="20"/>
        </w:rPr>
        <w:t>Among types of intimate partner violence that students experienced, emotional abuse or coercive control by an intimate partner was more common than physical intimate partner violence. For example, 5.9% of undergraduate cisgender women experienced physical intimate partner violence and 10.3% experienced emotional abuse or coercive control by an intimate partner during the 2021–2022 academic</w:t>
      </w:r>
      <w:r>
        <w:rPr>
          <w:spacing w:val="-2"/>
          <w:sz w:val="20"/>
        </w:rPr>
        <w:t> </w:t>
      </w:r>
      <w:r>
        <w:rPr>
          <w:sz w:val="20"/>
        </w:rPr>
        <w:t>year.</w:t>
      </w:r>
    </w:p>
    <w:p>
      <w:pPr>
        <w:pStyle w:val="BodyText"/>
        <w:spacing w:before="3"/>
      </w:pPr>
    </w:p>
    <w:p>
      <w:pPr>
        <w:pStyle w:val="Heading3"/>
        <w:numPr>
          <w:ilvl w:val="1"/>
          <w:numId w:val="4"/>
        </w:numPr>
        <w:tabs>
          <w:tab w:pos="1043" w:val="left" w:leader="none"/>
          <w:tab w:pos="1044" w:val="left" w:leader="none"/>
        </w:tabs>
        <w:spacing w:line="240" w:lineRule="auto" w:before="0" w:after="0"/>
        <w:ind w:left="1043" w:right="0" w:hanging="864"/>
        <w:jc w:val="left"/>
      </w:pPr>
      <w:bookmarkStart w:name="_TOC_250010" w:id="14"/>
      <w:bookmarkStart w:name="2.2 Differences in Prevalence Among Stud" w:id="15"/>
      <w:r>
        <w:rPr>
          <w:b w:val="0"/>
        </w:rPr>
      </w:r>
      <w:bookmarkEnd w:id="15"/>
      <w:bookmarkStart w:name="2.2 Differences in Prevalence Among Stud" w:id="16"/>
      <w:r>
        <w:rPr>
          <w:color w:val="09357D"/>
        </w:rPr>
        <w:t>D</w:t>
      </w:r>
      <w:r>
        <w:rPr>
          <w:color w:val="09357D"/>
        </w:rPr>
        <w:t>ifferences in Prevalence Among Student</w:t>
      </w:r>
      <w:r>
        <w:rPr>
          <w:color w:val="09357D"/>
          <w:spacing w:val="-8"/>
        </w:rPr>
        <w:t> </w:t>
      </w:r>
      <w:bookmarkEnd w:id="14"/>
      <w:r>
        <w:rPr>
          <w:color w:val="09357D"/>
        </w:rPr>
        <w:t>Populations</w:t>
      </w:r>
    </w:p>
    <w:p>
      <w:pPr>
        <w:pStyle w:val="BodyText"/>
        <w:spacing w:line="333" w:lineRule="auto" w:before="228"/>
        <w:ind w:left="180" w:right="1507" w:firstLine="720"/>
      </w:pPr>
      <w:r>
        <w:rPr/>
        <w:t>One goal of this study was to determine whether—within each of the six student populations (undergraduate cisgender women, undergraduate cisgender men, transgender and/or nonbinary undergraduates, cisgender women graduate/professional students, cisgender men graduate/professional students, and transgender and/or nonbinary graduate/professional students)—some student subgroups appear to be at a greater risk of experiencing different types of victimization than others. For each of the 21 victimization outcomes, separate estimates were developed for as many student subgroups as possible (e.g., year of study, length of enrollment, age, student participation in various student groups, race/ethnicity, international status, sexual orientation, and disability status).</w:t>
      </w:r>
    </w:p>
    <w:p>
      <w:pPr>
        <w:pStyle w:val="BodyText"/>
        <w:spacing w:line="333" w:lineRule="auto" w:before="163"/>
        <w:ind w:left="180" w:right="1711" w:firstLine="720"/>
      </w:pPr>
      <w:r>
        <w:rPr/>
        <w:t>The prevalence estimates for sexual assault (Figure 2), sexual harassment (Figure 3), intimate partner violence (Figure 4), and stalking (Figure 5) experienced in the 2021–2022 academic year are</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79" w:right="1454"/>
      </w:pPr>
      <w:r>
        <w:rPr/>
        <w:t>shown for specific subgroups of undergraduate students. Figures 6 through 9 show the same estimates for specific subgroups of graduate and professional students. Estimates that are considered statistically imprecise (due to small numbers of students in the particular subgroup) are flagged and should be interpreted with caution. Appendix D contains additional subgroup information and prevalence estimates for all types of victimization explored in the survey, including coerced sexual contact, sexual battery, and rape; and, for sexual assault, rape, and sexual battery, estimates for additional reference periods (e.g., before enrolling at MSU, since enrolling at MSU, and in students’ lifetimes) are included. The figures, which present a lot of data and results, are followed by some bullets and text that summarize just some of the findings for various student groups, victimization types, and reference periods.</w:t>
      </w:r>
    </w:p>
    <w:p>
      <w:pPr>
        <w:pStyle w:val="BodyText"/>
        <w:spacing w:before="162"/>
        <w:ind w:left="900"/>
      </w:pPr>
      <w:r>
        <w:rPr/>
        <w:t>Overall patterns from the subgroup analyses suggest the following:</w:t>
      </w:r>
    </w:p>
    <w:p>
      <w:pPr>
        <w:pStyle w:val="ListParagraph"/>
        <w:numPr>
          <w:ilvl w:val="2"/>
          <w:numId w:val="4"/>
        </w:numPr>
        <w:tabs>
          <w:tab w:pos="1259" w:val="left" w:leader="none"/>
          <w:tab w:pos="1260" w:val="left" w:leader="none"/>
        </w:tabs>
        <w:spacing w:line="240" w:lineRule="auto" w:before="182" w:after="0"/>
        <w:ind w:left="1259" w:right="1462" w:hanging="360"/>
        <w:jc w:val="left"/>
        <w:rPr>
          <w:sz w:val="20"/>
        </w:rPr>
      </w:pPr>
      <w:r>
        <w:rPr>
          <w:sz w:val="20"/>
        </w:rPr>
        <w:t>For undergraduate cisgender women, the subgroups of students who tended to have the highest prevalence rates for multiple types of victimization include cisgender women with a diagnosed or documented disability</w:t>
      </w:r>
      <w:r>
        <w:rPr>
          <w:position w:val="5"/>
          <w:sz w:val="12"/>
        </w:rPr>
        <w:t>19</w:t>
      </w:r>
      <w:r>
        <w:rPr>
          <w:sz w:val="20"/>
        </w:rPr>
        <w:t>; those who were bisexual, pansexual, queer, or another combination of orientations; and domestic (as opposed to international)</w:t>
      </w:r>
      <w:r>
        <w:rPr>
          <w:spacing w:val="-18"/>
          <w:sz w:val="20"/>
        </w:rPr>
        <w:t> </w:t>
      </w:r>
      <w:r>
        <w:rPr>
          <w:sz w:val="20"/>
        </w:rPr>
        <w:t>students.</w:t>
      </w:r>
      <w:r>
        <w:rPr>
          <w:position w:val="5"/>
          <w:sz w:val="12"/>
        </w:rPr>
        <w:t>20</w:t>
      </w:r>
    </w:p>
    <w:p>
      <w:pPr>
        <w:pStyle w:val="ListParagraph"/>
        <w:numPr>
          <w:ilvl w:val="3"/>
          <w:numId w:val="4"/>
        </w:numPr>
        <w:tabs>
          <w:tab w:pos="1619" w:val="left" w:leader="none"/>
          <w:tab w:pos="1620" w:val="left" w:leader="none"/>
        </w:tabs>
        <w:spacing w:line="240" w:lineRule="auto" w:before="81" w:after="0"/>
        <w:ind w:left="1620" w:right="1706" w:hanging="360"/>
        <w:jc w:val="left"/>
        <w:rPr>
          <w:sz w:val="20"/>
        </w:rPr>
      </w:pPr>
      <w:r>
        <w:rPr>
          <w:sz w:val="20"/>
        </w:rPr>
        <w:t>Analysis of 2021–2022 prevalence estimates showed that 73.0% of undergraduate cisgender women who indicated that they had a diagnosed or documented disability experienced sexual harassment; 58.5% of undergraduate cisgender women without a diagnosed or documented disability experienced sexual harassment. Undergraduate cisgender women who were bisexual, pansexual, queer, or another combination of orientations and domestic (as opposed to international) were more likely to be sexually harassed.</w:t>
      </w:r>
    </w:p>
    <w:p>
      <w:pPr>
        <w:pStyle w:val="ListParagraph"/>
        <w:numPr>
          <w:ilvl w:val="3"/>
          <w:numId w:val="4"/>
        </w:numPr>
        <w:tabs>
          <w:tab w:pos="1619" w:val="left" w:leader="none"/>
          <w:tab w:pos="1620" w:val="left" w:leader="none"/>
        </w:tabs>
        <w:spacing w:line="240" w:lineRule="auto" w:before="82" w:after="0"/>
        <w:ind w:left="1620" w:right="1482" w:hanging="360"/>
        <w:jc w:val="left"/>
        <w:rPr>
          <w:sz w:val="20"/>
        </w:rPr>
      </w:pPr>
      <w:r>
        <w:rPr>
          <w:sz w:val="20"/>
        </w:rPr>
        <w:t>In terms of stalking, fourth-year students seem to be at greater risk than students in other years of study, and domestic students are at greater risk of experiencing stalking than their international counterparts. Black and Hispanic undergraduate cisgender women appear to experience stalking at higher rates than other races/ethnicities. Having a diagnosed or documented disability and being bisexual, pansexual, queer, or another combination of orientations were also associated with an increased risk of experiencing stalking.</w:t>
      </w:r>
    </w:p>
    <w:p>
      <w:pPr>
        <w:pStyle w:val="ListParagraph"/>
        <w:numPr>
          <w:ilvl w:val="3"/>
          <w:numId w:val="4"/>
        </w:numPr>
        <w:tabs>
          <w:tab w:pos="1619" w:val="left" w:leader="none"/>
          <w:tab w:pos="1620" w:val="left" w:leader="none"/>
        </w:tabs>
        <w:spacing w:line="240" w:lineRule="auto" w:before="78" w:after="0"/>
        <w:ind w:left="1620" w:right="1562" w:hanging="360"/>
        <w:jc w:val="left"/>
        <w:rPr>
          <w:sz w:val="20"/>
        </w:rPr>
      </w:pPr>
      <w:r>
        <w:rPr>
          <w:sz w:val="20"/>
        </w:rPr>
        <w:t>Cisgender women who had a diagnosed or documented disability; were bisexual, pansexual, queer, or another combination of orientations; or were domestic (as opposed to international) were more likely to be sexually assaulted. First-year undergraduate cisgender women students and younger students also appeared to have higher rates of sexual assault, rape, and sexual battery than those in other years of study. Higher rates of sexual assault were associated with women who described themselves as being of more than one race (16.7%), White (12.4%), or Hispanic</w:t>
      </w:r>
      <w:r>
        <w:rPr>
          <w:spacing w:val="-4"/>
          <w:sz w:val="20"/>
        </w:rPr>
        <w:t> </w:t>
      </w:r>
      <w:r>
        <w:rPr>
          <w:sz w:val="20"/>
        </w:rPr>
        <w:t>(11.1%).</w:t>
      </w:r>
    </w:p>
    <w:p>
      <w:pPr>
        <w:pStyle w:val="ListParagraph"/>
        <w:numPr>
          <w:ilvl w:val="3"/>
          <w:numId w:val="4"/>
        </w:numPr>
        <w:tabs>
          <w:tab w:pos="1619" w:val="left" w:leader="none"/>
          <w:tab w:pos="1620" w:val="left" w:leader="none"/>
        </w:tabs>
        <w:spacing w:line="240" w:lineRule="auto" w:before="82" w:after="0"/>
        <w:ind w:left="1620" w:right="1442" w:hanging="360"/>
        <w:jc w:val="left"/>
        <w:rPr>
          <w:sz w:val="20"/>
        </w:rPr>
      </w:pPr>
      <w:r>
        <w:rPr>
          <w:sz w:val="20"/>
        </w:rPr>
        <w:t>Analysis of sexual assaults experienced during other reference periods showed that undergraduate cisgender women who described themselves as queer had the highest rates for multiple reference periods, including lifetime (58.1%) and before enrolling at MSU (51.0%). Cisgender women who indicated they had a diagnosed or documented disability had a higher rate of sexual assault since enrolling at MSU (35.7%) than cisgender women without a diagnosed or documented disability (22.5%). Not surprisingly, upperclassmen, those who had been enrolled for longer periods of time, and older students had higher lifetime rates and “since enrolling at MSU” rates. Cisgender women who were involved in Greek life had a higher rate of sexual assault since entering MSU (31.4%) than cisgender women who were not</w:t>
      </w:r>
      <w:r>
        <w:rPr>
          <w:spacing w:val="-1"/>
          <w:sz w:val="20"/>
        </w:rPr>
        <w:t> </w:t>
      </w:r>
      <w:r>
        <w:rPr>
          <w:sz w:val="20"/>
        </w:rPr>
        <w:t>(23.1%).</w:t>
      </w:r>
    </w:p>
    <w:p>
      <w:pPr>
        <w:pStyle w:val="BodyText"/>
        <w:spacing w:before="5"/>
        <w:rPr>
          <w:sz w:val="17"/>
        </w:rPr>
      </w:pPr>
      <w:r>
        <w:rPr/>
        <w:pict>
          <v:shape style="position:absolute;margin-left:72pt;margin-top:12.203125pt;width:144pt;height:.1pt;mso-position-horizontal-relative:page;mso-position-vertical-relative:paragraph;z-index:-251627520;mso-wrap-distance-left:0;mso-wrap-distance-right:0" coordorigin="1440,244" coordsize="2880,0" path="m1440,244l4320,244e" filled="false" stroked="true" strokeweight=".4pt" strokecolor="#000000">
            <v:path arrowok="t"/>
            <v:stroke dashstyle="solid"/>
            <w10:wrap type="topAndBottom"/>
          </v:shape>
        </w:pict>
      </w:r>
    </w:p>
    <w:p>
      <w:pPr>
        <w:spacing w:before="54"/>
        <w:ind w:left="452" w:right="1575" w:hanging="279"/>
        <w:jc w:val="left"/>
        <w:rPr>
          <w:sz w:val="18"/>
        </w:rPr>
      </w:pPr>
      <w:r>
        <w:rPr>
          <w:position w:val="4"/>
          <w:sz w:val="12"/>
        </w:rPr>
        <w:t>19 </w:t>
      </w:r>
      <w:r>
        <w:rPr>
          <w:sz w:val="18"/>
        </w:rPr>
        <w:t>We are unable to determine whether the documented disability is a result of an assault (e.g., PTSD) or if a student’s disability existed prior to being assaulted.</w:t>
      </w:r>
    </w:p>
    <w:p>
      <w:pPr>
        <w:spacing w:before="0"/>
        <w:ind w:left="451" w:right="1575" w:hanging="278"/>
        <w:jc w:val="left"/>
        <w:rPr>
          <w:sz w:val="18"/>
        </w:rPr>
      </w:pPr>
      <w:r>
        <w:rPr>
          <w:position w:val="4"/>
          <w:sz w:val="12"/>
        </w:rPr>
        <w:t>20 </w:t>
      </w:r>
      <w:r>
        <w:rPr>
          <w:sz w:val="18"/>
        </w:rPr>
        <w:t>However, coerced sexual contact appeared to be higher among undergraduate women who were international students than those who were not.</w:t>
      </w:r>
    </w:p>
    <w:p>
      <w:pPr>
        <w:spacing w:after="0"/>
        <w:jc w:val="left"/>
        <w:rPr>
          <w:sz w:val="18"/>
        </w:rPr>
        <w:sectPr>
          <w:pgSz w:w="12240" w:h="15840"/>
          <w:pgMar w:header="0" w:footer="592" w:top="1120" w:bottom="780" w:left="1260" w:right="0"/>
        </w:sectPr>
      </w:pPr>
    </w:p>
    <w:p>
      <w:pPr>
        <w:pStyle w:val="BodyText"/>
        <w:spacing w:before="8"/>
        <w:rPr>
          <w:sz w:val="11"/>
        </w:rPr>
      </w:pPr>
    </w:p>
    <w:p>
      <w:pPr>
        <w:pStyle w:val="ListParagraph"/>
        <w:numPr>
          <w:ilvl w:val="2"/>
          <w:numId w:val="4"/>
        </w:numPr>
        <w:tabs>
          <w:tab w:pos="1259" w:val="left" w:leader="none"/>
          <w:tab w:pos="1260" w:val="left" w:leader="none"/>
        </w:tabs>
        <w:spacing w:line="240" w:lineRule="auto" w:before="94" w:after="0"/>
        <w:ind w:left="1260" w:right="1446" w:hanging="360"/>
        <w:jc w:val="left"/>
        <w:rPr>
          <w:sz w:val="20"/>
        </w:rPr>
      </w:pPr>
      <w:r>
        <w:rPr>
          <w:sz w:val="20"/>
        </w:rPr>
        <w:t>For</w:t>
      </w:r>
      <w:r>
        <w:rPr>
          <w:spacing w:val="-3"/>
          <w:sz w:val="20"/>
        </w:rPr>
        <w:t> </w:t>
      </w:r>
      <w:r>
        <w:rPr>
          <w:sz w:val="20"/>
        </w:rPr>
        <w:t>undergraduate</w:t>
      </w:r>
      <w:r>
        <w:rPr>
          <w:spacing w:val="-2"/>
          <w:sz w:val="20"/>
        </w:rPr>
        <w:t> </w:t>
      </w:r>
      <w:r>
        <w:rPr>
          <w:sz w:val="20"/>
        </w:rPr>
        <w:t>cisgender</w:t>
      </w:r>
      <w:r>
        <w:rPr>
          <w:spacing w:val="-7"/>
          <w:sz w:val="20"/>
        </w:rPr>
        <w:t> </w:t>
      </w:r>
      <w:r>
        <w:rPr>
          <w:sz w:val="20"/>
        </w:rPr>
        <w:t>men,</w:t>
      </w:r>
      <w:r>
        <w:rPr>
          <w:spacing w:val="-3"/>
          <w:sz w:val="20"/>
        </w:rPr>
        <w:t> </w:t>
      </w:r>
      <w:r>
        <w:rPr>
          <w:sz w:val="20"/>
        </w:rPr>
        <w:t>the</w:t>
      </w:r>
      <w:r>
        <w:rPr>
          <w:spacing w:val="-2"/>
          <w:sz w:val="20"/>
        </w:rPr>
        <w:t> </w:t>
      </w:r>
      <w:r>
        <w:rPr>
          <w:sz w:val="20"/>
        </w:rPr>
        <w:t>subgroups</w:t>
      </w:r>
      <w:r>
        <w:rPr>
          <w:spacing w:val="-4"/>
          <w:sz w:val="20"/>
        </w:rPr>
        <w:t> </w:t>
      </w:r>
      <w:r>
        <w:rPr>
          <w:sz w:val="20"/>
        </w:rPr>
        <w:t>of</w:t>
      </w:r>
      <w:r>
        <w:rPr>
          <w:spacing w:val="-3"/>
          <w:sz w:val="20"/>
        </w:rPr>
        <w:t> </w:t>
      </w:r>
      <w:r>
        <w:rPr>
          <w:sz w:val="20"/>
        </w:rPr>
        <w:t>students</w:t>
      </w:r>
      <w:r>
        <w:rPr>
          <w:spacing w:val="-4"/>
          <w:sz w:val="20"/>
        </w:rPr>
        <w:t> </w:t>
      </w:r>
      <w:r>
        <w:rPr>
          <w:sz w:val="20"/>
        </w:rPr>
        <w:t>who</w:t>
      </w:r>
      <w:r>
        <w:rPr>
          <w:spacing w:val="-2"/>
          <w:sz w:val="20"/>
        </w:rPr>
        <w:t> </w:t>
      </w:r>
      <w:r>
        <w:rPr>
          <w:sz w:val="20"/>
        </w:rPr>
        <w:t>tended</w:t>
      </w:r>
      <w:r>
        <w:rPr>
          <w:spacing w:val="-6"/>
          <w:sz w:val="20"/>
        </w:rPr>
        <w:t> </w:t>
      </w:r>
      <w:r>
        <w:rPr>
          <w:sz w:val="20"/>
        </w:rPr>
        <w:t>to</w:t>
      </w:r>
      <w:r>
        <w:rPr>
          <w:spacing w:val="-3"/>
          <w:sz w:val="20"/>
        </w:rPr>
        <w:t> </w:t>
      </w:r>
      <w:r>
        <w:rPr>
          <w:sz w:val="20"/>
        </w:rPr>
        <w:t>have</w:t>
      </w:r>
      <w:r>
        <w:rPr>
          <w:spacing w:val="-2"/>
          <w:sz w:val="20"/>
        </w:rPr>
        <w:t> </w:t>
      </w:r>
      <w:r>
        <w:rPr>
          <w:sz w:val="20"/>
        </w:rPr>
        <w:t>the</w:t>
      </w:r>
      <w:r>
        <w:rPr>
          <w:spacing w:val="-3"/>
          <w:sz w:val="20"/>
        </w:rPr>
        <w:t> </w:t>
      </w:r>
      <w:r>
        <w:rPr>
          <w:sz w:val="20"/>
        </w:rPr>
        <w:t>highest prevalence estimates across victimization types included cisgender men with diagnosed or documented disabilities; cisgender men who were gay, bisexual, or pansexual; Hispanic and White cisgender men; and cisgender men involved in Greek</w:t>
      </w:r>
      <w:r>
        <w:rPr>
          <w:spacing w:val="-8"/>
          <w:sz w:val="20"/>
        </w:rPr>
        <w:t> </w:t>
      </w:r>
      <w:r>
        <w:rPr>
          <w:sz w:val="20"/>
        </w:rPr>
        <w:t>organizations.</w:t>
      </w:r>
    </w:p>
    <w:p>
      <w:pPr>
        <w:pStyle w:val="ListParagraph"/>
        <w:numPr>
          <w:ilvl w:val="3"/>
          <w:numId w:val="4"/>
        </w:numPr>
        <w:tabs>
          <w:tab w:pos="1619" w:val="left" w:leader="none"/>
          <w:tab w:pos="1620" w:val="left" w:leader="none"/>
        </w:tabs>
        <w:spacing w:line="240" w:lineRule="auto" w:before="80" w:after="0"/>
        <w:ind w:left="1620" w:right="1438" w:hanging="360"/>
        <w:jc w:val="left"/>
        <w:rPr>
          <w:sz w:val="20"/>
        </w:rPr>
      </w:pPr>
      <w:r>
        <w:rPr>
          <w:sz w:val="20"/>
        </w:rPr>
        <w:t>Analysis of the 2021–2022 prevalence estimates revealed that undergraduate cisgender men who described themselves as gay, bisexual, or pansexual had the highest rates of sexual harassment of any subgroup. Intimate partner violence was most prevalent among Hispanic cisgender men (18.9%) and cisgender men who indicated that they had a diagnosed or documented disability (13.0%). Cisgender men who indicated they were involved in Greek life had higher rates of sexual harassment (40.2%) than cisgender men who were not</w:t>
      </w:r>
      <w:r>
        <w:rPr>
          <w:spacing w:val="1"/>
          <w:sz w:val="20"/>
        </w:rPr>
        <w:t> </w:t>
      </w:r>
      <w:r>
        <w:rPr>
          <w:sz w:val="20"/>
        </w:rPr>
        <w:t>(34.9%).</w:t>
      </w:r>
    </w:p>
    <w:p>
      <w:pPr>
        <w:pStyle w:val="ListParagraph"/>
        <w:numPr>
          <w:ilvl w:val="3"/>
          <w:numId w:val="4"/>
        </w:numPr>
        <w:tabs>
          <w:tab w:pos="1619" w:val="left" w:leader="none"/>
          <w:tab w:pos="1620" w:val="left" w:leader="none"/>
        </w:tabs>
        <w:spacing w:line="240" w:lineRule="auto" w:before="82" w:after="0"/>
        <w:ind w:left="1620" w:right="1487" w:hanging="360"/>
        <w:jc w:val="left"/>
        <w:rPr>
          <w:sz w:val="20"/>
        </w:rPr>
      </w:pPr>
      <w:r>
        <w:rPr>
          <w:sz w:val="20"/>
        </w:rPr>
        <w:t>Analysis of sexual assaults experienced during other reference periods showed that undergraduate cisgender gay men had the highest rates of sexual assault experienced before MSU (23.3%) and since enrolling at MSU (21.3%) of any subgroup. Not surprisingly,</w:t>
      </w:r>
      <w:r>
        <w:rPr>
          <w:spacing w:val="-7"/>
          <w:sz w:val="20"/>
        </w:rPr>
        <w:t> </w:t>
      </w:r>
      <w:r>
        <w:rPr>
          <w:sz w:val="20"/>
        </w:rPr>
        <w:t>upperclassmen,</w:t>
      </w:r>
      <w:r>
        <w:rPr>
          <w:spacing w:val="-7"/>
          <w:sz w:val="20"/>
        </w:rPr>
        <w:t> </w:t>
      </w:r>
      <w:r>
        <w:rPr>
          <w:sz w:val="20"/>
        </w:rPr>
        <w:t>those</w:t>
      </w:r>
      <w:r>
        <w:rPr>
          <w:spacing w:val="-3"/>
          <w:sz w:val="20"/>
        </w:rPr>
        <w:t> </w:t>
      </w:r>
      <w:r>
        <w:rPr>
          <w:sz w:val="20"/>
        </w:rPr>
        <w:t>who</w:t>
      </w:r>
      <w:r>
        <w:rPr>
          <w:spacing w:val="-2"/>
          <w:sz w:val="20"/>
        </w:rPr>
        <w:t> </w:t>
      </w:r>
      <w:r>
        <w:rPr>
          <w:sz w:val="20"/>
        </w:rPr>
        <w:t>had</w:t>
      </w:r>
      <w:r>
        <w:rPr>
          <w:spacing w:val="-6"/>
          <w:sz w:val="20"/>
        </w:rPr>
        <w:t> </w:t>
      </w:r>
      <w:r>
        <w:rPr>
          <w:sz w:val="20"/>
        </w:rPr>
        <w:t>been</w:t>
      </w:r>
      <w:r>
        <w:rPr>
          <w:spacing w:val="-2"/>
          <w:sz w:val="20"/>
        </w:rPr>
        <w:t> </w:t>
      </w:r>
      <w:r>
        <w:rPr>
          <w:sz w:val="20"/>
        </w:rPr>
        <w:t>enrolled</w:t>
      </w:r>
      <w:r>
        <w:rPr>
          <w:spacing w:val="-3"/>
          <w:sz w:val="20"/>
        </w:rPr>
        <w:t> </w:t>
      </w:r>
      <w:r>
        <w:rPr>
          <w:sz w:val="20"/>
        </w:rPr>
        <w:t>for</w:t>
      </w:r>
      <w:r>
        <w:rPr>
          <w:spacing w:val="-2"/>
          <w:sz w:val="20"/>
        </w:rPr>
        <w:t> </w:t>
      </w:r>
      <w:r>
        <w:rPr>
          <w:sz w:val="20"/>
        </w:rPr>
        <w:t>longer</w:t>
      </w:r>
      <w:r>
        <w:rPr>
          <w:spacing w:val="-2"/>
          <w:sz w:val="20"/>
        </w:rPr>
        <w:t> </w:t>
      </w:r>
      <w:r>
        <w:rPr>
          <w:sz w:val="20"/>
        </w:rPr>
        <w:t>periods</w:t>
      </w:r>
      <w:r>
        <w:rPr>
          <w:spacing w:val="-3"/>
          <w:sz w:val="20"/>
        </w:rPr>
        <w:t> </w:t>
      </w:r>
      <w:r>
        <w:rPr>
          <w:sz w:val="20"/>
        </w:rPr>
        <w:t>of</w:t>
      </w:r>
      <w:r>
        <w:rPr>
          <w:spacing w:val="-4"/>
          <w:sz w:val="20"/>
        </w:rPr>
        <w:t> </w:t>
      </w:r>
      <w:r>
        <w:rPr>
          <w:sz w:val="20"/>
        </w:rPr>
        <w:t>time,</w:t>
      </w:r>
      <w:r>
        <w:rPr>
          <w:spacing w:val="-3"/>
          <w:sz w:val="20"/>
        </w:rPr>
        <w:t> </w:t>
      </w:r>
      <w:r>
        <w:rPr>
          <w:sz w:val="20"/>
        </w:rPr>
        <w:t>and older students had higher lifetime rates and “since enrolling at MSU” rates. Cisgender men who were involved in Greek life had a higher rate of sexual assault since entering MSU (10.6%) than cisgender men who were not</w:t>
      </w:r>
      <w:r>
        <w:rPr>
          <w:spacing w:val="2"/>
          <w:sz w:val="20"/>
        </w:rPr>
        <w:t> </w:t>
      </w:r>
      <w:r>
        <w:rPr>
          <w:sz w:val="20"/>
        </w:rPr>
        <w:t>(4.6%).</w:t>
      </w:r>
    </w:p>
    <w:p>
      <w:pPr>
        <w:pStyle w:val="ListParagraph"/>
        <w:numPr>
          <w:ilvl w:val="2"/>
          <w:numId w:val="4"/>
        </w:numPr>
        <w:tabs>
          <w:tab w:pos="1259" w:val="left" w:leader="none"/>
          <w:tab w:pos="1260" w:val="left" w:leader="none"/>
        </w:tabs>
        <w:spacing w:line="240" w:lineRule="auto" w:before="78" w:after="0"/>
        <w:ind w:left="1260" w:right="1886" w:hanging="360"/>
        <w:jc w:val="left"/>
        <w:rPr>
          <w:sz w:val="20"/>
        </w:rPr>
      </w:pPr>
      <w:r>
        <w:rPr>
          <w:sz w:val="20"/>
        </w:rPr>
        <w:t>For transgender and/or nonbinary undergraduates, many of the prevalence estimates for subgroups are based on relatively small numbers of respondents and are therefore not statistically precise, so the number of findings that can be credibly described is</w:t>
      </w:r>
      <w:r>
        <w:rPr>
          <w:spacing w:val="-26"/>
          <w:sz w:val="20"/>
        </w:rPr>
        <w:t> </w:t>
      </w:r>
      <w:r>
        <w:rPr>
          <w:sz w:val="20"/>
        </w:rPr>
        <w:t>limited.</w:t>
      </w:r>
    </w:p>
    <w:p>
      <w:pPr>
        <w:pStyle w:val="ListParagraph"/>
        <w:numPr>
          <w:ilvl w:val="3"/>
          <w:numId w:val="4"/>
        </w:numPr>
        <w:tabs>
          <w:tab w:pos="1619" w:val="left" w:leader="none"/>
          <w:tab w:pos="1620" w:val="left" w:leader="none"/>
        </w:tabs>
        <w:spacing w:line="240" w:lineRule="auto" w:before="82" w:after="0"/>
        <w:ind w:left="1620" w:right="1539" w:hanging="360"/>
        <w:jc w:val="left"/>
        <w:rPr>
          <w:sz w:val="20"/>
        </w:rPr>
      </w:pPr>
      <w:r>
        <w:rPr>
          <w:sz w:val="20"/>
        </w:rPr>
        <w:t>Sexual harassment rates were higher for transgender and/or nonbinary undergraduates with a diagnosed or documented disability (76.1%) than for those without a diagnosed or documented disability (70.7%). Stalking rates were also higher for transgender and/or nonbinary undergraduates with a diagnosed or documented disability (21.1%) than for those without a diagnosed or documented disability</w:t>
      </w:r>
      <w:r>
        <w:rPr>
          <w:spacing w:val="-3"/>
          <w:sz w:val="20"/>
        </w:rPr>
        <w:t> </w:t>
      </w:r>
      <w:r>
        <w:rPr>
          <w:sz w:val="20"/>
        </w:rPr>
        <w:t>(11.3%).</w:t>
      </w:r>
    </w:p>
    <w:p>
      <w:pPr>
        <w:pStyle w:val="ListParagraph"/>
        <w:numPr>
          <w:ilvl w:val="2"/>
          <w:numId w:val="4"/>
        </w:numPr>
        <w:tabs>
          <w:tab w:pos="1260" w:val="left" w:leader="none"/>
        </w:tabs>
        <w:spacing w:line="240" w:lineRule="auto" w:before="78" w:after="0"/>
        <w:ind w:left="1260" w:right="1446" w:hanging="360"/>
        <w:jc w:val="both"/>
        <w:rPr>
          <w:sz w:val="20"/>
        </w:rPr>
      </w:pPr>
      <w:r>
        <w:rPr>
          <w:sz w:val="20"/>
        </w:rPr>
        <w:t>For cisgender women graduate/professional students, the subgroups of students who tended to have the highest prevalence estimates across victimization types include cisgender women with</w:t>
      </w:r>
      <w:r>
        <w:rPr>
          <w:spacing w:val="-4"/>
          <w:sz w:val="20"/>
        </w:rPr>
        <w:t> </w:t>
      </w:r>
      <w:r>
        <w:rPr>
          <w:sz w:val="20"/>
        </w:rPr>
        <w:t>documented</w:t>
      </w:r>
      <w:r>
        <w:rPr>
          <w:spacing w:val="-3"/>
          <w:sz w:val="20"/>
        </w:rPr>
        <w:t> </w:t>
      </w:r>
      <w:r>
        <w:rPr>
          <w:sz w:val="20"/>
        </w:rPr>
        <w:t>or</w:t>
      </w:r>
      <w:r>
        <w:rPr>
          <w:spacing w:val="-3"/>
          <w:sz w:val="20"/>
        </w:rPr>
        <w:t> </w:t>
      </w:r>
      <w:r>
        <w:rPr>
          <w:sz w:val="20"/>
        </w:rPr>
        <w:t>diagnosed</w:t>
      </w:r>
      <w:r>
        <w:rPr>
          <w:spacing w:val="-3"/>
          <w:sz w:val="20"/>
        </w:rPr>
        <w:t> </w:t>
      </w:r>
      <w:r>
        <w:rPr>
          <w:sz w:val="20"/>
        </w:rPr>
        <w:t>disabilities</w:t>
      </w:r>
      <w:r>
        <w:rPr>
          <w:spacing w:val="-4"/>
          <w:sz w:val="20"/>
        </w:rPr>
        <w:t> </w:t>
      </w:r>
      <w:r>
        <w:rPr>
          <w:sz w:val="20"/>
        </w:rPr>
        <w:t>and</w:t>
      </w:r>
      <w:r>
        <w:rPr>
          <w:spacing w:val="-7"/>
          <w:sz w:val="20"/>
        </w:rPr>
        <w:t> </w:t>
      </w:r>
      <w:r>
        <w:rPr>
          <w:sz w:val="20"/>
        </w:rPr>
        <w:t>those</w:t>
      </w:r>
      <w:r>
        <w:rPr>
          <w:spacing w:val="-3"/>
          <w:sz w:val="20"/>
        </w:rPr>
        <w:t> </w:t>
      </w:r>
      <w:r>
        <w:rPr>
          <w:sz w:val="20"/>
        </w:rPr>
        <w:t>who</w:t>
      </w:r>
      <w:r>
        <w:rPr>
          <w:spacing w:val="-3"/>
          <w:sz w:val="20"/>
        </w:rPr>
        <w:t> </w:t>
      </w:r>
      <w:r>
        <w:rPr>
          <w:sz w:val="20"/>
        </w:rPr>
        <w:t>were</w:t>
      </w:r>
      <w:r>
        <w:rPr>
          <w:spacing w:val="-3"/>
          <w:sz w:val="20"/>
        </w:rPr>
        <w:t> </w:t>
      </w:r>
      <w:r>
        <w:rPr>
          <w:sz w:val="20"/>
        </w:rPr>
        <w:t>queer,</w:t>
      </w:r>
      <w:r>
        <w:rPr>
          <w:spacing w:val="-7"/>
          <w:sz w:val="20"/>
        </w:rPr>
        <w:t> </w:t>
      </w:r>
      <w:r>
        <w:rPr>
          <w:sz w:val="20"/>
        </w:rPr>
        <w:t>bisexual,</w:t>
      </w:r>
      <w:r>
        <w:rPr>
          <w:spacing w:val="-4"/>
          <w:sz w:val="20"/>
        </w:rPr>
        <w:t> </w:t>
      </w:r>
      <w:r>
        <w:rPr>
          <w:sz w:val="20"/>
        </w:rPr>
        <w:t>or</w:t>
      </w:r>
      <w:r>
        <w:rPr>
          <w:spacing w:val="-3"/>
          <w:sz w:val="20"/>
        </w:rPr>
        <w:t> </w:t>
      </w:r>
      <w:r>
        <w:rPr>
          <w:sz w:val="20"/>
        </w:rPr>
        <w:t>pansexual.</w:t>
      </w:r>
    </w:p>
    <w:p>
      <w:pPr>
        <w:pStyle w:val="ListParagraph"/>
        <w:numPr>
          <w:ilvl w:val="3"/>
          <w:numId w:val="4"/>
        </w:numPr>
        <w:tabs>
          <w:tab w:pos="1619" w:val="left" w:leader="none"/>
          <w:tab w:pos="1620" w:val="left" w:leader="none"/>
        </w:tabs>
        <w:spacing w:line="240" w:lineRule="auto" w:before="82" w:after="0"/>
        <w:ind w:left="1619" w:right="1470" w:hanging="360"/>
        <w:jc w:val="left"/>
        <w:rPr>
          <w:sz w:val="20"/>
        </w:rPr>
      </w:pPr>
      <w:r>
        <w:rPr>
          <w:sz w:val="20"/>
        </w:rPr>
        <w:t>Analysis of the 2021–2022 prevalence estimates showed that cisgender women graduate/professional students who described themselves as anything </w:t>
      </w:r>
      <w:r>
        <w:rPr>
          <w:i/>
          <w:sz w:val="20"/>
        </w:rPr>
        <w:t>other than </w:t>
      </w:r>
      <w:r>
        <w:rPr>
          <w:sz w:val="20"/>
        </w:rPr>
        <w:t>straight/heterosexual or gay/lesbian/same gender loving (e.g., queer, bisexual, or pansexual) experienced the highest rate of sexual harassment. Cisgender women graduate/professional students who indicated that they had a diagnosed or documented disability had higher rates of stalking than those who did not (15.5% and 2.3%, respectively), as well as higher rates of emotional abuse/coercive control by an intimate partner (13.1% and 4.8%), intimate partner violence (15.1% and 5.5%), and sexual harassment (48.2% and 33.8%). White cisgender women had a higher rate of sexual harassment (40.9%) than those in other racial/ethnic groups, and cisgender women who were professional students had higher rates of sexual harassment (46.3%) than graduate students</w:t>
      </w:r>
      <w:r>
        <w:rPr>
          <w:spacing w:val="-1"/>
          <w:sz w:val="20"/>
        </w:rPr>
        <w:t> </w:t>
      </w:r>
      <w:r>
        <w:rPr>
          <w:sz w:val="20"/>
        </w:rPr>
        <w:t>(33.3%).</w:t>
      </w:r>
    </w:p>
    <w:p>
      <w:pPr>
        <w:pStyle w:val="ListParagraph"/>
        <w:numPr>
          <w:ilvl w:val="3"/>
          <w:numId w:val="4"/>
        </w:numPr>
        <w:tabs>
          <w:tab w:pos="1619" w:val="left" w:leader="none"/>
          <w:tab w:pos="1620" w:val="left" w:leader="none"/>
        </w:tabs>
        <w:spacing w:line="240" w:lineRule="auto" w:before="80" w:after="0"/>
        <w:ind w:left="1619" w:right="1549" w:hanging="360"/>
        <w:jc w:val="left"/>
        <w:rPr>
          <w:sz w:val="20"/>
        </w:rPr>
      </w:pPr>
      <w:r>
        <w:rPr>
          <w:sz w:val="20"/>
        </w:rPr>
        <w:t>Analysis of sexual assaults experienced during other reference periods showed that cisgender women graduate/professional students who described themselves as queer, bisexual, or pansexual had the highest rates of sexual assault of any subgroup before enrolling at MSU and in their lifetimes. Cisgender women who indicated that they had a diagnosed or documented disability had a higher rate of sexual assault since enrolling at MSU than cisgender women without a diagnosed or documented disability (17.1% and 3.9%).</w:t>
      </w:r>
    </w:p>
    <w:p>
      <w:pPr>
        <w:pStyle w:val="ListParagraph"/>
        <w:numPr>
          <w:ilvl w:val="2"/>
          <w:numId w:val="4"/>
        </w:numPr>
        <w:tabs>
          <w:tab w:pos="1259" w:val="left" w:leader="none"/>
          <w:tab w:pos="1260" w:val="left" w:leader="none"/>
        </w:tabs>
        <w:spacing w:line="240" w:lineRule="auto" w:before="78" w:after="0"/>
        <w:ind w:left="1259" w:right="1470" w:hanging="360"/>
        <w:jc w:val="left"/>
        <w:rPr>
          <w:sz w:val="20"/>
        </w:rPr>
      </w:pPr>
      <w:r>
        <w:rPr>
          <w:sz w:val="20"/>
        </w:rPr>
        <w:t>Among cisgender men and transgender and/or nonbinary graduate/professional students, </w:t>
      </w:r>
      <w:r>
        <w:rPr>
          <w:spacing w:val="-3"/>
          <w:sz w:val="20"/>
        </w:rPr>
        <w:t>the </w:t>
      </w:r>
      <w:r>
        <w:rPr>
          <w:sz w:val="20"/>
        </w:rPr>
        <w:t>prevalence estimates for subgroups are based on very small numbers of respondents, are not statistically precise, and are therefore not</w:t>
      </w:r>
      <w:r>
        <w:rPr>
          <w:spacing w:val="-11"/>
          <w:sz w:val="20"/>
        </w:rPr>
        <w:t> </w:t>
      </w:r>
      <w:r>
        <w:rPr>
          <w:sz w:val="20"/>
        </w:rPr>
        <w:t>described.</w:t>
      </w:r>
    </w:p>
    <w:p>
      <w:pPr>
        <w:spacing w:after="0" w:line="240" w:lineRule="auto"/>
        <w:jc w:val="left"/>
        <w:rPr>
          <w:sz w:val="20"/>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right="2587"/>
      </w:pPr>
      <w:r>
        <w:rPr/>
        <w:pict>
          <v:group style="position:absolute;margin-left:73.199997pt;margin-top:30.879894pt;width:463.6pt;height:589.4pt;mso-position-horizontal-relative:page;mso-position-vertical-relative:paragraph;z-index:-251626496;mso-wrap-distance-left:0;mso-wrap-distance-right:0" coordorigin="1464,618" coordsize="9272,11788">
            <v:line style="position:absolute" from="1472,622" to="10728,622" stroked="true" strokeweight=".4pt" strokecolor="#a4a4a4">
              <v:stroke dashstyle="solid"/>
            </v:line>
            <v:line style="position:absolute" from="1472,12402" to="10728,12402" stroked="true" strokeweight=".4pt" strokecolor="#a4a4a4">
              <v:stroke dashstyle="solid"/>
            </v:line>
            <v:line style="position:absolute" from="1468,618" to="1468,12406" stroked="true" strokeweight=".4pt" strokecolor="#a4a4a4">
              <v:stroke dashstyle="solid"/>
            </v:line>
            <v:line style="position:absolute" from="10732,618" to="10732,12406" stroked="true" strokeweight=".4pt" strokecolor="#a4a4a4">
              <v:stroke dashstyle="solid"/>
            </v:line>
            <v:shape style="position:absolute;left:2031;top:705;width:8281;height:11608" type="#_x0000_t75" alt="See Notes for information on an accessible version of this figure." stroked="false">
              <v:imagedata r:id="rId51" o:title=""/>
            </v:shape>
            <w10:wrap type="topAndBottom"/>
          </v:group>
        </w:pict>
      </w:r>
      <w:r>
        <w:rPr/>
        <w:t>Figure</w:t>
      </w:r>
      <w:r>
        <w:rPr>
          <w:spacing w:val="-3"/>
        </w:rPr>
        <w:t> </w:t>
      </w:r>
      <w:r>
        <w:rPr/>
        <w:t>2.</w:t>
        <w:tab/>
        <w:t>Prevalence of Sexual Harassment in 2021–2022 Academic Year, by Student Characteristics,</w:t>
      </w:r>
      <w:r>
        <w:rPr>
          <w:spacing w:val="-1"/>
        </w:rPr>
        <w:t> </w:t>
      </w:r>
      <w:r>
        <w:rPr/>
        <w:t>Undergraduates</w:t>
      </w:r>
    </w:p>
    <w:p>
      <w:pPr>
        <w:spacing w:line="240" w:lineRule="auto" w:before="26"/>
        <w:ind w:left="368" w:right="1756"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2">
        <w:r>
          <w:rPr>
            <w:color w:val="1F419A"/>
            <w:sz w:val="18"/>
            <w:u w:val="single" w:color="1F419A"/>
          </w:rPr>
          <w:t>Appendix Tables D-3a1</w:t>
        </w:r>
        <w:r>
          <w:rPr>
            <w:color w:val="1F419A"/>
            <w:sz w:val="18"/>
          </w:rPr>
          <w:t> </w:t>
        </w:r>
      </w:hyperlink>
      <w:r>
        <w:rPr>
          <w:sz w:val="18"/>
        </w:rPr>
        <w:t>through </w:t>
      </w:r>
      <w:hyperlink r:id="rId53">
        <w:r>
          <w:rPr>
            <w:color w:val="1F419A"/>
            <w:sz w:val="18"/>
            <w:u w:val="single" w:color="1F419A"/>
          </w:rPr>
          <w:t>D-3a3</w:t>
        </w:r>
      </w:hyperlink>
      <w:r>
        <w:rPr>
          <w:sz w:val="18"/>
        </w:rPr>
        <w:t>.</w:t>
      </w:r>
    </w:p>
    <w:p>
      <w:pPr>
        <w:spacing w:after="0" w:line="240" w:lineRule="auto"/>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left="1259" w:right="1457"/>
      </w:pPr>
      <w:r>
        <w:rPr/>
        <w:pict>
          <v:group style="position:absolute;margin-left:73.199997pt;margin-top:30.879894pt;width:463.6pt;height:589.4pt;mso-position-horizontal-relative:page;mso-position-vertical-relative:paragraph;z-index:-251625472;mso-wrap-distance-left:0;mso-wrap-distance-right:0" coordorigin="1464,618" coordsize="9272,11788">
            <v:line style="position:absolute" from="1472,622" to="10728,622" stroked="true" strokeweight=".4pt" strokecolor="#a4a4a4">
              <v:stroke dashstyle="solid"/>
            </v:line>
            <v:line style="position:absolute" from="1472,12402" to="10728,12402" stroked="true" strokeweight=".4pt" strokecolor="#a4a4a4">
              <v:stroke dashstyle="solid"/>
            </v:line>
            <v:line style="position:absolute" from="1468,618" to="1468,12406" stroked="true" strokeweight=".4pt" strokecolor="#a4a4a4">
              <v:stroke dashstyle="solid"/>
            </v:line>
            <v:line style="position:absolute" from="10732,618" to="10732,12406" stroked="true" strokeweight=".4pt" strokecolor="#a4a4a4">
              <v:stroke dashstyle="solid"/>
            </v:line>
            <v:shape style="position:absolute;left:2021;top:705;width:8290;height:11609" type="#_x0000_t75" alt="See Notes for information on an accessible version of this figure." stroked="false">
              <v:imagedata r:id="rId54" o:title=""/>
            </v:shape>
            <w10:wrap type="topAndBottom"/>
          </v:group>
        </w:pict>
      </w:r>
      <w:r>
        <w:rPr/>
        <w:t>Figure</w:t>
      </w:r>
      <w:r>
        <w:rPr>
          <w:spacing w:val="-3"/>
        </w:rPr>
        <w:t> </w:t>
      </w:r>
      <w:r>
        <w:rPr/>
        <w:t>3.</w:t>
        <w:tab/>
        <w:t>Prevalence of Sexual Assault in 2021–2022 Academic Year, by Student Characteristics, Undergraduates</w:t>
      </w:r>
    </w:p>
    <w:p>
      <w:pPr>
        <w:spacing w:line="240" w:lineRule="auto" w:before="26"/>
        <w:ind w:left="368" w:right="1756"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2">
        <w:r>
          <w:rPr>
            <w:color w:val="1F419A"/>
            <w:sz w:val="18"/>
            <w:u w:val="single" w:color="1F419A"/>
          </w:rPr>
          <w:t>Appendix Tables D-3a1</w:t>
        </w:r>
        <w:r>
          <w:rPr>
            <w:color w:val="1F419A"/>
            <w:sz w:val="18"/>
          </w:rPr>
          <w:t> </w:t>
        </w:r>
      </w:hyperlink>
      <w:r>
        <w:rPr>
          <w:sz w:val="18"/>
        </w:rPr>
        <w:t>through </w:t>
      </w:r>
      <w:hyperlink r:id="rId53">
        <w:r>
          <w:rPr>
            <w:color w:val="1F419A"/>
            <w:sz w:val="18"/>
            <w:u w:val="single" w:color="1F419A"/>
          </w:rPr>
          <w:t>D-3a3</w:t>
        </w:r>
      </w:hyperlink>
      <w:r>
        <w:rPr>
          <w:sz w:val="18"/>
        </w:rPr>
        <w:t>.</w:t>
      </w:r>
    </w:p>
    <w:p>
      <w:pPr>
        <w:spacing w:after="0" w:line="240" w:lineRule="auto"/>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right="2035"/>
      </w:pPr>
      <w:r>
        <w:rPr/>
        <w:pict>
          <v:group style="position:absolute;margin-left:73.199997pt;margin-top:30.879894pt;width:463.6pt;height:590.8pt;mso-position-horizontal-relative:page;mso-position-vertical-relative:paragraph;z-index:-251624448;mso-wrap-distance-left:0;mso-wrap-distance-right:0" coordorigin="1464,618" coordsize="9272,11816">
            <v:line style="position:absolute" from="1472,622" to="10728,622" stroked="true" strokeweight=".4pt" strokecolor="#a4a4a4">
              <v:stroke dashstyle="solid"/>
            </v:line>
            <v:line style="position:absolute" from="1472,12430" to="10728,12430" stroked="true" strokeweight=".4pt" strokecolor="#a4a4a4">
              <v:stroke dashstyle="solid"/>
            </v:line>
            <v:line style="position:absolute" from="1468,618" to="1468,12434" stroked="true" strokeweight=".4pt" strokecolor="#a4a4a4">
              <v:stroke dashstyle="solid"/>
            </v:line>
            <v:line style="position:absolute" from="10732,618" to="10732,12434" stroked="true" strokeweight=".4pt" strokecolor="#a4a4a4">
              <v:stroke dashstyle="solid"/>
            </v:line>
            <v:shape style="position:absolute;left:2020;top:705;width:8303;height:11639" type="#_x0000_t75" alt="See Notes for information on an accessible version of this figure." stroked="false">
              <v:imagedata r:id="rId55" o:title=""/>
            </v:shape>
            <w10:wrap type="topAndBottom"/>
          </v:group>
        </w:pict>
      </w:r>
      <w:r>
        <w:rPr/>
        <w:t>Figure</w:t>
      </w:r>
      <w:r>
        <w:rPr>
          <w:spacing w:val="-3"/>
        </w:rPr>
        <w:t> </w:t>
      </w:r>
      <w:r>
        <w:rPr/>
        <w:t>4.</w:t>
        <w:tab/>
        <w:t>Prevalence of Intimate Partner Violence in 2021–2022 Academic Year, by Student Characteristics,</w:t>
      </w:r>
      <w:r>
        <w:rPr>
          <w:spacing w:val="-1"/>
        </w:rPr>
        <w:t> </w:t>
      </w:r>
      <w:r>
        <w:rPr/>
        <w:t>Undergraduates</w:t>
      </w:r>
    </w:p>
    <w:p>
      <w:pPr>
        <w:spacing w:before="26"/>
        <w:ind w:left="367" w:right="1756" w:hanging="188"/>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2">
        <w:r>
          <w:rPr>
            <w:color w:val="1F419A"/>
            <w:sz w:val="18"/>
            <w:u w:val="single" w:color="1F419A"/>
          </w:rPr>
          <w:t>Appendix Tables D-3a1</w:t>
        </w:r>
        <w:r>
          <w:rPr>
            <w:color w:val="1F419A"/>
            <w:sz w:val="18"/>
          </w:rPr>
          <w:t> </w:t>
        </w:r>
      </w:hyperlink>
      <w:r>
        <w:rPr>
          <w:sz w:val="18"/>
        </w:rPr>
        <w:t>through </w:t>
      </w:r>
      <w:hyperlink r:id="rId53">
        <w:r>
          <w:rPr>
            <w:color w:val="1F419A"/>
            <w:sz w:val="18"/>
            <w:u w:val="single" w:color="1F419A"/>
          </w:rPr>
          <w:t>D-3a3</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left="1259" w:right="2097"/>
      </w:pPr>
      <w:r>
        <w:rPr/>
        <w:pict>
          <v:group style="position:absolute;margin-left:73.199997pt;margin-top:30.879894pt;width:463.6pt;height:591.6pt;mso-position-horizontal-relative:page;mso-position-vertical-relative:paragraph;z-index:-251623424;mso-wrap-distance-left:0;mso-wrap-distance-right:0" coordorigin="1464,618" coordsize="9272,11832">
            <v:line style="position:absolute" from="1472,622" to="10728,622" stroked="true" strokeweight=".4pt" strokecolor="#a4a4a4">
              <v:stroke dashstyle="solid"/>
            </v:line>
            <v:line style="position:absolute" from="1472,12446" to="10728,12446" stroked="true" strokeweight=".4pt" strokecolor="#a4a4a4">
              <v:stroke dashstyle="solid"/>
            </v:line>
            <v:line style="position:absolute" from="1468,618" to="1468,12450" stroked="true" strokeweight=".4pt" strokecolor="#a4a4a4">
              <v:stroke dashstyle="solid"/>
            </v:line>
            <v:line style="position:absolute" from="10732,618" to="10732,12450" stroked="true" strokeweight=".4pt" strokecolor="#a4a4a4">
              <v:stroke dashstyle="solid"/>
            </v:line>
            <v:shape style="position:absolute;left:2009;top:705;width:8314;height:11654" type="#_x0000_t75" alt="See Notes for information on an accessible version of this figure." stroked="false">
              <v:imagedata r:id="rId56" o:title=""/>
            </v:shape>
            <w10:wrap type="topAndBottom"/>
          </v:group>
        </w:pict>
      </w:r>
      <w:r>
        <w:rPr/>
        <w:t>Figure</w:t>
      </w:r>
      <w:r>
        <w:rPr>
          <w:spacing w:val="-3"/>
        </w:rPr>
        <w:t> </w:t>
      </w:r>
      <w:r>
        <w:rPr/>
        <w:t>5.</w:t>
        <w:tab/>
        <w:t>Prevalence of Stalking in 2021–2022 Academic Year, by Student Characteristics, Undergraduates</w:t>
      </w:r>
    </w:p>
    <w:p>
      <w:pPr>
        <w:spacing w:before="26"/>
        <w:ind w:left="367" w:right="1575" w:hanging="188"/>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2">
        <w:r>
          <w:rPr>
            <w:color w:val="1F419A"/>
            <w:sz w:val="18"/>
            <w:u w:val="single" w:color="1F419A"/>
          </w:rPr>
          <w:t>Appendix Tables D-3a1</w:t>
        </w:r>
        <w:r>
          <w:rPr>
            <w:color w:val="1F419A"/>
            <w:sz w:val="18"/>
          </w:rPr>
          <w:t> </w:t>
        </w:r>
      </w:hyperlink>
      <w:r>
        <w:rPr>
          <w:sz w:val="18"/>
        </w:rPr>
        <w:t>through </w:t>
      </w:r>
      <w:hyperlink r:id="rId53">
        <w:r>
          <w:rPr>
            <w:color w:val="1F419A"/>
            <w:sz w:val="18"/>
            <w:u w:val="single" w:color="1F419A"/>
          </w:rPr>
          <w:t>D-3a3</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right="2587"/>
      </w:pPr>
      <w:r>
        <w:rPr/>
        <w:pict>
          <v:group style="position:absolute;margin-left:73.199997pt;margin-top:30.879894pt;width:463.6pt;height:560.8pt;mso-position-horizontal-relative:page;mso-position-vertical-relative:paragraph;z-index:-251622400;mso-wrap-distance-left:0;mso-wrap-distance-right:0" coordorigin="1464,618" coordsize="9272,11216">
            <v:line style="position:absolute" from="1472,622" to="10728,622" stroked="true" strokeweight=".4pt" strokecolor="#a4a4a4">
              <v:stroke dashstyle="solid"/>
            </v:line>
            <v:line style="position:absolute" from="1472,11830" to="10728,11830" stroked="true" strokeweight=".4pt" strokecolor="#a4a4a4">
              <v:stroke dashstyle="solid"/>
            </v:line>
            <v:line style="position:absolute" from="1468,618" to="1468,11834" stroked="true" strokeweight=".4pt" strokecolor="#a4a4a4">
              <v:stroke dashstyle="solid"/>
            </v:line>
            <v:line style="position:absolute" from="10732,618" to="10732,11834" stroked="true" strokeweight=".4pt" strokecolor="#a4a4a4">
              <v:stroke dashstyle="solid"/>
            </v:line>
            <v:shape style="position:absolute;left:1854;top:705;width:8636;height:11039" type="#_x0000_t75" alt="See Notes for information on an accessible version of this figure." stroked="false">
              <v:imagedata r:id="rId57" o:title=""/>
            </v:shape>
            <w10:wrap type="topAndBottom"/>
          </v:group>
        </w:pict>
      </w:r>
      <w:r>
        <w:rPr/>
        <w:t>Figure</w:t>
      </w:r>
      <w:r>
        <w:rPr>
          <w:spacing w:val="-3"/>
        </w:rPr>
        <w:t> </w:t>
      </w:r>
      <w:r>
        <w:rPr/>
        <w:t>6.</w:t>
        <w:tab/>
        <w:t>Prevalence of Sexual Harassment in 2021–2022 Academic Year, by Student Characteristics, Graduate/Professional</w:t>
      </w:r>
      <w:r>
        <w:rPr>
          <w:spacing w:val="-5"/>
        </w:rPr>
        <w:t> </w:t>
      </w:r>
      <w:r>
        <w:rPr/>
        <w:t>Students</w:t>
      </w:r>
    </w:p>
    <w:p>
      <w:pPr>
        <w:spacing w:before="26"/>
        <w:ind w:left="368" w:right="1575"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8">
        <w:r>
          <w:rPr>
            <w:color w:val="1F419A"/>
            <w:sz w:val="18"/>
            <w:u w:val="single" w:color="1F419A"/>
          </w:rPr>
          <w:t>Appendix Tables D-3a4</w:t>
        </w:r>
        <w:r>
          <w:rPr>
            <w:color w:val="1F419A"/>
            <w:sz w:val="18"/>
          </w:rPr>
          <w:t> </w:t>
        </w:r>
      </w:hyperlink>
      <w:r>
        <w:rPr>
          <w:sz w:val="18"/>
        </w:rPr>
        <w:t>through </w:t>
      </w:r>
      <w:hyperlink r:id="rId59">
        <w:r>
          <w:rPr>
            <w:color w:val="1F419A"/>
            <w:sz w:val="18"/>
            <w:u w:val="single" w:color="1F419A"/>
          </w:rPr>
          <w:t>D-3a6</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left="1259" w:right="1457"/>
      </w:pPr>
      <w:r>
        <w:rPr/>
        <w:pict>
          <v:group style="position:absolute;margin-left:73.199997pt;margin-top:30.879894pt;width:463.6pt;height:570.6pt;mso-position-horizontal-relative:page;mso-position-vertical-relative:paragraph;z-index:-251621376;mso-wrap-distance-left:0;mso-wrap-distance-right:0" coordorigin="1464,618" coordsize="9272,11412">
            <v:line style="position:absolute" from="1472,622" to="10728,622" stroked="true" strokeweight=".4pt" strokecolor="#a4a4a4">
              <v:stroke dashstyle="solid"/>
            </v:line>
            <v:line style="position:absolute" from="1472,12026" to="10728,12026" stroked="true" strokeweight=".4pt" strokecolor="#a4a4a4">
              <v:stroke dashstyle="solid"/>
            </v:line>
            <v:line style="position:absolute" from="1468,618" to="1468,12030" stroked="true" strokeweight=".4pt" strokecolor="#a4a4a4">
              <v:stroke dashstyle="solid"/>
            </v:line>
            <v:line style="position:absolute" from="10732,618" to="10732,12030" stroked="true" strokeweight=".4pt" strokecolor="#a4a4a4">
              <v:stroke dashstyle="solid"/>
            </v:line>
            <v:shape style="position:absolute;left:1769;top:705;width:8795;height:11235" type="#_x0000_t75" alt="See Notes for information on an accessible version of this figure." stroked="false">
              <v:imagedata r:id="rId60" o:title=""/>
            </v:shape>
            <w10:wrap type="topAndBottom"/>
          </v:group>
        </w:pict>
      </w:r>
      <w:r>
        <w:rPr/>
        <w:t>Figure</w:t>
      </w:r>
      <w:r>
        <w:rPr>
          <w:spacing w:val="-3"/>
        </w:rPr>
        <w:t> </w:t>
      </w:r>
      <w:r>
        <w:rPr/>
        <w:t>7.</w:t>
        <w:tab/>
        <w:t>Prevalence of Sexual Assault in 2021–2022 Academic Year, by Student Characteristics, Graduate/Professional</w:t>
      </w:r>
      <w:r>
        <w:rPr>
          <w:spacing w:val="-1"/>
        </w:rPr>
        <w:t> </w:t>
      </w:r>
      <w:r>
        <w:rPr/>
        <w:t>Students</w:t>
      </w:r>
    </w:p>
    <w:p>
      <w:pPr>
        <w:spacing w:before="26"/>
        <w:ind w:left="368" w:right="1575"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8">
        <w:r>
          <w:rPr>
            <w:color w:val="1F419A"/>
            <w:sz w:val="18"/>
            <w:u w:val="single" w:color="1F419A"/>
          </w:rPr>
          <w:t>Appendix Tables D-3a4</w:t>
        </w:r>
        <w:r>
          <w:rPr>
            <w:color w:val="1F419A"/>
            <w:sz w:val="18"/>
          </w:rPr>
          <w:t> </w:t>
        </w:r>
      </w:hyperlink>
      <w:r>
        <w:rPr>
          <w:sz w:val="18"/>
        </w:rPr>
        <w:t>through </w:t>
      </w:r>
      <w:hyperlink r:id="rId59">
        <w:r>
          <w:rPr>
            <w:color w:val="1F419A"/>
            <w:sz w:val="18"/>
            <w:u w:val="single" w:color="1F419A"/>
          </w:rPr>
          <w:t>D-3a6</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right="2035"/>
      </w:pPr>
      <w:r>
        <w:rPr/>
        <w:pict>
          <v:group style="position:absolute;margin-left:73.199997pt;margin-top:30.879894pt;width:463.6pt;height:567.4pt;mso-position-horizontal-relative:page;mso-position-vertical-relative:paragraph;z-index:-251620352;mso-wrap-distance-left:0;mso-wrap-distance-right:0" coordorigin="1464,618" coordsize="9272,11348">
            <v:line style="position:absolute" from="1472,622" to="10728,622" stroked="true" strokeweight=".4pt" strokecolor="#a4a4a4">
              <v:stroke dashstyle="solid"/>
            </v:line>
            <v:rect style="position:absolute;left:1464;top:11957;width:8;height:8" filled="true" fillcolor="#a4a4a4" stroked="false">
              <v:fill type="solid"/>
            </v:rect>
            <v:rect style="position:absolute;left:1464;top:11957;width:8;height:8" filled="true" fillcolor="#a4a4a4" stroked="false">
              <v:fill type="solid"/>
            </v:rect>
            <v:line style="position:absolute" from="1472,11962" to="10728,11962" stroked="true" strokeweight=".4pt" strokecolor="#a4a4a4">
              <v:stroke dashstyle="solid"/>
            </v:line>
            <v:rect style="position:absolute;left:10728;top:11957;width:8;height:8" filled="true" fillcolor="#a4a4a4" stroked="false">
              <v:fill type="solid"/>
            </v:rect>
            <v:rect style="position:absolute;left:10728;top:11957;width:8;height:8" filled="true" fillcolor="#a4a4a4" stroked="false">
              <v:fill type="solid"/>
            </v:rect>
            <v:line style="position:absolute" from="1468,618" to="1468,11958" stroked="true" strokeweight=".4pt" strokecolor="#a4a4a4">
              <v:stroke dashstyle="solid"/>
            </v:line>
            <v:line style="position:absolute" from="10732,618" to="10732,11958" stroked="true" strokeweight=".4pt" strokecolor="#a4a4a4">
              <v:stroke dashstyle="solid"/>
            </v:line>
            <v:shape style="position:absolute;left:1799;top:705;width:8746;height:11172" type="#_x0000_t75" alt="See Notes for information on an accessible version of this figure." stroked="false">
              <v:imagedata r:id="rId61" o:title=""/>
            </v:shape>
            <w10:wrap type="topAndBottom"/>
          </v:group>
        </w:pict>
      </w:r>
      <w:r>
        <w:rPr/>
        <w:t>Figure</w:t>
      </w:r>
      <w:r>
        <w:rPr>
          <w:spacing w:val="-3"/>
        </w:rPr>
        <w:t> </w:t>
      </w:r>
      <w:r>
        <w:rPr/>
        <w:t>8.</w:t>
        <w:tab/>
        <w:t>Prevalence of Intimate Partner Violence in 2021–2022 Academic Year, by Student Characteristics, Graduate/Professional</w:t>
      </w:r>
      <w:r>
        <w:rPr>
          <w:spacing w:val="-5"/>
        </w:rPr>
        <w:t> </w:t>
      </w:r>
      <w:r>
        <w:rPr/>
        <w:t>Students</w:t>
      </w:r>
    </w:p>
    <w:p>
      <w:pPr>
        <w:spacing w:before="30"/>
        <w:ind w:left="368" w:right="1575"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8">
        <w:r>
          <w:rPr>
            <w:color w:val="1F419A"/>
            <w:sz w:val="18"/>
            <w:u w:val="single" w:color="1F419A"/>
          </w:rPr>
          <w:t>Appendix Tables D-3a4</w:t>
        </w:r>
        <w:r>
          <w:rPr>
            <w:color w:val="1F419A"/>
            <w:sz w:val="18"/>
          </w:rPr>
          <w:t> </w:t>
        </w:r>
      </w:hyperlink>
      <w:r>
        <w:rPr>
          <w:sz w:val="18"/>
        </w:rPr>
        <w:t>through </w:t>
      </w:r>
      <w:hyperlink r:id="rId59">
        <w:r>
          <w:rPr>
            <w:color w:val="1F419A"/>
            <w:sz w:val="18"/>
            <w:u w:val="single" w:color="1F419A"/>
          </w:rPr>
          <w:t>D-3a6</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tabs>
          <w:tab w:pos="1259" w:val="left" w:leader="none"/>
        </w:tabs>
        <w:spacing w:line="242" w:lineRule="auto"/>
        <w:ind w:left="1259" w:right="2097"/>
      </w:pPr>
      <w:r>
        <w:rPr/>
        <w:pict>
          <v:group style="position:absolute;margin-left:73.199997pt;margin-top:30.879894pt;width:463.6pt;height:574.4pt;mso-position-horizontal-relative:page;mso-position-vertical-relative:paragraph;z-index:-251619328;mso-wrap-distance-left:0;mso-wrap-distance-right:0" coordorigin="1464,618" coordsize="9272,11488">
            <v:line style="position:absolute" from="1472,622" to="10728,622" stroked="true" strokeweight=".4pt" strokecolor="#a4a4a4">
              <v:stroke dashstyle="solid"/>
            </v:line>
            <v:line style="position:absolute" from="1472,12102" to="10728,12102" stroked="true" strokeweight=".4pt" strokecolor="#a4a4a4">
              <v:stroke dashstyle="solid"/>
            </v:line>
            <v:line style="position:absolute" from="1468,618" to="1468,12106" stroked="true" strokeweight=".4pt" strokecolor="#a4a4a4">
              <v:stroke dashstyle="solid"/>
            </v:line>
            <v:line style="position:absolute" from="10732,618" to="10732,12106" stroked="true" strokeweight=".4pt" strokecolor="#a4a4a4">
              <v:stroke dashstyle="solid"/>
            </v:line>
            <v:shape style="position:absolute;left:1747;top:705;width:8851;height:11310" type="#_x0000_t75" alt="See Notes for information on an accessible version of this figure." stroked="false">
              <v:imagedata r:id="rId62" o:title=""/>
            </v:shape>
            <w10:wrap type="topAndBottom"/>
          </v:group>
        </w:pict>
      </w:r>
      <w:r>
        <w:rPr/>
        <w:t>Figure</w:t>
      </w:r>
      <w:r>
        <w:rPr>
          <w:spacing w:val="-3"/>
        </w:rPr>
        <w:t> </w:t>
      </w:r>
      <w:r>
        <w:rPr/>
        <w:t>9.</w:t>
        <w:tab/>
        <w:t>Prevalence of Stalking in 2021–2022 Academic Year, by Student Characteristics, Graduate/Professional</w:t>
      </w:r>
      <w:r>
        <w:rPr>
          <w:spacing w:val="-1"/>
        </w:rPr>
        <w:t> </w:t>
      </w:r>
      <w:r>
        <w:rPr/>
        <w:t>Students</w:t>
      </w:r>
    </w:p>
    <w:p>
      <w:pPr>
        <w:spacing w:line="240" w:lineRule="auto" w:before="26"/>
        <w:ind w:left="368" w:right="1575" w:hanging="189"/>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58">
        <w:r>
          <w:rPr>
            <w:color w:val="1F419A"/>
            <w:sz w:val="18"/>
            <w:u w:val="single" w:color="1F419A"/>
          </w:rPr>
          <w:t>Appendix Tables D-3a</w:t>
        </w:r>
      </w:hyperlink>
      <w:r>
        <w:rPr>
          <w:color w:val="1F419A"/>
          <w:sz w:val="18"/>
          <w:u w:val="single" w:color="1F419A"/>
        </w:rPr>
        <w:t>4</w:t>
      </w:r>
      <w:r>
        <w:rPr>
          <w:color w:val="1F419A"/>
          <w:sz w:val="18"/>
        </w:rPr>
        <w:t> </w:t>
      </w:r>
      <w:r>
        <w:rPr>
          <w:sz w:val="18"/>
        </w:rPr>
        <w:t>through </w:t>
      </w:r>
      <w:hyperlink r:id="rId59">
        <w:r>
          <w:rPr>
            <w:color w:val="1F419A"/>
            <w:sz w:val="18"/>
            <w:u w:val="single" w:color="1F419A"/>
          </w:rPr>
          <w:t>D-3a6</w:t>
        </w:r>
      </w:hyperlink>
      <w:r>
        <w:rPr>
          <w:sz w:val="18"/>
        </w:rPr>
        <w:t>.</w:t>
      </w:r>
    </w:p>
    <w:p>
      <w:pPr>
        <w:spacing w:after="0" w:line="240" w:lineRule="auto"/>
        <w:jc w:val="left"/>
        <w:rPr>
          <w:sz w:val="18"/>
        </w:rPr>
        <w:sectPr>
          <w:pgSz w:w="12240" w:h="15840"/>
          <w:pgMar w:header="0" w:footer="592" w:top="1120" w:bottom="780" w:left="1260" w:right="0"/>
        </w:sectPr>
      </w:pPr>
    </w:p>
    <w:p>
      <w:pPr>
        <w:pStyle w:val="BodyText"/>
        <w:rPr>
          <w:sz w:val="12"/>
        </w:rPr>
      </w:pPr>
    </w:p>
    <w:p>
      <w:pPr>
        <w:pStyle w:val="Heading3"/>
        <w:numPr>
          <w:ilvl w:val="1"/>
          <w:numId w:val="4"/>
        </w:numPr>
        <w:tabs>
          <w:tab w:pos="1043" w:val="left" w:leader="none"/>
          <w:tab w:pos="1044" w:val="left" w:leader="none"/>
        </w:tabs>
        <w:spacing w:line="240" w:lineRule="auto" w:before="89" w:after="0"/>
        <w:ind w:left="1043" w:right="0" w:hanging="864"/>
        <w:jc w:val="left"/>
      </w:pPr>
      <w:bookmarkStart w:name="_TOC_250009" w:id="17"/>
      <w:bookmarkStart w:name="2.3 Additional Details: Sexual Harassmen" w:id="18"/>
      <w:r>
        <w:rPr>
          <w:b w:val="0"/>
        </w:rPr>
      </w:r>
      <w:bookmarkEnd w:id="18"/>
      <w:bookmarkStart w:name="2.3 Additional Details: Sexual Harassmen" w:id="19"/>
      <w:r>
        <w:rPr>
          <w:color w:val="09357D"/>
        </w:rPr>
        <w:t>Add</w:t>
      </w:r>
      <w:r>
        <w:rPr>
          <w:color w:val="09357D"/>
        </w:rPr>
        <w:t>itional Details: Sexual</w:t>
      </w:r>
      <w:r>
        <w:rPr>
          <w:color w:val="09357D"/>
          <w:spacing w:val="-5"/>
        </w:rPr>
        <w:t> </w:t>
      </w:r>
      <w:bookmarkEnd w:id="17"/>
      <w:r>
        <w:rPr>
          <w:color w:val="09357D"/>
        </w:rPr>
        <w:t>Harassment</w:t>
      </w:r>
    </w:p>
    <w:p>
      <w:pPr>
        <w:pStyle w:val="BodyText"/>
        <w:spacing w:line="333" w:lineRule="auto" w:before="229"/>
        <w:ind w:left="104" w:right="1531" w:firstLine="720"/>
      </w:pPr>
      <w:r>
        <w:rPr/>
        <w:t>To understand the sexual harassment that students experienced, consider Figure 10, which shows the percentage of students who indicated they experienced specific types of sexual harassment during the 2021–2022 academic year. As evident, the two most common types of sexual harassment were “someone making inappropriate or offensive comments about your or someone else’s body, appearance, or sexual activities” and someone “referring to people of your gender in insulting or offensive terms.” Both behaviors were common experiences: nearly half of undergraduate cisgender women experienced each behavior. Very few students indicated that someone in a position of authority over them had promised them better treatment or implied favors if they engaged </w:t>
      </w:r>
      <w:r>
        <w:rPr>
          <w:spacing w:val="-3"/>
        </w:rPr>
        <w:t>in </w:t>
      </w:r>
      <w:r>
        <w:rPr/>
        <w:t>sexual contact or implied or threatened worse treatment if they refused sexual</w:t>
      </w:r>
      <w:r>
        <w:rPr>
          <w:spacing w:val="-3"/>
        </w:rPr>
        <w:t> </w:t>
      </w:r>
      <w:r>
        <w:rPr/>
        <w:t>contact.</w:t>
      </w:r>
    </w:p>
    <w:p>
      <w:pPr>
        <w:pStyle w:val="Heading5"/>
        <w:spacing w:before="95"/>
        <w:ind w:left="180" w:firstLine="0"/>
      </w:pPr>
      <w:r>
        <w:rPr/>
        <w:pict>
          <v:group style="position:absolute;margin-left:73.199997pt;margin-top:19.529871pt;width:463.6pt;height:336pt;mso-position-horizontal-relative:page;mso-position-vertical-relative:paragraph;z-index:-251618304;mso-wrap-distance-left:0;mso-wrap-distance-right:0" coordorigin="1464,391" coordsize="9272,6720">
            <v:line style="position:absolute" from="1472,395" to="10728,395" stroked="true" strokeweight=".4pt" strokecolor="#a4a4a4">
              <v:stroke dashstyle="solid"/>
            </v:line>
            <v:line style="position:absolute" from="1472,7107" to="10728,7107" stroked="true" strokeweight=".4pt" strokecolor="#a4a4a4">
              <v:stroke dashstyle="solid"/>
            </v:line>
            <v:line style="position:absolute" from="1468,391" to="1468,7111" stroked="true" strokeweight=".4pt" strokecolor="#a4a4a4">
              <v:stroke dashstyle="solid"/>
            </v:line>
            <v:line style="position:absolute" from="10732,391" to="10732,7111" stroked="true" strokeweight=".4pt" strokecolor="#a4a4a4">
              <v:stroke dashstyle="solid"/>
            </v:line>
            <v:shape style="position:absolute;left:1829;top:476;width:8673;height:6546" type="#_x0000_t75" alt="See Notes for information on an accessible version of this figure.  " stroked="false">
              <v:imagedata r:id="rId63" o:title=""/>
            </v:shape>
            <w10:wrap type="topAndBottom"/>
          </v:group>
        </w:pict>
      </w:r>
      <w:r>
        <w:rPr/>
        <w:t>Figure 10. Prevalence of Specific Types of Sexual Harassment in 2021–2022 Academic Year</w:t>
      </w:r>
    </w:p>
    <w:p>
      <w:pPr>
        <w:spacing w:before="26"/>
        <w:ind w:left="367" w:right="1756" w:hanging="188"/>
        <w:jc w:val="left"/>
        <w:rPr>
          <w:sz w:val="18"/>
        </w:rPr>
      </w:pPr>
      <w:r>
        <w:rPr>
          <w:sz w:val="18"/>
        </w:rPr>
        <w:t>Notes: Percentages are of students. ! Estimate is considered not statistically reliable because it is either based on fewer than 10 people or has a relative standard error greater than 30%. For an accessible version of the information shown in this figure, see </w:t>
      </w:r>
      <w:hyperlink r:id="rId64">
        <w:r>
          <w:rPr>
            <w:color w:val="1F419A"/>
            <w:sz w:val="18"/>
            <w:u w:val="single" w:color="1F419A"/>
          </w:rPr>
          <w:t>Appendix Table D-4</w:t>
        </w:r>
      </w:hyperlink>
      <w:r>
        <w:rPr>
          <w:sz w:val="18"/>
        </w:rPr>
        <w:t>.</w:t>
      </w:r>
    </w:p>
    <w:p>
      <w:pPr>
        <w:pStyle w:val="BodyText"/>
      </w:pPr>
    </w:p>
    <w:p>
      <w:pPr>
        <w:pStyle w:val="BodyText"/>
        <w:spacing w:before="1"/>
        <w:rPr>
          <w:sz w:val="21"/>
        </w:rPr>
      </w:pPr>
    </w:p>
    <w:p>
      <w:pPr>
        <w:pStyle w:val="BodyText"/>
        <w:spacing w:line="333" w:lineRule="auto"/>
        <w:ind w:left="180" w:right="1609" w:firstLine="720"/>
      </w:pPr>
      <w:r>
        <w:rPr/>
        <w:t>Details about the impact of the sexual harassment that students experienced are shown in Figure 11. Most commonly, the sexual harassment led to problems with the students’ mental health. For cisgender women undergraduates, 54.1% indicated experiencing mental health problems, as did 33.3% of cisgender men undergraduates, 71.9% of transgender and/or nonbinary undergraduates, 52.2% of</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79" w:right="1479"/>
      </w:pPr>
      <w:r>
        <w:rPr/>
        <w:t>cisgender women graduate/professional students, 45.8% of cisgender men graduate/professional students, and 70.7% of transgender and/or nonbinary graduate/professional students. The next most common problems had to do with friends, roommates, or peers. About 29.0% of undergraduate cisgender women, 26.1% of undergraduate cisgender men, 42.2% of transgender and/or nonbinary undergraduates, 19.1% of cisgender women graduate/professional students, and 24.4% of cisgender men graduate/professional students indicated experiencing problems with friends, roommates, or peers as a result of their sexual harassment</w:t>
      </w:r>
      <w:r>
        <w:rPr>
          <w:spacing w:val="-5"/>
        </w:rPr>
        <w:t> </w:t>
      </w:r>
      <w:r>
        <w:rPr/>
        <w:t>experiences.</w:t>
      </w:r>
    </w:p>
    <w:p>
      <w:pPr>
        <w:pStyle w:val="Heading5"/>
        <w:ind w:left="179" w:firstLine="0"/>
      </w:pPr>
      <w:r>
        <w:rPr/>
        <w:pict>
          <v:group style="position:absolute;margin-left:73.199997pt;margin-top:19.479895pt;width:463.6pt;height:335.8pt;mso-position-horizontal-relative:page;mso-position-vertical-relative:paragraph;z-index:-251617280;mso-wrap-distance-left:0;mso-wrap-distance-right:0" coordorigin="1464,390" coordsize="9272,6716">
            <v:line style="position:absolute" from="1472,394" to="10728,394" stroked="true" strokeweight=".4pt" strokecolor="#a4a4a4">
              <v:stroke dashstyle="solid"/>
            </v:line>
            <v:rect style="position:absolute;left:1464;top:7097;width:8;height:8" filled="true" fillcolor="#a4a4a4" stroked="false">
              <v:fill type="solid"/>
            </v:rect>
            <v:rect style="position:absolute;left:1464;top:7097;width:8;height:8" filled="true" fillcolor="#a4a4a4" stroked="false">
              <v:fill type="solid"/>
            </v:rect>
            <v:line style="position:absolute" from="1472,7102" to="10728,7102" stroked="true" strokeweight=".4pt" strokecolor="#a4a4a4">
              <v:stroke dashstyle="solid"/>
            </v:line>
            <v:rect style="position:absolute;left:10728;top:7097;width:8;height:8" filled="true" fillcolor="#a4a4a4" stroked="false">
              <v:fill type="solid"/>
            </v:rect>
            <v:rect style="position:absolute;left:10728;top:7097;width:8;height:8" filled="true" fillcolor="#a4a4a4" stroked="false">
              <v:fill type="solid"/>
            </v:rect>
            <v:line style="position:absolute" from="1468,390" to="1468,7098" stroked="true" strokeweight=".4pt" strokecolor="#a4a4a4">
              <v:stroke dashstyle="solid"/>
            </v:line>
            <v:line style="position:absolute" from="10732,390" to="10732,7098" stroked="true" strokeweight=".4pt" strokecolor="#a4a4a4">
              <v:stroke dashstyle="solid"/>
            </v:line>
            <v:shape style="position:absolute;left:1724;top:475;width:8984;height:6536" type="#_x0000_t75" alt="See Notes for information on an accessible version of this figure.  " stroked="false">
              <v:imagedata r:id="rId65" o:title=""/>
            </v:shape>
            <w10:wrap type="topAndBottom"/>
          </v:group>
        </w:pict>
      </w:r>
      <w:r>
        <w:rPr/>
        <w:t>Figure 11. Impact of Sexual Harassment</w:t>
      </w:r>
    </w:p>
    <w:p>
      <w:pPr>
        <w:spacing w:line="240" w:lineRule="auto" w:before="30"/>
        <w:ind w:left="367" w:right="1446" w:hanging="188"/>
        <w:jc w:val="left"/>
        <w:rPr>
          <w:sz w:val="18"/>
        </w:rPr>
      </w:pPr>
      <w:r>
        <w:rPr>
          <w:sz w:val="18"/>
        </w:rPr>
        <w:t>Notes: Percentages are of sexual harassment survivors. ! Estimate is considered not statistically reliable because it is either based on fewer than 10 people or has a relative standard error greater than 30%. For an accessible version of the information shown in this figure, see </w:t>
      </w:r>
      <w:hyperlink r:id="rId66">
        <w:r>
          <w:rPr>
            <w:color w:val="1F419A"/>
            <w:sz w:val="18"/>
            <w:u w:val="single" w:color="1F419A"/>
          </w:rPr>
          <w:t>Appendix Table D-5</w:t>
        </w:r>
      </w:hyperlink>
      <w:r>
        <w:rPr>
          <w:sz w:val="18"/>
        </w:rPr>
        <w:t>.</w:t>
      </w:r>
    </w:p>
    <w:p>
      <w:pPr>
        <w:pStyle w:val="BodyText"/>
      </w:pPr>
    </w:p>
    <w:p>
      <w:pPr>
        <w:pStyle w:val="BodyText"/>
        <w:spacing w:before="8"/>
      </w:pPr>
    </w:p>
    <w:p>
      <w:pPr>
        <w:pStyle w:val="BodyText"/>
        <w:spacing w:line="333" w:lineRule="auto"/>
        <w:ind w:left="179" w:right="1458" w:firstLine="720"/>
      </w:pPr>
      <w:r>
        <w:rPr/>
        <w:t>Those who acknowledged experiencing sexual harassment indicated that MSU students were the most common perpetrators of sexual harassment (Figure 12). This was the case for about three-quarters of undergraduate cisgender women, undergraduate cisgender men, transgender and/or nonbinary undergraduates, and cisgender men graduate/professional students who experienced sexual harassment. About half of cisgender women graduate/professional students and transgender and/or nonbinary graduate/professional students indicated their sexual harassment perpetrators were MSU students. Individuals not affiliated with MSU were also responsible for a substantial proportion of</w:t>
      </w:r>
      <w:r>
        <w:rPr>
          <w:spacing w:val="-37"/>
        </w:rPr>
        <w:t> </w:t>
      </w:r>
      <w:r>
        <w:rPr/>
        <w:t>sexual</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529"/>
      </w:pPr>
      <w:r>
        <w:rPr/>
        <w:t>harassment incidents. In addition, 12.6% of cisgender women graduate/professional students and 47.7% of transgender and/or nonbinary graduate/professional students indicated that an MSU professor, instructor, or postdoctoral scholar engaged in sexual harassment.</w:t>
      </w:r>
    </w:p>
    <w:p>
      <w:pPr>
        <w:pStyle w:val="Heading5"/>
        <w:spacing w:before="92"/>
        <w:ind w:left="180" w:firstLine="0"/>
      </w:pPr>
      <w:r>
        <w:rPr/>
        <w:pict>
          <v:group style="position:absolute;margin-left:73.199997pt;margin-top:19.379894pt;width:463.6pt;height:335.8pt;mso-position-horizontal-relative:page;mso-position-vertical-relative:paragraph;z-index:-251616256;mso-wrap-distance-left:0;mso-wrap-distance-right:0" coordorigin="1464,388" coordsize="9272,6716">
            <v:line style="position:absolute" from="1472,392" to="10728,392" stroked="true" strokeweight=".4pt" strokecolor="#a4a4a4">
              <v:stroke dashstyle="solid"/>
            </v:line>
            <v:line style="position:absolute" from="1472,7100" to="10728,7100" stroked="true" strokeweight=".401pt" strokecolor="#a4a4a4">
              <v:stroke dashstyle="solid"/>
            </v:line>
            <v:line style="position:absolute" from="1468,388" to="1468,7104" stroked="true" strokeweight=".4pt" strokecolor="#a4a4a4">
              <v:stroke dashstyle="solid"/>
            </v:line>
            <v:line style="position:absolute" from="10732,388" to="10732,7104" stroked="true" strokeweight=".4pt" strokecolor="#a4a4a4">
              <v:stroke dashstyle="solid"/>
            </v:line>
            <v:shape style="position:absolute;left:1711;top:473;width:9010;height:6536" type="#_x0000_t75" alt="See Notes for information on an accessible version of this figure.  " stroked="false">
              <v:imagedata r:id="rId67" o:title=""/>
            </v:shape>
            <w10:wrap type="topAndBottom"/>
          </v:group>
        </w:pict>
      </w:r>
      <w:r>
        <w:rPr/>
        <w:t>Figure 12. Sexual Harassment Perpetrator</w:t>
      </w:r>
    </w:p>
    <w:p>
      <w:pPr>
        <w:spacing w:line="240" w:lineRule="auto" w:before="26"/>
        <w:ind w:left="368" w:right="1446" w:hanging="189"/>
        <w:jc w:val="left"/>
        <w:rPr>
          <w:sz w:val="18"/>
        </w:rPr>
      </w:pPr>
      <w:r>
        <w:rPr>
          <w:sz w:val="18"/>
        </w:rPr>
        <w:t>Notes: Percentages are of sexual harassment survivors. ! Estimate is considered not statistically reliable because it is either based on fewer than 10 people or has a relative standard error greater than 30%. For an accessible version of the information shown in this figure, see </w:t>
      </w:r>
      <w:hyperlink r:id="rId66">
        <w:r>
          <w:rPr>
            <w:color w:val="1F419A"/>
            <w:sz w:val="18"/>
            <w:u w:val="single" w:color="1F419A"/>
          </w:rPr>
          <w:t>Appendix Table D-5</w:t>
        </w:r>
      </w:hyperlink>
      <w:r>
        <w:rPr>
          <w:sz w:val="18"/>
        </w:rPr>
        <w:t>.</w:t>
      </w:r>
    </w:p>
    <w:p>
      <w:pPr>
        <w:pStyle w:val="BodyText"/>
      </w:pPr>
    </w:p>
    <w:p>
      <w:pPr>
        <w:pStyle w:val="BodyText"/>
        <w:spacing w:before="8"/>
      </w:pPr>
    </w:p>
    <w:p>
      <w:pPr>
        <w:pStyle w:val="BodyText"/>
        <w:spacing w:line="333" w:lineRule="auto"/>
        <w:ind w:left="179" w:right="1433" w:firstLine="720"/>
      </w:pPr>
      <w:r>
        <w:rPr/>
        <w:t>Of those who indicated having experienced sexual harassment, about three-quarters of cisgender women and transgender and/or nonbinary students (both undergraduate and graduate/professional students) and half of cisgender men (both undergraduate and graduate/professional students) told someone close to them (i.e., friend, classmate, family member, or intimate partner) about the experience (Figure 13). Very small proportions of students notified an office or resource at MSU, although 14.0% of cisgender women graduate/professional students told a faculty member, teaching/research assistant, or MSU staff member about their experiences.</w:t>
      </w:r>
    </w:p>
    <w:p>
      <w:pPr>
        <w:spacing w:after="0" w:line="333" w:lineRule="auto"/>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428.85pt;mso-position-horizontal-relative:page;mso-position-vertical-relative:paragraph;z-index:-251615232;mso-wrap-distance-left:0;mso-wrap-distance-right:0" coordorigin="1464,390" coordsize="9272,8577">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8962" to="10728,8962" stroked="true" strokeweight=".401pt" strokecolor="#a4a4a4">
              <v:stroke dashstyle="solid"/>
            </v:line>
            <v:line style="position:absolute" from="1468,398" to="1468,8966" stroked="true" strokeweight=".4pt" strokecolor="#a4a4a4">
              <v:stroke dashstyle="solid"/>
            </v:line>
            <v:line style="position:absolute" from="10732,398" to="10732,8966" stroked="true" strokeweight=".4pt" strokecolor="#a4a4a4">
              <v:stroke dashstyle="solid"/>
            </v:line>
            <v:shape style="position:absolute;left:1672;top:475;width:9036;height:8399" type="#_x0000_t75" alt="See Notes for information on an accessible version of this figure.  " stroked="false">
              <v:imagedata r:id="rId68" o:title=""/>
            </v:shape>
            <w10:wrap type="topAndBottom"/>
          </v:group>
        </w:pict>
      </w:r>
      <w:r>
        <w:rPr/>
        <w:t>Figure 13. Sexual Harassment Disclosure</w:t>
      </w:r>
    </w:p>
    <w:p>
      <w:pPr>
        <w:spacing w:line="240" w:lineRule="auto" w:before="26"/>
        <w:ind w:left="367" w:right="1446" w:hanging="188"/>
        <w:jc w:val="left"/>
        <w:rPr>
          <w:sz w:val="18"/>
        </w:rPr>
      </w:pPr>
      <w:r>
        <w:rPr>
          <w:sz w:val="18"/>
        </w:rPr>
        <w:t>Notes: Percentages are of sexual harassment survivors. ! Estimate is considered not statistically reliable because it is either based on fewer than 10 people or has a relative standard error greater than 30%. For an accessible version of the information shown in this figure, see </w:t>
      </w:r>
      <w:hyperlink r:id="rId69">
        <w:r>
          <w:rPr>
            <w:color w:val="1F419A"/>
            <w:sz w:val="18"/>
            <w:u w:val="single" w:color="1F419A"/>
          </w:rPr>
          <w:t>Appendix Table D-6</w:t>
        </w:r>
      </w:hyperlink>
      <w:r>
        <w:rPr>
          <w:sz w:val="18"/>
        </w:rPr>
        <w:t>.</w:t>
      </w:r>
    </w:p>
    <w:p>
      <w:pPr>
        <w:pStyle w:val="BodyText"/>
      </w:pPr>
    </w:p>
    <w:p>
      <w:pPr>
        <w:pStyle w:val="BodyText"/>
        <w:spacing w:before="8"/>
      </w:pPr>
    </w:p>
    <w:p>
      <w:pPr>
        <w:pStyle w:val="BodyText"/>
        <w:spacing w:line="333" w:lineRule="auto"/>
        <w:ind w:left="180" w:right="1438" w:firstLine="720"/>
      </w:pPr>
      <w:r>
        <w:rPr/>
        <w:t>Students who experienced sexual harassment and did not disclose their experience to a formal source of support were asked a follow-up question about their reasons for not disclosing. The results are shown in Figure 14. For almost all student groups, the most common reason cited for not contacting any people or organizations was that they did not think their experiences were serious enough to disclose. For transgender and/or nonbinary graduate/professional students, the most common reason was having concerns that they would be treated poorly. The next most common reasons for all student groups except transgender and/or nonbinary graduate/professional students were that students did not need any help assistance or did not want any action taken. Transgender and/or nonbinary graduate/professional students were more likely to express concerns about whether authorities would be responsive to or have</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79" w:right="2097"/>
      </w:pPr>
      <w:r>
        <w:rPr/>
        <w:t>negative attitudes toward their identities, but they also endorsed the reasons provided by the other student groups.</w:t>
      </w:r>
    </w:p>
    <w:p>
      <w:pPr>
        <w:pStyle w:val="Heading5"/>
        <w:spacing w:before="92"/>
        <w:ind w:left="179" w:firstLine="0"/>
      </w:pPr>
      <w:r>
        <w:rPr/>
        <w:pict>
          <v:group style="position:absolute;margin-left:73.199997pt;margin-top:19.379894pt;width:463.6pt;height:409.2pt;mso-position-horizontal-relative:page;mso-position-vertical-relative:paragraph;z-index:-251614208;mso-wrap-distance-left:0;mso-wrap-distance-right:0" coordorigin="1464,388" coordsize="9272,8184">
            <v:line style="position:absolute" from="1472,392" to="10728,392" stroked="true" strokeweight=".4pt" strokecolor="#a4a4a4">
              <v:stroke dashstyle="solid"/>
            </v:line>
            <v:line style="position:absolute" from="1472,8568" to="10728,8568" stroked="true" strokeweight=".4pt" strokecolor="#a4a4a4">
              <v:stroke dashstyle="solid"/>
            </v:line>
            <v:line style="position:absolute" from="1468,388" to="1468,8572" stroked="true" strokeweight=".4pt" strokecolor="#a4a4a4">
              <v:stroke dashstyle="solid"/>
            </v:line>
            <v:line style="position:absolute" from="10732,388" to="10732,8572" stroked="true" strokeweight=".4pt" strokecolor="#a4a4a4">
              <v:stroke dashstyle="solid"/>
            </v:line>
            <v:shape style="position:absolute;left:1735;top:510;width:8975;height:7850" type="#_x0000_t75" alt="See Notes for information on an accessible version of this figure. " stroked="false">
              <v:imagedata r:id="rId70" o:title=""/>
            </v:shape>
            <w10:wrap type="topAndBottom"/>
          </v:group>
        </w:pict>
      </w:r>
      <w:r>
        <w:rPr/>
        <w:t>Figure 14. Reasons for Not Disclosing Sexual Harassment</w:t>
      </w:r>
    </w:p>
    <w:p>
      <w:pPr>
        <w:spacing w:before="26"/>
        <w:ind w:left="368" w:right="1451" w:hanging="189"/>
        <w:jc w:val="left"/>
        <w:rPr>
          <w:sz w:val="18"/>
        </w:rPr>
      </w:pPr>
      <w:r>
        <w:rPr>
          <w:sz w:val="18"/>
        </w:rPr>
        <w:t>Notes: Percentages are of sexual harassment survivors who did not disclose. ! Estimate is considered not statistically reliable because it is either based on fewer than 10 people or has a relative standard error greater than 30%. For an accessible version of the information shown in this figure, see </w:t>
      </w:r>
      <w:hyperlink r:id="rId71">
        <w:r>
          <w:rPr>
            <w:color w:val="1F419A"/>
            <w:sz w:val="18"/>
            <w:u w:val="single" w:color="1F419A"/>
          </w:rPr>
          <w:t>Appendix Tables D-7a</w:t>
        </w:r>
        <w:r>
          <w:rPr>
            <w:color w:val="1F419A"/>
            <w:sz w:val="18"/>
          </w:rPr>
          <w:t> </w:t>
        </w:r>
      </w:hyperlink>
      <w:r>
        <w:rPr>
          <w:sz w:val="18"/>
        </w:rPr>
        <w:t>and </w:t>
      </w:r>
      <w:hyperlink r:id="rId72">
        <w:r>
          <w:rPr>
            <w:color w:val="1F419A"/>
            <w:sz w:val="18"/>
            <w:u w:val="single" w:color="1F419A"/>
          </w:rPr>
          <w:t>D-7b</w:t>
        </w:r>
      </w:hyperlink>
      <w:r>
        <w:rPr>
          <w:sz w:val="18"/>
        </w:rPr>
        <w:t>.</w:t>
      </w:r>
    </w:p>
    <w:p>
      <w:pPr>
        <w:pStyle w:val="BodyText"/>
        <w:spacing w:before="3"/>
        <w:rPr>
          <w:sz w:val="27"/>
        </w:rPr>
      </w:pPr>
    </w:p>
    <w:p>
      <w:pPr>
        <w:pStyle w:val="Heading3"/>
        <w:numPr>
          <w:ilvl w:val="1"/>
          <w:numId w:val="4"/>
        </w:numPr>
        <w:tabs>
          <w:tab w:pos="1043" w:val="left" w:leader="none"/>
          <w:tab w:pos="1044" w:val="left" w:leader="none"/>
        </w:tabs>
        <w:spacing w:line="240" w:lineRule="auto" w:before="90" w:after="0"/>
        <w:ind w:left="1043" w:right="0" w:hanging="864"/>
        <w:jc w:val="left"/>
      </w:pPr>
      <w:bookmarkStart w:name="_TOC_250008" w:id="20"/>
      <w:bookmarkStart w:name="2.4 Additional Details: Sexual Assault" w:id="21"/>
      <w:r>
        <w:rPr>
          <w:b w:val="0"/>
        </w:rPr>
      </w:r>
      <w:bookmarkEnd w:id="21"/>
      <w:bookmarkStart w:name="2.4 Additional Details: Sexual Assault" w:id="22"/>
      <w:r>
        <w:rPr>
          <w:color w:val="09357D"/>
        </w:rPr>
        <w:t>Add</w:t>
      </w:r>
      <w:r>
        <w:rPr>
          <w:color w:val="09357D"/>
        </w:rPr>
        <w:t>itional Details: Sexual</w:t>
      </w:r>
      <w:r>
        <w:rPr>
          <w:color w:val="09357D"/>
          <w:spacing w:val="-5"/>
        </w:rPr>
        <w:t> </w:t>
      </w:r>
      <w:bookmarkEnd w:id="20"/>
      <w:r>
        <w:rPr>
          <w:color w:val="09357D"/>
        </w:rPr>
        <w:t>Assault</w:t>
      </w:r>
    </w:p>
    <w:p>
      <w:pPr>
        <w:pStyle w:val="BodyText"/>
        <w:spacing w:line="333" w:lineRule="auto" w:before="229"/>
        <w:ind w:left="195" w:right="1526" w:firstLine="720"/>
      </w:pPr>
      <w:r>
        <w:rPr/>
        <w:t>Recent sexual assault survivors (i.e., students who indicated that they had experienced one or more incidents of sexual assault during the 2021–2022 academic year) were asked a detailed set of questions about each incident (up to three incidents) in the survey. These questions were asked to improve understanding of the context in which sexual assault incidents occur, students’ experiences with disclosure, and the impact of the incidents.</w:t>
      </w:r>
    </w:p>
    <w:p>
      <w:pPr>
        <w:spacing w:after="0" w:line="333" w:lineRule="auto"/>
        <w:sectPr>
          <w:pgSz w:w="12240" w:h="15840"/>
          <w:pgMar w:header="0" w:footer="592" w:top="1120" w:bottom="780" w:left="1260" w:right="0"/>
        </w:sectPr>
      </w:pPr>
    </w:p>
    <w:p>
      <w:pPr>
        <w:pStyle w:val="BodyText"/>
        <w:rPr>
          <w:sz w:val="12"/>
        </w:rPr>
      </w:pPr>
    </w:p>
    <w:p>
      <w:pPr>
        <w:pStyle w:val="Heading4"/>
        <w:numPr>
          <w:ilvl w:val="2"/>
          <w:numId w:val="10"/>
        </w:numPr>
        <w:tabs>
          <w:tab w:pos="1043" w:val="left" w:leader="none"/>
          <w:tab w:pos="1045" w:val="left" w:leader="none"/>
        </w:tabs>
        <w:spacing w:line="240" w:lineRule="auto" w:before="91" w:after="0"/>
        <w:ind w:left="1044" w:right="0" w:hanging="865"/>
        <w:jc w:val="left"/>
      </w:pPr>
      <w:bookmarkStart w:name="_TOC_250007" w:id="23"/>
      <w:bookmarkStart w:name="2.4.1 Incident Characteristics" w:id="24"/>
      <w:r>
        <w:rPr>
          <w:b w:val="0"/>
        </w:rPr>
      </w:r>
      <w:bookmarkEnd w:id="24"/>
      <w:bookmarkStart w:name="2.4.1 Incident Characteristics" w:id="25"/>
      <w:r>
        <w:rPr>
          <w:color w:val="09357D"/>
        </w:rPr>
        <w:t>I</w:t>
      </w:r>
      <w:r>
        <w:rPr>
          <w:color w:val="09357D"/>
        </w:rPr>
        <w:t>ncident</w:t>
      </w:r>
      <w:r>
        <w:rPr>
          <w:color w:val="09357D"/>
          <w:spacing w:val="-4"/>
        </w:rPr>
        <w:t> </w:t>
      </w:r>
      <w:bookmarkEnd w:id="23"/>
      <w:r>
        <w:rPr>
          <w:color w:val="09357D"/>
        </w:rPr>
        <w:t>Characteristics</w:t>
      </w:r>
    </w:p>
    <w:p>
      <w:pPr>
        <w:pStyle w:val="BodyText"/>
        <w:spacing w:line="333" w:lineRule="auto" w:before="189"/>
        <w:ind w:left="180" w:right="1541" w:firstLine="720"/>
      </w:pPr>
      <w:r>
        <w:rPr/>
        <w:t>The survey gathered detailed information about the tactic used during the incident (e.g., force, incapacitation), the location of incidents, number and gender of perpetrators, perpetrator affiliation with MSU, the survivor’s relationship to the perpetrator, and drug and alcohol use by the perpetrator and survivor. All details were analyzed separately for rape and sexual battery incidents experienced in 2021– 2022, for each student population (undergraduate cisgender women, undergraduate cisgender men, transgender and/or nonbinary undergraduates, cisgender women graduate/professional students, cisgender men graduate/professional students, and transgender and/or nonbinary graduate/professional students) to understand the differences in the rape and sexual battery incidents. (Details for all sexual assault incidents experienced in 2021–2022 are in Appendix D.)</w:t>
      </w:r>
    </w:p>
    <w:p>
      <w:pPr>
        <w:pStyle w:val="BodyText"/>
        <w:spacing w:line="333" w:lineRule="auto" w:before="163"/>
        <w:ind w:left="180" w:right="1447" w:firstLine="720"/>
      </w:pPr>
      <w:r>
        <w:rPr/>
        <w:t>Figure 15 shows the location of rape and sexual battery incidents experienced by undergraduate cisgender women (the student population with the highest number of incidents). As evident, the majority of rape incidents (42.2%) took place </w:t>
      </w:r>
      <w:r>
        <w:rPr>
          <w:spacing w:val="-3"/>
        </w:rPr>
        <w:t>in </w:t>
      </w:r>
      <w:r>
        <w:rPr/>
        <w:t>off-campus private residences, and the second most common location for rape incidents (27.5%) was on-campus residence halls/dorms. For sexual battery incidents experienced by undergraduate cisgender women, the most common locations were restaurants, bars, and clubs (33.3%); off-campus private residences (22.5%); and fraternity houses (17.8%), The most common locations for both rape and sexual battery incidents were similar for the other student groups, but most of these estimates lack statistical power and precision and are therefore considered imprecise or not reliable</w:t>
      </w:r>
      <w:r>
        <w:rPr>
          <w:spacing w:val="-4"/>
        </w:rPr>
        <w:t> </w:t>
      </w:r>
      <w:r>
        <w:rPr/>
        <w:t>statistically.</w:t>
      </w:r>
    </w:p>
    <w:p>
      <w:pPr>
        <w:pStyle w:val="Heading5"/>
        <w:spacing w:before="95"/>
        <w:ind w:right="1575"/>
      </w:pPr>
      <w:r>
        <w:rPr/>
        <w:pict>
          <v:group style="position:absolute;margin-left:73.199997pt;margin-top:30.928883pt;width:463.6pt;height:216.25pt;mso-position-horizontal-relative:page;mso-position-vertical-relative:paragraph;z-index:-251613184;mso-wrap-distance-left:0;mso-wrap-distance-right:0" coordorigin="1464,619" coordsize="9272,4325">
            <v:line style="position:absolute" from="1472,623" to="10728,623" stroked="true" strokeweight=".401pt" strokecolor="#a4a4a4">
              <v:stroke dashstyle="solid"/>
            </v:line>
            <v:rect style="position:absolute;left:1464;top:4934;width:8;height:8" filled="true" fillcolor="#a4a4a4" stroked="false">
              <v:fill type="solid"/>
            </v:rect>
            <v:rect style="position:absolute;left:1464;top:4934;width:8;height:8" filled="true" fillcolor="#a4a4a4" stroked="false">
              <v:fill type="solid"/>
            </v:rect>
            <v:line style="position:absolute" from="1472,4939" to="10728,4939" stroked="true" strokeweight=".4pt" strokecolor="#a4a4a4">
              <v:stroke dashstyle="solid"/>
            </v:line>
            <v:rect style="position:absolute;left:10728;top:4934;width:8;height:8" filled="true" fillcolor="#a4a4a4" stroked="false">
              <v:fill type="solid"/>
            </v:rect>
            <v:rect style="position:absolute;left:10728;top:4934;width:8;height:8" filled="true" fillcolor="#a4a4a4" stroked="false">
              <v:fill type="solid"/>
            </v:rect>
            <v:line style="position:absolute" from="1468,619" to="1468,4935" stroked="true" strokeweight=".4pt" strokecolor="#a4a4a4">
              <v:stroke dashstyle="solid"/>
            </v:line>
            <v:line style="position:absolute" from="10732,619" to="10732,4935" stroked="true" strokeweight=".4pt" strokecolor="#a4a4a4">
              <v:stroke dashstyle="solid"/>
            </v:line>
            <v:shape style="position:absolute;left:1761;top:827;width:8811;height:3948" type="#_x0000_t75" alt="See Notes for information on an accessible version of this figure. " stroked="false">
              <v:imagedata r:id="rId73" o:title=""/>
            </v:shape>
            <w10:wrap type="topAndBottom"/>
          </v:group>
        </w:pict>
      </w:r>
      <w:r>
        <w:rPr/>
        <w:t>Figure 15. Location of Sexual Battery and Rape Incidents Experienced by Undergraduate Cisgender Women</w:t>
      </w:r>
    </w:p>
    <w:p>
      <w:pPr>
        <w:spacing w:before="30"/>
        <w:ind w:left="368" w:right="1726" w:hanging="189"/>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74">
        <w:r>
          <w:rPr>
            <w:color w:val="1F419A"/>
            <w:sz w:val="18"/>
            <w:u w:val="single" w:color="1F419A"/>
          </w:rPr>
          <w:t>Appendix Tables D-8b</w:t>
        </w:r>
        <w:r>
          <w:rPr>
            <w:color w:val="1F419A"/>
            <w:sz w:val="18"/>
          </w:rPr>
          <w:t> </w:t>
        </w:r>
      </w:hyperlink>
      <w:r>
        <w:rPr>
          <w:sz w:val="18"/>
        </w:rPr>
        <w:t>and </w:t>
      </w:r>
      <w:hyperlink r:id="rId75">
        <w:r>
          <w:rPr>
            <w:color w:val="1F419A"/>
            <w:sz w:val="18"/>
            <w:u w:val="single" w:color="1F419A"/>
          </w:rPr>
          <w:t>D-8c</w:t>
        </w:r>
      </w:hyperlink>
      <w:r>
        <w:rPr>
          <w:sz w:val="18"/>
        </w:rPr>
        <w:t>.</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63" w:firstLine="720"/>
      </w:pPr>
      <w:r>
        <w:rPr/>
        <w:t>Other contextual characteristics of rape and sexual battery incidents that undergraduate cisgender women experienced in the 2021–2022 academic year are shown in Figure 16. Several differences in rape and sexual battery incidents are evident. For example, although the most common tactic used to achieve both rape and sexual battery incidents was the person “ignoring you when you said ‘no’ or just [doing] it without your consent, when you did not want it to happen,” it is clear that threats and physical force were fairly common among rape incidents (37.2%), along with the survivor’s being “unable to provide consent or stop what was happening because [you] were incapacitated, passed out, unconscious, blacked out, or asleep” (51.2%), whereas fewer than a quarter of the sexual battery incidents experienced by undergraduate cisgender women were attributed to these two tactics. Other differences were that sexual battery incidents were more likely to be perpetrated by a stranger (49.9%) and rape incidents by an “acquaintance, friend of a friend, or someone you just met” (45.2%), and that sexual battery incidents were slightly more likely than rape incidents to involve alcohol or drug use on the part of the perpetrator, the survivor, or both. The most common category of perpetrator was an MSU student, which was the case for both rape (59.0%) and sexual battery (64.1%) incidents.</w:t>
      </w:r>
    </w:p>
    <w:p>
      <w:pPr>
        <w:pStyle w:val="Heading5"/>
        <w:spacing w:line="242" w:lineRule="auto" w:before="96"/>
        <w:ind w:right="1575"/>
      </w:pPr>
      <w:r>
        <w:rPr/>
        <w:pict>
          <v:group style="position:absolute;margin-left:73.199997pt;margin-top:30.979895pt;width:463.6pt;height:340.4pt;mso-position-horizontal-relative:page;mso-position-vertical-relative:paragraph;z-index:-251612160;mso-wrap-distance-left:0;mso-wrap-distance-right:0" coordorigin="1464,620" coordsize="9272,6808">
            <v:line style="position:absolute" from="1472,624" to="10728,624" stroked="true" strokeweight=".4pt" strokecolor="#a4a4a4">
              <v:stroke dashstyle="solid"/>
            </v:line>
            <v:line style="position:absolute" from="1472,7424" to="10728,7424" stroked="true" strokeweight=".4pt" strokecolor="#a4a4a4">
              <v:stroke dashstyle="solid"/>
            </v:line>
            <v:line style="position:absolute" from="1468,620" to="1468,7428" stroked="true" strokeweight=".4pt" strokecolor="#a4a4a4">
              <v:stroke dashstyle="solid"/>
            </v:line>
            <v:line style="position:absolute" from="10732,620" to="10732,7428" stroked="true" strokeweight=".4pt" strokecolor="#a4a4a4">
              <v:stroke dashstyle="solid"/>
            </v:line>
            <v:shape style="position:absolute;left:2235;top:702;width:7579;height:6681" type="#_x0000_t75" alt="See Notes for information on an accessible version of this figure. " stroked="false">
              <v:imagedata r:id="rId76" o:title=""/>
            </v:shape>
            <w10:wrap type="topAndBottom"/>
          </v:group>
        </w:pict>
      </w:r>
      <w:r>
        <w:rPr/>
        <w:t>Figure 16. Characteristics of Sexual Battery and Rape Incidents Experienced by Undergraduate Cisgender Women</w:t>
      </w:r>
    </w:p>
    <w:p>
      <w:pPr>
        <w:spacing w:line="240" w:lineRule="auto" w:before="26"/>
        <w:ind w:left="367" w:right="1726" w:hanging="188"/>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74">
        <w:r>
          <w:rPr>
            <w:color w:val="1F419A"/>
            <w:sz w:val="18"/>
            <w:u w:val="single" w:color="1F419A"/>
          </w:rPr>
          <w:t>Appendix Tables D-8b</w:t>
        </w:r>
        <w:r>
          <w:rPr>
            <w:color w:val="1F419A"/>
            <w:sz w:val="18"/>
          </w:rPr>
          <w:t> </w:t>
        </w:r>
      </w:hyperlink>
      <w:r>
        <w:rPr>
          <w:sz w:val="18"/>
        </w:rPr>
        <w:t>and </w:t>
      </w:r>
      <w:hyperlink r:id="rId75">
        <w:r>
          <w:rPr>
            <w:color w:val="1F419A"/>
            <w:sz w:val="18"/>
            <w:u w:val="single" w:color="1F419A"/>
          </w:rPr>
          <w:t>D-8c</w:t>
        </w:r>
      </w:hyperlink>
      <w:r>
        <w:rPr>
          <w:sz w:val="18"/>
        </w:rPr>
        <w:t>.</w:t>
      </w:r>
    </w:p>
    <w:p>
      <w:pPr>
        <w:spacing w:after="0" w:line="240" w:lineRule="auto"/>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74" w:firstLine="720"/>
      </w:pPr>
      <w:r>
        <w:rPr/>
        <w:t>Most of the incident characteristics estimates for sexual battery and rape incidents experienced by members of the other student groups lack statistical power and precision and are therefore considered imprecise or not reliable statistically (see Figures 17 and 18 for what can be reported).</w:t>
      </w:r>
    </w:p>
    <w:p>
      <w:pPr>
        <w:pStyle w:val="Heading5"/>
        <w:spacing w:line="242" w:lineRule="auto" w:before="92"/>
        <w:ind w:right="1575"/>
      </w:pPr>
      <w:r>
        <w:rPr/>
        <w:pict>
          <v:group style="position:absolute;margin-left:73.199997pt;margin-top:30.778894pt;width:463.6pt;height:419.05pt;mso-position-horizontal-relative:page;mso-position-vertical-relative:paragraph;z-index:-251611136;mso-wrap-distance-left:0;mso-wrap-distance-right:0" coordorigin="1464,616" coordsize="9272,8381">
            <v:rect style="position:absolute;left:1464;top:615;width:8;height:9" filled="true" fillcolor="#a4a4a4" stroked="false">
              <v:fill type="solid"/>
            </v:rect>
            <v:rect style="position:absolute;left:1464;top:615;width:8;height:9" filled="true" fillcolor="#a4a4a4" stroked="false">
              <v:fill type="solid"/>
            </v:rect>
            <v:line style="position:absolute" from="1472,620" to="10728,620" stroked="true" strokeweight=".401pt" strokecolor="#a4a4a4">
              <v:stroke dashstyle="solid"/>
            </v:line>
            <v:rect style="position:absolute;left:10728;top:615;width:8;height:9" filled="true" fillcolor="#a4a4a4" stroked="false">
              <v:fill type="solid"/>
            </v:rect>
            <v:rect style="position:absolute;left:10728;top:615;width:8;height:9" filled="true" fillcolor="#a4a4a4" stroked="false">
              <v:fill type="solid"/>
            </v:rect>
            <v:line style="position:absolute" from="1472,8992" to="10728,8992" stroked="true" strokeweight=".4pt" strokecolor="#a4a4a4">
              <v:stroke dashstyle="solid"/>
            </v:line>
            <v:line style="position:absolute" from="1468,624" to="1468,8996" stroked="true" strokeweight=".4pt" strokecolor="#a4a4a4">
              <v:stroke dashstyle="solid"/>
            </v:line>
            <v:line style="position:absolute" from="10732,624" to="10732,8996" stroked="true" strokeweight=".4pt" strokecolor="#a4a4a4">
              <v:stroke dashstyle="solid"/>
            </v:line>
            <v:shape style="position:absolute;left:1736;top:887;width:8893;height:7836" type="#_x0000_t75" alt="See Notes for information on an accessible version of this figure. " stroked="false">
              <v:imagedata r:id="rId77" o:title=""/>
            </v:shape>
            <w10:wrap type="topAndBottom"/>
          </v:group>
        </w:pict>
      </w:r>
      <w:r>
        <w:rPr/>
        <w:t>Figure 17. Characteristics of Sexual Battery and Rape Incidents Experienced by Undergraduate Cisgender Men</w:t>
      </w:r>
    </w:p>
    <w:p>
      <w:pPr>
        <w:spacing w:before="26"/>
        <w:ind w:left="368" w:right="1726" w:hanging="189"/>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74">
        <w:r>
          <w:rPr>
            <w:color w:val="1F419A"/>
            <w:sz w:val="18"/>
            <w:u w:val="single" w:color="1F419A"/>
          </w:rPr>
          <w:t>Appendix Tables D-8b</w:t>
        </w:r>
        <w:r>
          <w:rPr>
            <w:color w:val="1F419A"/>
            <w:sz w:val="18"/>
          </w:rPr>
          <w:t> </w:t>
        </w:r>
      </w:hyperlink>
      <w:r>
        <w:rPr>
          <w:sz w:val="18"/>
        </w:rPr>
        <w:t>and </w:t>
      </w:r>
      <w:hyperlink r:id="rId75">
        <w:r>
          <w:rPr>
            <w:color w:val="1F419A"/>
            <w:sz w:val="18"/>
            <w:u w:val="single" w:color="1F419A"/>
          </w:rPr>
          <w:t>D-8c</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3.199997pt;margin-top:30.879894pt;width:463.6pt;height:387.2pt;mso-position-horizontal-relative:page;mso-position-vertical-relative:paragraph;z-index:-251610112;mso-wrap-distance-left:0;mso-wrap-distance-right:0" coordorigin="1464,618" coordsize="9272,7744">
            <v:line style="position:absolute" from="1472,622" to="10728,622" stroked="true" strokeweight=".4pt" strokecolor="#a4a4a4">
              <v:stroke dashstyle="solid"/>
            </v:line>
            <v:rect style="position:absolute;left:1464;top:8353;width:8;height:8" filled="true" fillcolor="#a4a4a4" stroked="false">
              <v:fill type="solid"/>
            </v:rect>
            <v:rect style="position:absolute;left:1464;top:8353;width:8;height:8" filled="true" fillcolor="#a4a4a4" stroked="false">
              <v:fill type="solid"/>
            </v:rect>
            <v:line style="position:absolute" from="1472,8358" to="10728,8358" stroked="true" strokeweight=".4pt" strokecolor="#a4a4a4">
              <v:stroke dashstyle="solid"/>
            </v:line>
            <v:rect style="position:absolute;left:10728;top:8353;width:8;height:8" filled="true" fillcolor="#a4a4a4" stroked="false">
              <v:fill type="solid"/>
            </v:rect>
            <v:rect style="position:absolute;left:10728;top:8353;width:8;height:8" filled="true" fillcolor="#a4a4a4" stroked="false">
              <v:fill type="solid"/>
            </v:rect>
            <v:line style="position:absolute" from="1468,618" to="1468,8354" stroked="true" strokeweight=".4pt" strokecolor="#a4a4a4">
              <v:stroke dashstyle="solid"/>
            </v:line>
            <v:line style="position:absolute" from="10732,618" to="10732,8354" stroked="true" strokeweight=".4pt" strokecolor="#a4a4a4">
              <v:stroke dashstyle="solid"/>
            </v:line>
            <v:shape style="position:absolute;left:1858;top:657;width:8656;height:7626" type="#_x0000_t75" alt="See Notes for information on an accessible version of this figure." stroked="false">
              <v:imagedata r:id="rId78" o:title=""/>
            </v:shape>
            <w10:wrap type="topAndBottom"/>
          </v:group>
        </w:pict>
      </w:r>
      <w:r>
        <w:rPr/>
        <w:t>Figure 18. Characteristics of Sexual Battery and Rape Incidents, Cisgender Women Graduate/Professional Students</w:t>
      </w:r>
    </w:p>
    <w:p>
      <w:pPr>
        <w:spacing w:before="30"/>
        <w:ind w:left="368" w:right="1726" w:hanging="189"/>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74">
        <w:r>
          <w:rPr>
            <w:color w:val="1F419A"/>
            <w:sz w:val="18"/>
            <w:u w:val="single" w:color="1F419A"/>
          </w:rPr>
          <w:t>Appendix Tables D-8b</w:t>
        </w:r>
        <w:r>
          <w:rPr>
            <w:color w:val="1F419A"/>
            <w:sz w:val="18"/>
          </w:rPr>
          <w:t> </w:t>
        </w:r>
      </w:hyperlink>
      <w:r>
        <w:rPr>
          <w:sz w:val="18"/>
        </w:rPr>
        <w:t>and </w:t>
      </w:r>
      <w:hyperlink r:id="rId75">
        <w:r>
          <w:rPr>
            <w:color w:val="1F419A"/>
            <w:sz w:val="18"/>
            <w:u w:val="single" w:color="1F419A"/>
          </w:rPr>
          <w:t>D-8c</w:t>
        </w:r>
      </w:hyperlink>
      <w:r>
        <w:rPr>
          <w:sz w:val="18"/>
        </w:rPr>
        <w:t>.</w:t>
      </w:r>
    </w:p>
    <w:p>
      <w:pPr>
        <w:pStyle w:val="BodyText"/>
      </w:pPr>
    </w:p>
    <w:p>
      <w:pPr>
        <w:pStyle w:val="BodyText"/>
        <w:spacing w:before="1"/>
        <w:rPr>
          <w:sz w:val="21"/>
        </w:rPr>
      </w:pPr>
    </w:p>
    <w:p>
      <w:pPr>
        <w:pStyle w:val="BodyText"/>
        <w:spacing w:line="333" w:lineRule="auto"/>
        <w:ind w:left="180" w:right="1432" w:firstLine="720"/>
      </w:pPr>
      <w:r>
        <w:rPr/>
        <w:t>For undergraduate cisgender women, the largest number of sexual assault incidents took place in October. (These estimates for the other student groups lack statistical power and precision and are therefore considered imprecise or not reliable statistically.) The 3,631 sexual assault incidents undergraduate cisgender women experienced during 2021–2022</w:t>
      </w:r>
      <w:r>
        <w:rPr>
          <w:position w:val="7"/>
          <w:sz w:val="13"/>
        </w:rPr>
        <w:t>21 </w:t>
      </w:r>
      <w:r>
        <w:rPr/>
        <w:t>are detailed by month and year of study in Figure 19. September and October are seemingly high-risk months for cisgender women in all years of study, but the disproportionately high number of incidents for first- and second-year students</w:t>
      </w:r>
    </w:p>
    <w:p>
      <w:pPr>
        <w:pStyle w:val="BodyText"/>
      </w:pPr>
    </w:p>
    <w:p>
      <w:pPr>
        <w:pStyle w:val="BodyText"/>
      </w:pPr>
    </w:p>
    <w:p>
      <w:pPr>
        <w:pStyle w:val="BodyText"/>
      </w:pPr>
    </w:p>
    <w:p>
      <w:pPr>
        <w:pStyle w:val="BodyText"/>
      </w:pPr>
    </w:p>
    <w:p>
      <w:pPr>
        <w:pStyle w:val="BodyText"/>
        <w:rPr>
          <w:sz w:val="21"/>
        </w:rPr>
      </w:pPr>
      <w:r>
        <w:rPr/>
        <w:pict>
          <v:shape style="position:absolute;margin-left:72pt;margin-top:14.264648pt;width:144pt;height:.1pt;mso-position-horizontal-relative:page;mso-position-vertical-relative:paragraph;z-index:-251609088;mso-wrap-distance-left:0;mso-wrap-distance-right:0" coordorigin="1440,285" coordsize="2880,0" path="m1440,285l4320,285e" filled="false" stroked="true" strokeweight=".4pt" strokecolor="#000000">
            <v:path arrowok="t"/>
            <v:stroke dashstyle="solid"/>
            <w10:wrap type="topAndBottom"/>
          </v:shape>
        </w:pict>
      </w:r>
    </w:p>
    <w:p>
      <w:pPr>
        <w:spacing w:before="54"/>
        <w:ind w:left="452" w:right="1446" w:hanging="279"/>
        <w:jc w:val="left"/>
        <w:rPr>
          <w:sz w:val="18"/>
        </w:rPr>
      </w:pPr>
      <w:r>
        <w:rPr>
          <w:position w:val="4"/>
          <w:sz w:val="12"/>
        </w:rPr>
        <w:t>21 </w:t>
      </w:r>
      <w:r>
        <w:rPr>
          <w:sz w:val="18"/>
        </w:rPr>
        <w:t>As noted earlier, this is a weighted number, which reflects the entire population of undergraduate cisgender women at MSU.</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28" w:lineRule="auto" w:before="94"/>
        <w:ind w:left="179" w:right="1510"/>
      </w:pPr>
      <w:r>
        <w:rPr/>
        <w:t>(freshmen and sophomores) during these months shows prominent evidence of a “red zone” for first- and second-year undergraduate cisgender women</w:t>
      </w:r>
      <w:r>
        <w:rPr>
          <w:position w:val="7"/>
          <w:sz w:val="13"/>
        </w:rPr>
        <w:t>22 </w:t>
      </w:r>
      <w:r>
        <w:rPr/>
        <w:t>during September and October.</w:t>
      </w:r>
    </w:p>
    <w:p>
      <w:pPr>
        <w:pStyle w:val="Heading5"/>
        <w:spacing w:before="97"/>
        <w:ind w:left="180" w:firstLine="0"/>
      </w:pPr>
      <w:r>
        <w:rPr/>
        <w:pict>
          <v:group style="position:absolute;margin-left:73.199997pt;margin-top:19.629894pt;width:463.6pt;height:182.8pt;mso-position-horizontal-relative:page;mso-position-vertical-relative:paragraph;z-index:-251608064;mso-wrap-distance-left:0;mso-wrap-distance-right:0" coordorigin="1464,393" coordsize="9272,3656">
            <v:line style="position:absolute" from="1472,397" to="10728,397" stroked="true" strokeweight=".4pt" strokecolor="#a4a4a4">
              <v:stroke dashstyle="solid"/>
            </v:line>
            <v:line style="position:absolute" from="1472,4045" to="10728,4045" stroked="true" strokeweight=".4pt" strokecolor="#a4a4a4">
              <v:stroke dashstyle="solid"/>
            </v:line>
            <v:line style="position:absolute" from="1468,393" to="1468,4049" stroked="true" strokeweight=".4pt" strokecolor="#a4a4a4">
              <v:stroke dashstyle="solid"/>
            </v:line>
            <v:line style="position:absolute" from="10732,393" to="10732,4049" stroked="true" strokeweight=".4pt" strokecolor="#a4a4a4">
              <v:stroke dashstyle="solid"/>
            </v:line>
            <v:shape style="position:absolute;left:1983;top:478;width:8457;height:3474" type="#_x0000_t75" alt="See Notes for information on an accessible version of this figure. " stroked="false">
              <v:imagedata r:id="rId79" o:title=""/>
            </v:shape>
            <w10:wrap type="topAndBottom"/>
          </v:group>
        </w:pict>
      </w:r>
      <w:r>
        <w:rPr/>
        <w:t>Figure 19. Number of Incidents by Month and Year of Study, Undergraduate Cisgender Women</w:t>
      </w:r>
    </w:p>
    <w:p>
      <w:pPr>
        <w:spacing w:line="240" w:lineRule="auto" w:before="26"/>
        <w:ind w:left="367" w:right="1688" w:hanging="188"/>
        <w:jc w:val="left"/>
        <w:rPr>
          <w:sz w:val="18"/>
        </w:rPr>
      </w:pPr>
      <w:r>
        <w:rPr>
          <w:sz w:val="18"/>
        </w:rPr>
        <w:t>Notes: Students who selected “other” and indicated they were in their 5th or 6th year of undergraduate work were included with seniors/4th year undergraduates. For an accessible version of the information shown in this figure, see </w:t>
      </w:r>
      <w:hyperlink r:id="rId80">
        <w:r>
          <w:rPr>
            <w:color w:val="1F419A"/>
            <w:sz w:val="18"/>
            <w:u w:val="single" w:color="1F419A"/>
          </w:rPr>
          <w:t>Appendix Table D-9b</w:t>
        </w:r>
      </w:hyperlink>
      <w:r>
        <w:rPr>
          <w:sz w:val="18"/>
        </w:rPr>
        <w:t>.</w:t>
      </w:r>
    </w:p>
    <w:p>
      <w:pPr>
        <w:pStyle w:val="BodyText"/>
      </w:pPr>
    </w:p>
    <w:p>
      <w:pPr>
        <w:pStyle w:val="Heading4"/>
        <w:numPr>
          <w:ilvl w:val="2"/>
          <w:numId w:val="10"/>
        </w:numPr>
        <w:tabs>
          <w:tab w:pos="1043" w:val="left" w:leader="none"/>
          <w:tab w:pos="1045" w:val="left" w:leader="none"/>
        </w:tabs>
        <w:spacing w:line="240" w:lineRule="auto" w:before="251" w:after="0"/>
        <w:ind w:left="1044" w:right="0" w:hanging="865"/>
        <w:jc w:val="left"/>
      </w:pPr>
      <w:bookmarkStart w:name="_TOC_250006" w:id="26"/>
      <w:bookmarkStart w:name="2.4.2 Disclosure of Experiences" w:id="27"/>
      <w:r>
        <w:rPr>
          <w:b w:val="0"/>
        </w:rPr>
      </w:r>
      <w:bookmarkEnd w:id="27"/>
      <w:bookmarkStart w:name="2.4.2 Disclosure of Experiences" w:id="28"/>
      <w:r>
        <w:rPr>
          <w:color w:val="09357D"/>
        </w:rPr>
        <w:t>D</w:t>
      </w:r>
      <w:r>
        <w:rPr>
          <w:color w:val="09357D"/>
        </w:rPr>
        <w:t>isclosure of</w:t>
      </w:r>
      <w:r>
        <w:rPr>
          <w:color w:val="09357D"/>
          <w:spacing w:val="-7"/>
        </w:rPr>
        <w:t> </w:t>
      </w:r>
      <w:bookmarkEnd w:id="26"/>
      <w:r>
        <w:rPr>
          <w:color w:val="09357D"/>
        </w:rPr>
        <w:t>Experiences</w:t>
      </w:r>
    </w:p>
    <w:p>
      <w:pPr>
        <w:pStyle w:val="BodyText"/>
        <w:spacing w:line="333" w:lineRule="auto" w:before="189"/>
        <w:ind w:left="180" w:right="1450" w:firstLine="720"/>
      </w:pPr>
      <w:r>
        <w:rPr/>
        <w:t>Survivors’ disclosure of sexual assault incidents to various sources was covered in detail in the survey. Figure 20 shows the proportion of rape and sexual battery incidents that undergraduate cisgender women experienced in 2021–2022 that were disclosed to various sources. Additional specificity in terms of the sources to which survivors disclosed their victimization experiences can be found in Appendix Tables D-11b and D-11c, although many of the source-specific estimate are imprecise statistically. As a reminder, throughout this report figures or results are not presented for certain groups whenever the estimates are imprecise statistically. This is particularly evident in this section.</w:t>
      </w:r>
    </w:p>
    <w:p>
      <w:pPr>
        <w:pStyle w:val="Heading5"/>
        <w:ind w:left="180" w:firstLine="0"/>
      </w:pPr>
      <w:r>
        <w:rPr/>
        <w:pict>
          <v:group style="position:absolute;margin-left:73.199997pt;margin-top:19.279877pt;width:463.6pt;height:94.6pt;mso-position-horizontal-relative:page;mso-position-vertical-relative:paragraph;z-index:-251607040;mso-wrap-distance-left:0;mso-wrap-distance-right:0" coordorigin="1464,386" coordsize="9272,1892">
            <v:line style="position:absolute" from="1472,390" to="10728,390" stroked="true" strokeweight=".4pt" strokecolor="#a4a4a4">
              <v:stroke dashstyle="solid"/>
            </v:line>
            <v:line style="position:absolute" from="1472,2274" to="10728,2274" stroked="true" strokeweight=".4pt" strokecolor="#a4a4a4">
              <v:stroke dashstyle="solid"/>
            </v:line>
            <v:line style="position:absolute" from="1468,386" to="1468,2278" stroked="true" strokeweight=".4pt" strokecolor="#a4a4a4">
              <v:stroke dashstyle="solid"/>
            </v:line>
            <v:line style="position:absolute" from="10732,386" to="10732,2278" stroked="true" strokeweight=".4pt" strokecolor="#a4a4a4">
              <v:stroke dashstyle="solid"/>
            </v:line>
            <v:shape style="position:absolute;left:1904;top:472;width:8536;height:1714" type="#_x0000_t75" alt="See Notes for information on an accessible version of this figure. " stroked="false">
              <v:imagedata r:id="rId81" o:title=""/>
            </v:shape>
            <w10:wrap type="topAndBottom"/>
          </v:group>
        </w:pict>
      </w:r>
      <w:r>
        <w:rPr/>
        <w:t>Figure 20. Disclosure of Sexual Battery and Rape Incidents, Undergraduate Cisgender Women</w:t>
      </w:r>
    </w:p>
    <w:p>
      <w:pPr>
        <w:spacing w:before="22"/>
        <w:ind w:left="368" w:right="1726" w:hanging="189"/>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82">
        <w:r>
          <w:rPr>
            <w:color w:val="1F419A"/>
            <w:sz w:val="18"/>
            <w:u w:val="single" w:color="1F419A"/>
          </w:rPr>
          <w:t>Appendix Tables D-11b</w:t>
        </w:r>
        <w:r>
          <w:rPr>
            <w:color w:val="1F419A"/>
            <w:sz w:val="18"/>
          </w:rPr>
          <w:t> </w:t>
        </w:r>
      </w:hyperlink>
      <w:r>
        <w:rPr>
          <w:sz w:val="18"/>
        </w:rPr>
        <w:t>and </w:t>
      </w:r>
      <w:hyperlink r:id="rId83">
        <w:r>
          <w:rPr>
            <w:color w:val="1F419A"/>
            <w:sz w:val="18"/>
            <w:u w:val="single" w:color="1F419A"/>
          </w:rPr>
          <w:t>D-11c</w:t>
        </w:r>
      </w:hyperlink>
      <w:r>
        <w:rPr>
          <w:sz w:val="18"/>
        </w:rPr>
        <w:t>.</w:t>
      </w:r>
    </w:p>
    <w:p>
      <w:pPr>
        <w:pStyle w:val="BodyText"/>
      </w:pPr>
    </w:p>
    <w:p>
      <w:pPr>
        <w:pStyle w:val="BodyText"/>
      </w:pPr>
    </w:p>
    <w:p>
      <w:pPr>
        <w:pStyle w:val="BodyText"/>
        <w:spacing w:before="2"/>
        <w:rPr>
          <w:sz w:val="19"/>
        </w:rPr>
      </w:pPr>
      <w:r>
        <w:rPr/>
        <w:pict>
          <v:shape style="position:absolute;margin-left:72pt;margin-top:13.20409pt;width:144pt;height:.1pt;mso-position-horizontal-relative:page;mso-position-vertical-relative:paragraph;z-index:-251606016;mso-wrap-distance-left:0;mso-wrap-distance-right:0" coordorigin="1440,264" coordsize="2880,0" path="m1440,264l4320,264e" filled="false" stroked="true" strokeweight=".401pt" strokecolor="#000000">
            <v:path arrowok="t"/>
            <v:stroke dashstyle="solid"/>
            <w10:wrap type="topAndBottom"/>
          </v:shape>
        </w:pict>
      </w:r>
    </w:p>
    <w:p>
      <w:pPr>
        <w:spacing w:line="240" w:lineRule="auto" w:before="58"/>
        <w:ind w:left="452" w:right="1693" w:hanging="279"/>
        <w:jc w:val="left"/>
        <w:rPr>
          <w:sz w:val="18"/>
        </w:rPr>
      </w:pPr>
      <w:r>
        <w:rPr>
          <w:position w:val="4"/>
          <w:sz w:val="12"/>
        </w:rPr>
        <w:t>22 </w:t>
      </w:r>
      <w:r>
        <w:rPr>
          <w:sz w:val="18"/>
        </w:rPr>
        <w:t>This analysis could not be conducted for undergraduate cisgender men, transgender and/or nonbinary undergraduates, or graduate/professional students because the majority of estimates by month were imprecise statistically.</w:t>
      </w:r>
    </w:p>
    <w:p>
      <w:pPr>
        <w:spacing w:after="0" w:line="240" w:lineRule="auto"/>
        <w:jc w:val="left"/>
        <w:rPr>
          <w:sz w:val="18"/>
        </w:rPr>
        <w:sectPr>
          <w:pgSz w:w="12240" w:h="15840"/>
          <w:pgMar w:header="0" w:footer="592" w:top="1120" w:bottom="780" w:left="1260" w:right="0"/>
        </w:sectPr>
      </w:pPr>
    </w:p>
    <w:p>
      <w:pPr>
        <w:pStyle w:val="BodyText"/>
        <w:spacing w:before="7"/>
        <w:rPr>
          <w:sz w:val="17"/>
        </w:rPr>
      </w:pPr>
    </w:p>
    <w:p>
      <w:pPr>
        <w:pStyle w:val="BodyText"/>
        <w:spacing w:before="94"/>
        <w:ind w:left="900"/>
      </w:pPr>
      <w:r>
        <w:rPr/>
        <w:t>A few patterns are evident, which are summarized below.</w:t>
      </w:r>
    </w:p>
    <w:p>
      <w:pPr>
        <w:pStyle w:val="ListParagraph"/>
        <w:numPr>
          <w:ilvl w:val="3"/>
          <w:numId w:val="10"/>
        </w:numPr>
        <w:tabs>
          <w:tab w:pos="1259" w:val="left" w:leader="none"/>
          <w:tab w:pos="1260" w:val="left" w:leader="none"/>
        </w:tabs>
        <w:spacing w:line="240" w:lineRule="auto" w:before="182" w:after="0"/>
        <w:ind w:left="1259" w:right="1865" w:hanging="360"/>
        <w:jc w:val="left"/>
        <w:rPr>
          <w:sz w:val="20"/>
        </w:rPr>
      </w:pPr>
      <w:r>
        <w:rPr>
          <w:sz w:val="20"/>
        </w:rPr>
        <w:t>In over three-fourths of sexual battery incidents (79.3%) and 72.3% of rape incidents that undergraduate cisgender women experienced, the survivors disclosed the assault to a roommate, friend, or family member.</w:t>
      </w:r>
    </w:p>
    <w:p>
      <w:pPr>
        <w:pStyle w:val="ListParagraph"/>
        <w:numPr>
          <w:ilvl w:val="4"/>
          <w:numId w:val="10"/>
        </w:numPr>
        <w:tabs>
          <w:tab w:pos="1619" w:val="left" w:leader="none"/>
          <w:tab w:pos="1620" w:val="left" w:leader="none"/>
        </w:tabs>
        <w:spacing w:line="240" w:lineRule="auto" w:before="82" w:after="0"/>
        <w:ind w:left="1619" w:right="1615" w:hanging="360"/>
        <w:jc w:val="left"/>
        <w:rPr>
          <w:sz w:val="12"/>
        </w:rPr>
      </w:pPr>
      <w:r>
        <w:rPr>
          <w:sz w:val="20"/>
        </w:rPr>
        <w:t>Slightly lower levels of disclosure of sexual battery incidents were found for undergraduate cisgender men (71.2%) and transgender and/or nonbinary undergraduates (75.1%), and lower levels of disclosure of rape incidents were found for transgender and/or nonbinary undergraduates</w:t>
      </w:r>
      <w:r>
        <w:rPr>
          <w:spacing w:val="-8"/>
          <w:sz w:val="20"/>
        </w:rPr>
        <w:t> </w:t>
      </w:r>
      <w:r>
        <w:rPr>
          <w:sz w:val="20"/>
        </w:rPr>
        <w:t>(64.6%).</w:t>
      </w:r>
      <w:r>
        <w:rPr>
          <w:position w:val="5"/>
          <w:sz w:val="12"/>
        </w:rPr>
        <w:t>23</w:t>
      </w:r>
    </w:p>
    <w:p>
      <w:pPr>
        <w:pStyle w:val="ListParagraph"/>
        <w:numPr>
          <w:ilvl w:val="3"/>
          <w:numId w:val="10"/>
        </w:numPr>
        <w:tabs>
          <w:tab w:pos="1259" w:val="left" w:leader="none"/>
          <w:tab w:pos="1260" w:val="left" w:leader="none"/>
        </w:tabs>
        <w:spacing w:line="240" w:lineRule="auto" w:before="80" w:after="0"/>
        <w:ind w:left="1259" w:right="1455" w:hanging="360"/>
        <w:jc w:val="left"/>
        <w:rPr>
          <w:sz w:val="20"/>
        </w:rPr>
      </w:pPr>
      <w:r>
        <w:rPr>
          <w:sz w:val="20"/>
        </w:rPr>
        <w:t>Formal disclosure, including disclosure to any MSU office/resource</w:t>
      </w:r>
      <w:r>
        <w:rPr>
          <w:position w:val="5"/>
          <w:sz w:val="12"/>
        </w:rPr>
        <w:t>24 </w:t>
      </w:r>
      <w:r>
        <w:rPr>
          <w:sz w:val="20"/>
        </w:rPr>
        <w:t>or off-campus office/resources</w:t>
      </w:r>
      <w:r>
        <w:rPr>
          <w:position w:val="5"/>
          <w:sz w:val="12"/>
        </w:rPr>
        <w:t>25 </w:t>
      </w:r>
      <w:r>
        <w:rPr>
          <w:sz w:val="20"/>
        </w:rPr>
        <w:t>by the survivor (or someone else), was considerably lower. About a quarter (22.2%) of rape incidents and 6.3% of sexual battery incidents experienced by undergraduate cisgender women were disclosed to any formal source. In 16.2% of rape incidents and 4.1% of sexual battery incidents that undergraduate cisgender women experienced, the student disclosed the incident to, or sought services from, an MSU office. In 9.4% of rape incidents experienced by undergraduate cisgender women, the student disclosed the incident to, or sought services from, off-campus</w:t>
      </w:r>
      <w:r>
        <w:rPr>
          <w:spacing w:val="-1"/>
          <w:sz w:val="20"/>
        </w:rPr>
        <w:t> </w:t>
      </w:r>
      <w:r>
        <w:rPr>
          <w:sz w:val="20"/>
        </w:rPr>
        <w:t>resources.</w:t>
      </w:r>
    </w:p>
    <w:p>
      <w:pPr>
        <w:pStyle w:val="ListParagraph"/>
        <w:numPr>
          <w:ilvl w:val="4"/>
          <w:numId w:val="10"/>
        </w:numPr>
        <w:tabs>
          <w:tab w:pos="1619" w:val="left" w:leader="none"/>
          <w:tab w:pos="1620" w:val="left" w:leader="none"/>
        </w:tabs>
        <w:spacing w:line="240" w:lineRule="auto" w:before="80" w:after="0"/>
        <w:ind w:left="1620" w:right="0" w:hanging="361"/>
        <w:jc w:val="left"/>
        <w:rPr>
          <w:sz w:val="20"/>
        </w:rPr>
      </w:pPr>
      <w:r>
        <w:rPr>
          <w:sz w:val="20"/>
        </w:rPr>
        <w:t>Estimates for all other student populations were statistically</w:t>
      </w:r>
      <w:r>
        <w:rPr>
          <w:spacing w:val="-9"/>
          <w:sz w:val="20"/>
        </w:rPr>
        <w:t> </w:t>
      </w:r>
      <w:r>
        <w:rPr>
          <w:sz w:val="20"/>
        </w:rPr>
        <w:t>imprecise.</w:t>
      </w:r>
    </w:p>
    <w:p>
      <w:pPr>
        <w:pStyle w:val="ListParagraph"/>
        <w:numPr>
          <w:ilvl w:val="3"/>
          <w:numId w:val="10"/>
        </w:numPr>
        <w:tabs>
          <w:tab w:pos="1259" w:val="left" w:leader="none"/>
          <w:tab w:pos="1260" w:val="left" w:leader="none"/>
        </w:tabs>
        <w:spacing w:line="240" w:lineRule="auto" w:before="78" w:after="0"/>
        <w:ind w:left="1259" w:right="1586" w:hanging="360"/>
        <w:jc w:val="left"/>
        <w:rPr>
          <w:sz w:val="12"/>
        </w:rPr>
      </w:pPr>
      <w:r>
        <w:rPr>
          <w:sz w:val="20"/>
        </w:rPr>
        <w:t>Among the incidents for which the student disclosed or sought services from an MSU office, the vast majority of survivors perceived that the organization was helpful, treated them with respect, responded quickly enough, and is an organization they would recommend to others who had a similar</w:t>
      </w:r>
      <w:r>
        <w:rPr>
          <w:spacing w:val="3"/>
          <w:sz w:val="20"/>
        </w:rPr>
        <w:t> </w:t>
      </w:r>
      <w:r>
        <w:rPr>
          <w:sz w:val="20"/>
        </w:rPr>
        <w:t>experience.</w:t>
      </w:r>
      <w:r>
        <w:rPr>
          <w:position w:val="5"/>
          <w:sz w:val="12"/>
        </w:rPr>
        <w:t>26</w:t>
      </w:r>
    </w:p>
    <w:p>
      <w:pPr>
        <w:pStyle w:val="ListParagraph"/>
        <w:numPr>
          <w:ilvl w:val="4"/>
          <w:numId w:val="10"/>
        </w:numPr>
        <w:tabs>
          <w:tab w:pos="1619" w:val="left" w:leader="none"/>
          <w:tab w:pos="1620" w:val="left" w:leader="none"/>
        </w:tabs>
        <w:spacing w:line="240" w:lineRule="auto" w:before="80" w:after="0"/>
        <w:ind w:left="1620" w:right="1450" w:hanging="360"/>
        <w:jc w:val="left"/>
        <w:rPr>
          <w:sz w:val="20"/>
        </w:rPr>
      </w:pPr>
      <w:r>
        <w:rPr>
          <w:sz w:val="20"/>
        </w:rPr>
        <w:t>Undergraduate cisgender women who disclosed their experience to an MSU office (e.g., Office of Institutional Equity, Center for Survivors, CAPS, Gender and Sexuality Campus Center) indicated that the office was helpful in 99.2% of rape incidents and 91.3% of sexual battery incidents; treated them respectfully in 100% of rape incidents and 95.2% of sexual battery incidents; responded quickly enough in 100% of rape incidents and 100% of sexual battery incidents; and is an organization they would recommend to others in 100% of rape incidents and 81.2% of sexual battery</w:t>
      </w:r>
      <w:r>
        <w:rPr>
          <w:spacing w:val="-11"/>
          <w:sz w:val="20"/>
        </w:rPr>
        <w:t> </w:t>
      </w:r>
      <w:r>
        <w:rPr>
          <w:sz w:val="20"/>
        </w:rPr>
        <w:t>incidents.</w:t>
      </w:r>
    </w:p>
    <w:p>
      <w:pPr>
        <w:pStyle w:val="ListParagraph"/>
        <w:numPr>
          <w:ilvl w:val="4"/>
          <w:numId w:val="10"/>
        </w:numPr>
        <w:tabs>
          <w:tab w:pos="1619" w:val="left" w:leader="none"/>
          <w:tab w:pos="1620" w:val="left" w:leader="none"/>
        </w:tabs>
        <w:spacing w:line="240" w:lineRule="auto" w:before="82" w:after="0"/>
        <w:ind w:left="1620" w:right="1438" w:hanging="360"/>
        <w:jc w:val="left"/>
        <w:rPr>
          <w:sz w:val="20"/>
        </w:rPr>
      </w:pPr>
      <w:r>
        <w:rPr>
          <w:sz w:val="20"/>
        </w:rPr>
        <w:t>Undergraduate cisgender women who disclosed their experience to an off-campus resource indicated that the office was helpful </w:t>
      </w:r>
      <w:r>
        <w:rPr>
          <w:spacing w:val="-3"/>
          <w:sz w:val="20"/>
        </w:rPr>
        <w:t>in </w:t>
      </w:r>
      <w:r>
        <w:rPr>
          <w:sz w:val="20"/>
        </w:rPr>
        <w:t>94.9% of rape incidents and 73.8% of sexual battery incidents; treated them respectfully in 87.2% of rape incidents and 100% of sexual battery incidents; responded quickly enough in 84.6% of rape incidents; and is an organization they would recommend to others in 87.2% of rape incidents and 82.3% of sexual battery</w:t>
      </w:r>
      <w:r>
        <w:rPr>
          <w:spacing w:val="-1"/>
          <w:sz w:val="20"/>
        </w:rPr>
        <w:t> </w:t>
      </w:r>
      <w:r>
        <w:rPr>
          <w:sz w:val="20"/>
        </w:rPr>
        <w:t>incidents.</w:t>
      </w:r>
    </w:p>
    <w:p>
      <w:pPr>
        <w:pStyle w:val="ListParagraph"/>
        <w:numPr>
          <w:ilvl w:val="4"/>
          <w:numId w:val="10"/>
        </w:numPr>
        <w:tabs>
          <w:tab w:pos="1619" w:val="left" w:leader="none"/>
          <w:tab w:pos="1620" w:val="left" w:leader="none"/>
        </w:tabs>
        <w:spacing w:line="240" w:lineRule="auto" w:before="80" w:after="0"/>
        <w:ind w:left="1620" w:right="0" w:hanging="360"/>
        <w:jc w:val="left"/>
        <w:rPr>
          <w:sz w:val="20"/>
        </w:rPr>
      </w:pPr>
      <w:r>
        <w:rPr>
          <w:sz w:val="20"/>
        </w:rPr>
        <w:t>Estimates for all other student populations were statistically</w:t>
      </w:r>
      <w:r>
        <w:rPr>
          <w:spacing w:val="-31"/>
          <w:sz w:val="20"/>
        </w:rPr>
        <w:t> </w:t>
      </w:r>
      <w:r>
        <w:rPr>
          <w:sz w:val="20"/>
        </w:rPr>
        <w:t>imprecise.</w:t>
      </w:r>
    </w:p>
    <w:p>
      <w:pPr>
        <w:pStyle w:val="BodyText"/>
        <w:spacing w:line="333" w:lineRule="auto" w:before="146"/>
        <w:ind w:left="180" w:right="1464" w:firstLine="720"/>
      </w:pPr>
      <w:r>
        <w:rPr/>
        <w:t>Undergraduate cisgender women cited a number of reasons that they did not disclose rape and sexual battery incidents (Figure 21). Among the survivors who did not disclose the incident or seek services from any resource (either on or off campus), the reasons differed based on the type of incident. For sexual battery incidents, the student most commonly did not disclose the incident or seek services because she did not think the incident was serious enough to disclose, did not want any action taken, did not</w:t>
      </w:r>
      <w:r>
        <w:rPr>
          <w:spacing w:val="-3"/>
        </w:rPr>
        <w:t> </w:t>
      </w:r>
      <w:r>
        <w:rPr/>
        <w:t>need</w:t>
      </w:r>
      <w:r>
        <w:rPr>
          <w:spacing w:val="-5"/>
        </w:rPr>
        <w:t> </w:t>
      </w:r>
      <w:r>
        <w:rPr/>
        <w:t>any</w:t>
      </w:r>
      <w:r>
        <w:rPr>
          <w:spacing w:val="-3"/>
        </w:rPr>
        <w:t> </w:t>
      </w:r>
      <w:r>
        <w:rPr/>
        <w:t>assistance,</w:t>
      </w:r>
      <w:r>
        <w:rPr>
          <w:spacing w:val="-2"/>
        </w:rPr>
        <w:t> </w:t>
      </w:r>
      <w:r>
        <w:rPr/>
        <w:t>or</w:t>
      </w:r>
      <w:r>
        <w:rPr>
          <w:spacing w:val="-2"/>
        </w:rPr>
        <w:t> </w:t>
      </w:r>
      <w:r>
        <w:rPr/>
        <w:t>wanted</w:t>
      </w:r>
      <w:r>
        <w:rPr>
          <w:spacing w:val="-5"/>
        </w:rPr>
        <w:t> </w:t>
      </w:r>
      <w:r>
        <w:rPr/>
        <w:t>to</w:t>
      </w:r>
      <w:r>
        <w:rPr>
          <w:spacing w:val="-2"/>
        </w:rPr>
        <w:t> </w:t>
      </w:r>
      <w:r>
        <w:rPr/>
        <w:t>forget</w:t>
      </w:r>
      <w:r>
        <w:rPr>
          <w:spacing w:val="-2"/>
        </w:rPr>
        <w:t> </w:t>
      </w:r>
      <w:r>
        <w:rPr/>
        <w:t>it</w:t>
      </w:r>
      <w:r>
        <w:rPr>
          <w:spacing w:val="-6"/>
        </w:rPr>
        <w:t> </w:t>
      </w:r>
      <w:r>
        <w:rPr/>
        <w:t>happened.</w:t>
      </w:r>
      <w:r>
        <w:rPr>
          <w:spacing w:val="-3"/>
        </w:rPr>
        <w:t> </w:t>
      </w:r>
      <w:r>
        <w:rPr/>
        <w:t>For</w:t>
      </w:r>
      <w:r>
        <w:rPr>
          <w:spacing w:val="-1"/>
        </w:rPr>
        <w:t> </w:t>
      </w:r>
      <w:r>
        <w:rPr/>
        <w:t>rape</w:t>
      </w:r>
      <w:r>
        <w:rPr>
          <w:spacing w:val="-2"/>
        </w:rPr>
        <w:t> </w:t>
      </w:r>
      <w:r>
        <w:rPr/>
        <w:t>incidents,</w:t>
      </w:r>
      <w:r>
        <w:rPr>
          <w:spacing w:val="-2"/>
        </w:rPr>
        <w:t> </w:t>
      </w:r>
      <w:r>
        <w:rPr/>
        <w:t>the</w:t>
      </w:r>
      <w:r>
        <w:rPr>
          <w:spacing w:val="-2"/>
        </w:rPr>
        <w:t> </w:t>
      </w:r>
      <w:r>
        <w:rPr/>
        <w:t>student</w:t>
      </w:r>
      <w:r>
        <w:rPr>
          <w:spacing w:val="-6"/>
        </w:rPr>
        <w:t> </w:t>
      </w:r>
      <w:r>
        <w:rPr/>
        <w:t>most</w:t>
      </w:r>
      <w:r>
        <w:rPr>
          <w:spacing w:val="-2"/>
        </w:rPr>
        <w:t> </w:t>
      </w:r>
      <w:r>
        <w:rPr/>
        <w:t>commonly</w:t>
      </w:r>
    </w:p>
    <w:p>
      <w:pPr>
        <w:pStyle w:val="BodyText"/>
        <w:spacing w:before="4"/>
        <w:rPr>
          <w:sz w:val="11"/>
        </w:rPr>
      </w:pPr>
      <w:r>
        <w:rPr/>
        <w:pict>
          <v:shape style="position:absolute;margin-left:72pt;margin-top:8.703076pt;width:144pt;height:.1pt;mso-position-horizontal-relative:page;mso-position-vertical-relative:paragraph;z-index:-251604992;mso-wrap-distance-left:0;mso-wrap-distance-right:0" coordorigin="1440,174" coordsize="2880,0" path="m1440,174l4320,174e" filled="false" stroked="true" strokeweight=".4pt" strokecolor="#000000">
            <v:path arrowok="t"/>
            <v:stroke dashstyle="solid"/>
            <w10:wrap type="topAndBottom"/>
          </v:shape>
        </w:pict>
      </w:r>
    </w:p>
    <w:p>
      <w:pPr>
        <w:spacing w:before="54"/>
        <w:ind w:left="173" w:right="0" w:firstLine="0"/>
        <w:jc w:val="left"/>
        <w:rPr>
          <w:sz w:val="18"/>
        </w:rPr>
      </w:pPr>
      <w:r>
        <w:rPr>
          <w:position w:val="4"/>
          <w:sz w:val="12"/>
        </w:rPr>
        <w:t>23 </w:t>
      </w:r>
      <w:r>
        <w:rPr>
          <w:sz w:val="18"/>
        </w:rPr>
        <w:t>The other estimates were statistically imprecise.</w:t>
      </w:r>
    </w:p>
    <w:p>
      <w:pPr>
        <w:spacing w:line="240" w:lineRule="auto" w:before="1"/>
        <w:ind w:left="452" w:right="1624" w:hanging="279"/>
        <w:jc w:val="left"/>
        <w:rPr>
          <w:sz w:val="18"/>
        </w:rPr>
      </w:pPr>
      <w:r>
        <w:rPr>
          <w:position w:val="4"/>
          <w:sz w:val="12"/>
        </w:rPr>
        <w:t>24 </w:t>
      </w:r>
      <w:r>
        <w:rPr>
          <w:sz w:val="18"/>
        </w:rPr>
        <w:t>Resources included the MSU Office of Institutional Equity (OIE; Title IX); MSU Center for Survivors; MSU Sexual Assault Healthcare Program; MSU Counseling and Psychological Services (CAPS); MSU Gender and Sexuality Campus Center; MSU Olin Health Center or another health care provider on campus; MSU Police Department; MSU Office of the University Ombudsperson; and another faculty, staff, or administrator at MSU.</w:t>
      </w:r>
    </w:p>
    <w:p>
      <w:pPr>
        <w:spacing w:before="0"/>
        <w:ind w:left="452" w:right="1575" w:hanging="279"/>
        <w:jc w:val="left"/>
        <w:rPr>
          <w:sz w:val="18"/>
        </w:rPr>
      </w:pPr>
      <w:r>
        <w:rPr>
          <w:position w:val="4"/>
          <w:sz w:val="12"/>
        </w:rPr>
        <w:t>25 </w:t>
      </w:r>
      <w:r>
        <w:rPr>
          <w:sz w:val="18"/>
        </w:rPr>
        <w:t>These resources included a crisis center or helpline not at MSU, a hospital or health care center not at MSU, or local police not at MSU, such as the county or city police department.</w:t>
      </w:r>
    </w:p>
    <w:p>
      <w:pPr>
        <w:spacing w:before="0"/>
        <w:ind w:left="452" w:right="1464" w:hanging="279"/>
        <w:jc w:val="left"/>
        <w:rPr>
          <w:sz w:val="18"/>
        </w:rPr>
      </w:pPr>
      <w:r>
        <w:rPr>
          <w:position w:val="4"/>
          <w:sz w:val="12"/>
        </w:rPr>
        <w:t>26 </w:t>
      </w:r>
      <w:r>
        <w:rPr>
          <w:sz w:val="18"/>
        </w:rPr>
        <w:t>Some survivors who filled in the open-ended question in the survey noted that specific MSU resources (e.g., MSU Center for Survivors, CAPS) were helpful and supportive.</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885"/>
      </w:pPr>
      <w:r>
        <w:rPr/>
        <w:t>did not disclose the incident or seek services because she did not want action taken, wanted to try to forget it happened, or did not think the incident was serious enough to disclose.</w:t>
      </w:r>
    </w:p>
    <w:p>
      <w:pPr>
        <w:pStyle w:val="Heading5"/>
        <w:spacing w:line="242" w:lineRule="auto" w:before="92"/>
        <w:ind w:right="1575"/>
      </w:pPr>
      <w:r>
        <w:rPr/>
        <w:pict>
          <v:group style="position:absolute;margin-left:73.199997pt;margin-top:30.778894pt;width:463.6pt;height:316.650pt;mso-position-horizontal-relative:page;mso-position-vertical-relative:paragraph;z-index:-251603968;mso-wrap-distance-left:0;mso-wrap-distance-right:0" coordorigin="1464,616" coordsize="9272,6333">
            <v:line style="position:absolute" from="1472,620" to="10728,620" stroked="true" strokeweight=".401pt" strokecolor="#a4a4a4">
              <v:stroke dashstyle="solid"/>
            </v:line>
            <v:line style="position:absolute" from="1472,6944" to="10728,6944" stroked="true" strokeweight=".4pt" strokecolor="#a4a4a4">
              <v:stroke dashstyle="solid"/>
            </v:line>
            <v:line style="position:absolute" from="1468,616" to="1468,6948" stroked="true" strokeweight=".4pt" strokecolor="#a4a4a4">
              <v:stroke dashstyle="solid"/>
            </v:line>
            <v:line style="position:absolute" from="10732,616" to="10732,6948" stroked="true" strokeweight=".4pt" strokecolor="#a4a4a4">
              <v:stroke dashstyle="solid"/>
            </v:line>
            <v:shape style="position:absolute;left:1724;top:703;width:8997;height:6153" type="#_x0000_t75" alt="See Notes for information on an accessible version of this figure. " stroked="false">
              <v:imagedata r:id="rId84" o:title=""/>
            </v:shape>
            <w10:wrap type="topAndBottom"/>
          </v:group>
        </w:pict>
      </w:r>
      <w:r>
        <w:rPr/>
        <w:t>Figure 21. Reasons for Not Disclosing Sexual Battery and Rape Incidents, Undergraduate Cisgender Women</w:t>
      </w:r>
    </w:p>
    <w:p>
      <w:pPr>
        <w:spacing w:before="22"/>
        <w:ind w:left="368" w:right="1726" w:hanging="189"/>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85">
        <w:r>
          <w:rPr>
            <w:color w:val="1F419A"/>
            <w:sz w:val="18"/>
            <w:u w:val="single" w:color="1F419A"/>
          </w:rPr>
          <w:t>Appendix Tables D-12b</w:t>
        </w:r>
        <w:r>
          <w:rPr>
            <w:color w:val="1F419A"/>
            <w:sz w:val="18"/>
          </w:rPr>
          <w:t> </w:t>
        </w:r>
      </w:hyperlink>
      <w:r>
        <w:rPr>
          <w:sz w:val="18"/>
        </w:rPr>
        <w:t>and </w:t>
      </w:r>
      <w:hyperlink r:id="rId86">
        <w:r>
          <w:rPr>
            <w:color w:val="1F419A"/>
            <w:sz w:val="18"/>
            <w:u w:val="single" w:color="1F419A"/>
          </w:rPr>
          <w:t>D-12c</w:t>
        </w:r>
      </w:hyperlink>
      <w:r>
        <w:rPr>
          <w:sz w:val="18"/>
        </w:rPr>
        <w:t>.</w:t>
      </w:r>
    </w:p>
    <w:p>
      <w:pPr>
        <w:pStyle w:val="BodyText"/>
      </w:pPr>
    </w:p>
    <w:p>
      <w:pPr>
        <w:pStyle w:val="BodyText"/>
        <w:spacing w:before="1"/>
        <w:rPr>
          <w:sz w:val="21"/>
        </w:rPr>
      </w:pPr>
    </w:p>
    <w:p>
      <w:pPr>
        <w:pStyle w:val="BodyText"/>
        <w:spacing w:line="333" w:lineRule="auto"/>
        <w:ind w:left="179" w:right="1678" w:firstLine="720"/>
        <w:rPr>
          <w:sz w:val="12"/>
        </w:rPr>
      </w:pPr>
      <w:r>
        <w:rPr/>
        <w:t>Undergraduate cisgender men also cited a number of reasons that they did not disclose sexual battery incidents (Figure 22), including that the student did not think the incident was serious enough to disclose, did not want any action taken, or did not need any assistance. The only statistically precise reason cited by cisgender women graduate/professional students was that the student did not think the incident was serious enough to disclose (Figure 23).</w:t>
      </w:r>
      <w:r>
        <w:rPr>
          <w:position w:val="5"/>
          <w:sz w:val="12"/>
        </w:rPr>
        <w:t>27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2"/>
        </w:rPr>
      </w:pPr>
      <w:r>
        <w:rPr/>
        <w:pict>
          <v:shape style="position:absolute;margin-left:72pt;margin-top:15.269238pt;width:144pt;height:.1pt;mso-position-horizontal-relative:page;mso-position-vertical-relative:paragraph;z-index:-251602944;mso-wrap-distance-left:0;mso-wrap-distance-right:0" coordorigin="1440,305" coordsize="2880,0" path="m1440,305l4320,305e" filled="false" stroked="true" strokeweight=".4pt" strokecolor="#000000">
            <v:path arrowok="t"/>
            <v:stroke dashstyle="solid"/>
            <w10:wrap type="topAndBottom"/>
          </v:shape>
        </w:pict>
      </w:r>
    </w:p>
    <w:p>
      <w:pPr>
        <w:spacing w:before="54"/>
        <w:ind w:left="451" w:right="1444" w:hanging="258"/>
        <w:jc w:val="left"/>
        <w:rPr>
          <w:sz w:val="18"/>
        </w:rPr>
      </w:pPr>
      <w:r>
        <w:rPr>
          <w:position w:val="4"/>
          <w:sz w:val="12"/>
        </w:rPr>
        <w:t>27 </w:t>
      </w:r>
      <w:r>
        <w:rPr>
          <w:sz w:val="18"/>
        </w:rPr>
        <w:t>Estimates for men undergraduates, nonbinary undergraduates, cisgender men graduate/professional students, and transgender/nonbinary graduate/professional students were statistically imprecise.</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3.199997pt;margin-top:30.879894pt;width:463.6pt;height:316.4pt;mso-position-horizontal-relative:page;mso-position-vertical-relative:paragraph;z-index:-251601920;mso-wrap-distance-left:0;mso-wrap-distance-right:0" coordorigin="1464,618" coordsize="9272,6328">
            <v:line style="position:absolute" from="1472,622" to="10728,622" stroked="true" strokeweight=".4pt" strokecolor="#a4a4a4">
              <v:stroke dashstyle="solid"/>
            </v:line>
            <v:line style="position:absolute" from="1472,6942" to="10728,6942" stroked="true" strokeweight=".4pt" strokecolor="#a4a4a4">
              <v:stroke dashstyle="solid"/>
            </v:line>
            <v:line style="position:absolute" from="1468,618" to="1468,6946" stroked="true" strokeweight=".4pt" strokecolor="#a4a4a4">
              <v:stroke dashstyle="solid"/>
            </v:line>
            <v:line style="position:absolute" from="10732,618" to="10732,6946" stroked="true" strokeweight=".4pt" strokecolor="#a4a4a4">
              <v:stroke dashstyle="solid"/>
            </v:line>
            <v:shape style="position:absolute;left:1724;top:705;width:8956;height:6152" type="#_x0000_t75" alt="See Notes for information on an accessible version of this figure. " stroked="false">
              <v:imagedata r:id="rId87" o:title=""/>
            </v:shape>
            <w10:wrap type="topAndBottom"/>
          </v:group>
        </w:pict>
      </w:r>
      <w:r>
        <w:rPr/>
        <w:t>Figure 22. Reasons for Not Disclosing Sexual Battery and Rape Incidents, Undergraduate Cisgender Men</w:t>
      </w:r>
    </w:p>
    <w:p>
      <w:pPr>
        <w:spacing w:before="26"/>
        <w:ind w:left="367" w:right="1726" w:hanging="188"/>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85">
        <w:r>
          <w:rPr>
            <w:color w:val="1F419A"/>
            <w:sz w:val="18"/>
            <w:u w:val="single" w:color="1F419A"/>
          </w:rPr>
          <w:t>Appendix Tables D-12b</w:t>
        </w:r>
        <w:r>
          <w:rPr>
            <w:color w:val="1F419A"/>
            <w:sz w:val="18"/>
          </w:rPr>
          <w:t> </w:t>
        </w:r>
      </w:hyperlink>
      <w:r>
        <w:rPr>
          <w:sz w:val="18"/>
        </w:rPr>
        <w:t>and </w:t>
      </w:r>
      <w:hyperlink r:id="rId86">
        <w:r>
          <w:rPr>
            <w:color w:val="1F419A"/>
            <w:sz w:val="18"/>
            <w:u w:val="single" w:color="1F419A"/>
          </w:rPr>
          <w:t>D-12c</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3.199997pt;margin-top:30.879894pt;width:463.6pt;height:293pt;mso-position-horizontal-relative:page;mso-position-vertical-relative:paragraph;z-index:-251600896;mso-wrap-distance-left:0;mso-wrap-distance-right:0" coordorigin="1464,618" coordsize="9272,5860">
            <v:line style="position:absolute" from="1472,622" to="10728,622" stroked="true" strokeweight=".4pt" strokecolor="#a4a4a4">
              <v:stroke dashstyle="solid"/>
            </v:line>
            <v:line style="position:absolute" from="1472,6474" to="10728,6474" stroked="true" strokeweight=".401pt" strokecolor="#a4a4a4">
              <v:stroke dashstyle="solid"/>
            </v:line>
            <v:line style="position:absolute" from="1468,618" to="1468,6478" stroked="true" strokeweight=".4pt" strokecolor="#a4a4a4">
              <v:stroke dashstyle="solid"/>
            </v:line>
            <v:line style="position:absolute" from="10732,618" to="10732,6478" stroked="true" strokeweight=".4pt" strokecolor="#a4a4a4">
              <v:stroke dashstyle="solid"/>
            </v:line>
            <v:shape style="position:absolute;left:1904;top:705;width:8535;height:5684" type="#_x0000_t75" alt="See Notes for information on an accessible version of this figure." stroked="false">
              <v:imagedata r:id="rId88" o:title=""/>
            </v:shape>
            <w10:wrap type="topAndBottom"/>
          </v:group>
        </w:pict>
      </w:r>
      <w:r>
        <w:rPr/>
        <w:t>Figure 23. Reasons for Not Disclosing Sexual Battery and Rape Incidents, Cisgender Women Graduate/Professional Students</w:t>
      </w:r>
    </w:p>
    <w:p>
      <w:pPr>
        <w:spacing w:before="26"/>
        <w:ind w:left="367" w:right="1726" w:hanging="188"/>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85">
        <w:r>
          <w:rPr>
            <w:color w:val="1F419A"/>
            <w:sz w:val="18"/>
            <w:u w:val="single" w:color="1F419A"/>
          </w:rPr>
          <w:t>Appendix Tables D-12b</w:t>
        </w:r>
        <w:r>
          <w:rPr>
            <w:color w:val="1F419A"/>
            <w:sz w:val="18"/>
          </w:rPr>
          <w:t> </w:t>
        </w:r>
      </w:hyperlink>
      <w:r>
        <w:rPr>
          <w:sz w:val="18"/>
        </w:rPr>
        <w:t>and </w:t>
      </w:r>
      <w:hyperlink r:id="rId86">
        <w:r>
          <w:rPr>
            <w:color w:val="1F419A"/>
            <w:sz w:val="18"/>
            <w:u w:val="single" w:color="1F419A"/>
          </w:rPr>
          <w:t>D-12c</w:t>
        </w:r>
      </w:hyperlink>
      <w:r>
        <w:rPr>
          <w:sz w:val="18"/>
        </w:rPr>
        <w:t>.</w:t>
      </w:r>
    </w:p>
    <w:p>
      <w:pPr>
        <w:pStyle w:val="BodyText"/>
      </w:pPr>
    </w:p>
    <w:p>
      <w:pPr>
        <w:pStyle w:val="Heading4"/>
        <w:numPr>
          <w:ilvl w:val="2"/>
          <w:numId w:val="10"/>
        </w:numPr>
        <w:tabs>
          <w:tab w:pos="1043" w:val="left" w:leader="none"/>
          <w:tab w:pos="1045" w:val="left" w:leader="none"/>
        </w:tabs>
        <w:spacing w:line="240" w:lineRule="auto" w:before="255" w:after="0"/>
        <w:ind w:left="1044" w:right="0" w:hanging="865"/>
        <w:jc w:val="left"/>
      </w:pPr>
      <w:bookmarkStart w:name="_TOC_250005" w:id="29"/>
      <w:bookmarkStart w:name="2.4.3 Incident Impact" w:id="30"/>
      <w:r>
        <w:rPr>
          <w:b w:val="0"/>
        </w:rPr>
      </w:r>
      <w:bookmarkEnd w:id="30"/>
      <w:bookmarkStart w:name="2.4.3 Incident Impact" w:id="31"/>
      <w:r>
        <w:rPr>
          <w:color w:val="09357D"/>
        </w:rPr>
        <w:t>I</w:t>
      </w:r>
      <w:r>
        <w:rPr>
          <w:color w:val="09357D"/>
        </w:rPr>
        <w:t>ncident</w:t>
      </w:r>
      <w:r>
        <w:rPr>
          <w:color w:val="09357D"/>
          <w:spacing w:val="-5"/>
        </w:rPr>
        <w:t> </w:t>
      </w:r>
      <w:bookmarkEnd w:id="29"/>
      <w:r>
        <w:rPr>
          <w:color w:val="09357D"/>
        </w:rPr>
        <w:t>Impact</w:t>
      </w:r>
    </w:p>
    <w:p>
      <w:pPr>
        <w:pStyle w:val="BodyText"/>
        <w:spacing w:line="333" w:lineRule="auto" w:before="185"/>
        <w:ind w:left="180" w:right="1432" w:firstLine="720"/>
      </w:pPr>
      <w:r>
        <w:rPr/>
        <w:t>Students who experienced sexual assault were affected in a number of ways; rape incidents were more upsetting to students and led to more problems in various areas of their lives than sexual battery incidents. Figure 24 shows the impact of rape and sexual battery incidents that undergraduate cisgender women experienced during the 2021–2022 academic year. As evident, over half of rape incidents and a fifth of sexual battery incidents were considered to be “very upsetting” to the student, and about a third of rape incidents and over half of sexual battery incidents were considered to be “upsetting.”</w:t>
      </w:r>
    </w:p>
    <w:p>
      <w:pPr>
        <w:spacing w:after="0" w:line="333" w:lineRule="auto"/>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117.05pt;mso-position-horizontal-relative:page;mso-position-vertical-relative:paragraph;z-index:-251599872;mso-wrap-distance-left:0;mso-wrap-distance-right:0" coordorigin="1464,390" coordsize="9272,2341">
            <v:line style="position:absolute" from="1472,394" to="10728,394" stroked="true" strokeweight=".401pt" strokecolor="#a4a4a4">
              <v:stroke dashstyle="solid"/>
            </v:line>
            <v:line style="position:absolute" from="1472,2726" to="10728,2726" stroked="true" strokeweight=".4pt" strokecolor="#a4a4a4">
              <v:stroke dashstyle="solid"/>
            </v:line>
            <v:line style="position:absolute" from="1468,390" to="1468,2730" stroked="true" strokeweight=".4pt" strokecolor="#a4a4a4">
              <v:stroke dashstyle="solid"/>
            </v:line>
            <v:line style="position:absolute" from="10732,390" to="10732,2730" stroked="true" strokeweight=".4pt" strokecolor="#a4a4a4">
              <v:stroke dashstyle="solid"/>
            </v:line>
            <v:shape style="position:absolute;left:2153;top:475;width:8285;height:2165" type="#_x0000_t75" alt="See Notes for information on an accessible version of this figure." stroked="false">
              <v:imagedata r:id="rId89" o:title=""/>
            </v:shape>
            <w10:wrap type="topAndBottom"/>
          </v:group>
        </w:pict>
      </w:r>
      <w:r>
        <w:rPr/>
        <w:t>Figure 24. Perception of Rape and Sexual Battery Incidents, Undergraduate Cisgender Women</w:t>
      </w:r>
    </w:p>
    <w:p>
      <w:pPr>
        <w:spacing w:before="26"/>
        <w:ind w:left="367" w:right="1726" w:hanging="188"/>
        <w:jc w:val="left"/>
        <w:rPr>
          <w:sz w:val="18"/>
        </w:rPr>
      </w:pPr>
      <w:r>
        <w:rPr>
          <w:sz w:val="18"/>
        </w:rPr>
        <w:t>Notes: Percentages are of incidents. ! Estimate is considered not reliable statistically because it is either based on fewer than 10 people or has a relative standard error greater than 30%. For an accessible version of the information shown in this figure, see </w:t>
      </w:r>
      <w:hyperlink r:id="rId90">
        <w:r>
          <w:rPr>
            <w:color w:val="1F419A"/>
            <w:sz w:val="18"/>
            <w:u w:val="single" w:color="1F419A"/>
          </w:rPr>
          <w:t>Appendix Tables D-13b</w:t>
        </w:r>
        <w:r>
          <w:rPr>
            <w:color w:val="1F419A"/>
            <w:sz w:val="18"/>
          </w:rPr>
          <w:t> </w:t>
        </w:r>
      </w:hyperlink>
      <w:r>
        <w:rPr>
          <w:sz w:val="18"/>
        </w:rPr>
        <w:t>and </w:t>
      </w:r>
      <w:hyperlink r:id="rId91">
        <w:r>
          <w:rPr>
            <w:color w:val="1F419A"/>
            <w:sz w:val="18"/>
            <w:u w:val="single" w:color="1F419A"/>
          </w:rPr>
          <w:t>D-13c</w:t>
        </w:r>
      </w:hyperlink>
      <w:r>
        <w:rPr>
          <w:sz w:val="18"/>
        </w:rPr>
        <w:t>.</w:t>
      </w:r>
    </w:p>
    <w:p>
      <w:pPr>
        <w:pStyle w:val="BodyText"/>
      </w:pPr>
    </w:p>
    <w:p>
      <w:pPr>
        <w:pStyle w:val="BodyText"/>
        <w:spacing w:before="8"/>
      </w:pPr>
    </w:p>
    <w:p>
      <w:pPr>
        <w:pStyle w:val="BodyText"/>
        <w:spacing w:line="333" w:lineRule="auto"/>
        <w:ind w:left="180" w:right="1707" w:firstLine="720"/>
      </w:pPr>
      <w:r>
        <w:rPr/>
        <w:t>About 32.2% of undergraduate cisgender men (Figure 25) and 81.1% of cisgender women graduate/professional students (Figure 26) indicated that the sexual battery incidents they experienced were upsetting.</w:t>
      </w:r>
    </w:p>
    <w:p>
      <w:pPr>
        <w:spacing w:after="0" w:line="333" w:lineRule="auto"/>
        <w:sectPr>
          <w:pgSz w:w="12240" w:h="15840"/>
          <w:pgMar w:header="0" w:footer="592" w:top="1120" w:bottom="780" w:left="1260" w:right="0"/>
        </w:sectPr>
      </w:pPr>
    </w:p>
    <w:p>
      <w:pPr>
        <w:pStyle w:val="Heading5"/>
        <w:spacing w:before="181"/>
        <w:ind w:left="1452"/>
      </w:pPr>
      <w:r>
        <w:rPr/>
        <w:t>Figure 25. Perception of Sexual Battery Incidents, Undergraduate Cisgender Men</w:t>
      </w:r>
    </w:p>
    <w:p>
      <w:pPr>
        <w:spacing w:line="240" w:lineRule="auto" w:before="181"/>
        <w:ind w:left="1452" w:right="1822" w:hanging="1080"/>
        <w:jc w:val="left"/>
        <w:rPr>
          <w:b/>
          <w:sz w:val="20"/>
        </w:rPr>
      </w:pPr>
      <w:r>
        <w:rPr/>
        <w:br w:type="column"/>
      </w:r>
      <w:r>
        <w:rPr>
          <w:b/>
          <w:sz w:val="20"/>
        </w:rPr>
        <w:t>Figure 26. Perception of Sexual Battery Incidents, Cisgender Women Graduate/Professional Students</w:t>
      </w:r>
    </w:p>
    <w:p>
      <w:pPr>
        <w:spacing w:after="0" w:line="240" w:lineRule="auto"/>
        <w:jc w:val="left"/>
        <w:rPr>
          <w:sz w:val="20"/>
        </w:rPr>
        <w:sectPr>
          <w:type w:val="continuous"/>
          <w:pgSz w:w="12240" w:h="15840"/>
          <w:pgMar w:top="1500" w:bottom="0" w:left="1260" w:right="0"/>
          <w:cols w:num="2" w:equalWidth="0">
            <w:col w:w="4216" w:space="424"/>
            <w:col w:w="6340"/>
          </w:cols>
        </w:sectPr>
      </w:pPr>
    </w:p>
    <w:p>
      <w:pPr>
        <w:pStyle w:val="BodyText"/>
        <w:spacing w:before="3"/>
        <w:rPr>
          <w:b/>
          <w:sz w:val="12"/>
        </w:rPr>
      </w:pPr>
    </w:p>
    <w:p>
      <w:pPr>
        <w:pStyle w:val="BodyText"/>
        <w:ind w:left="268"/>
      </w:pPr>
      <w:r>
        <w:rPr/>
        <w:pict>
          <v:group style="width:227.4pt;height:139.4pt;mso-position-horizontal-relative:char;mso-position-vertical-relative:line" coordorigin="0,0" coordsize="4548,2788">
            <v:line style="position:absolute" from="8,4" to="4540,4" stroked="true" strokeweight=".4pt" strokecolor="#a4a4a4">
              <v:stroke dashstyle="solid"/>
            </v:line>
            <v:rect style="position:absolute;left:0;top:2780;width:8;height:8" filled="true" fillcolor="#a4a4a4" stroked="false">
              <v:fill type="solid"/>
            </v:rect>
            <v:rect style="position:absolute;left:0;top:2780;width:8;height:8" filled="true" fillcolor="#a4a4a4" stroked="false">
              <v:fill type="solid"/>
            </v:rect>
            <v:line style="position:absolute" from="8,2784" to="4540,2784" stroked="true" strokeweight=".4pt" strokecolor="#a4a4a4">
              <v:stroke dashstyle="solid"/>
            </v:line>
            <v:rect style="position:absolute;left:4540;top:2780;width:8;height:8" filled="true" fillcolor="#a4a4a4" stroked="false">
              <v:fill type="solid"/>
            </v:rect>
            <v:rect style="position:absolute;left:4540;top:2780;width:8;height:8" filled="true" fillcolor="#a4a4a4" stroked="false">
              <v:fill type="solid"/>
            </v:rect>
            <v:line style="position:absolute" from="4,0" to="4,2780" stroked="true" strokeweight=".4pt" strokecolor="#a4a4a4">
              <v:stroke dashstyle="solid"/>
            </v:line>
            <v:line style="position:absolute" from="4544,0" to="4544,2780" stroked="true" strokeweight=".4pt" strokecolor="#a4a4a4">
              <v:stroke dashstyle="solid"/>
            </v:line>
            <v:shape style="position:absolute;left:116;top:300;width:4315;height:2176" type="#_x0000_t75" alt="See Notes for information on an accessible version of this figure." stroked="false">
              <v:imagedata r:id="rId92" o:title=""/>
            </v:shape>
          </v:group>
        </w:pict>
      </w:r>
      <w:r>
        <w:rPr/>
      </w:r>
      <w:r>
        <w:rPr>
          <w:rFonts w:ascii="Times New Roman"/>
          <w:spacing w:val="13"/>
        </w:rPr>
        <w:t> </w:t>
      </w:r>
      <w:r>
        <w:rPr>
          <w:spacing w:val="13"/>
        </w:rPr>
        <w:pict>
          <v:group style="width:227.4pt;height:139.4pt;mso-position-horizontal-relative:char;mso-position-vertical-relative:line" coordorigin="0,0" coordsize="4548,2788">
            <v:line style="position:absolute" from="8,4" to="4540,4" stroked="true" strokeweight=".4pt" strokecolor="#a4a4a4">
              <v:stroke dashstyle="solid"/>
            </v:line>
            <v:rect style="position:absolute;left:0;top:2780;width:9;height:8" filled="true" fillcolor="#a4a4a4" stroked="false">
              <v:fill type="solid"/>
            </v:rect>
            <v:rect style="position:absolute;left:0;top:2780;width:9;height:8" filled="true" fillcolor="#a4a4a4" stroked="false">
              <v:fill type="solid"/>
            </v:rect>
            <v:line style="position:absolute" from="8,2784" to="4540,2784" stroked="true" strokeweight=".4pt" strokecolor="#a4a4a4">
              <v:stroke dashstyle="solid"/>
            </v:line>
            <v:rect style="position:absolute;left:4540;top:2780;width:8;height:8" filled="true" fillcolor="#a4a4a4" stroked="false">
              <v:fill type="solid"/>
            </v:rect>
            <v:rect style="position:absolute;left:4540;top:2780;width:8;height:8" filled="true" fillcolor="#a4a4a4" stroked="false">
              <v:fill type="solid"/>
            </v:rect>
            <v:line style="position:absolute" from="4,0" to="4,2780" stroked="true" strokeweight=".401pt" strokecolor="#a4a4a4">
              <v:stroke dashstyle="solid"/>
            </v:line>
            <v:line style="position:absolute" from="4544,0" to="4544,2780" stroked="true" strokeweight=".4pt" strokecolor="#a4a4a4">
              <v:stroke dashstyle="solid"/>
            </v:line>
            <v:shape style="position:absolute;left:405;top:129;width:3776;height:2532" type="#_x0000_t75" alt="See Notes for information on an accessible version of this figure." stroked="false">
              <v:imagedata r:id="rId93" o:title=""/>
            </v:shape>
          </v:group>
        </w:pict>
      </w:r>
      <w:r>
        <w:rPr>
          <w:spacing w:val="13"/>
        </w:rPr>
      </w:r>
    </w:p>
    <w:p>
      <w:pPr>
        <w:spacing w:before="108"/>
        <w:ind w:left="368" w:right="1726" w:hanging="189"/>
        <w:jc w:val="left"/>
        <w:rPr>
          <w:sz w:val="18"/>
        </w:rPr>
      </w:pPr>
      <w:r>
        <w:rPr>
          <w:sz w:val="18"/>
        </w:rPr>
        <w:t>Notes: Percentages are of incidents. ! Estimate is considered not reliable statistically because it is either based on fewer than 10 people or has a relative standard error greater than 30%. For an accessible version of the information shown in this figure, see </w:t>
      </w:r>
      <w:hyperlink r:id="rId91">
        <w:r>
          <w:rPr>
            <w:color w:val="1F419A"/>
            <w:sz w:val="18"/>
            <w:u w:val="single" w:color="1F419A"/>
          </w:rPr>
          <w:t>Appendix Table D-13c</w:t>
        </w:r>
      </w:hyperlink>
      <w:r>
        <w:rPr>
          <w:sz w:val="18"/>
        </w:rPr>
        <w:t>.</w:t>
      </w:r>
    </w:p>
    <w:p>
      <w:pPr>
        <w:pStyle w:val="BodyText"/>
      </w:pPr>
    </w:p>
    <w:p>
      <w:pPr>
        <w:pStyle w:val="BodyText"/>
        <w:spacing w:before="1"/>
        <w:rPr>
          <w:sz w:val="21"/>
        </w:rPr>
      </w:pPr>
    </w:p>
    <w:p>
      <w:pPr>
        <w:pStyle w:val="BodyText"/>
        <w:spacing w:line="333" w:lineRule="auto"/>
        <w:ind w:left="180" w:right="1444" w:firstLine="720"/>
      </w:pPr>
      <w:r>
        <w:rPr/>
        <w:t>Responses to questions in the survey revealed that the most common effects of the incident were problems with schoolwork or grades (e.g., “missing or being late to class, having trouble concentrating, or not completing assignments”) and problems with friends, roommates, or peers (e.g., “getting into more arguments or fights than you did before, not feeling you could trust them as much, or not feeling as close to them as you did before”). Undergraduate cisgender women survivors indicated experiencing these problems in 40</w:t>
      </w:r>
      <w:r>
        <w:rPr>
          <w:rFonts w:ascii="Calibri" w:hAnsi="Calibri"/>
          <w:sz w:val="18"/>
        </w:rPr>
        <w:t>–</w:t>
      </w:r>
      <w:r>
        <w:rPr/>
        <w:t>58% of rape incidents and in 23</w:t>
      </w:r>
      <w:r>
        <w:rPr>
          <w:rFonts w:ascii="Calibri" w:hAnsi="Calibri"/>
          <w:sz w:val="18"/>
        </w:rPr>
        <w:t>–</w:t>
      </w:r>
      <w:r>
        <w:rPr/>
        <w:t>26% of sexual battery incidents (Figure 27). A sizeable number of rape incidents led the survivor to </w:t>
      </w:r>
      <w:r>
        <w:rPr>
          <w:i/>
        </w:rPr>
        <w:t>consider </w:t>
      </w:r>
      <w:r>
        <w:rPr/>
        <w:t>making various changes, such as taking time off from school, transferring, or dropping out (29.4%); dropping classes or changing schedules (22.5%); or moving or changing their living situation (19.2%). Fewer actually made these changes. (Note that the</w:t>
      </w:r>
    </w:p>
    <w:p>
      <w:pPr>
        <w:spacing w:after="0" w:line="333" w:lineRule="auto"/>
        <w:sectPr>
          <w:type w:val="continuous"/>
          <w:pgSz w:w="12240" w:h="15840"/>
          <w:pgMar w:top="1500" w:bottom="0" w:left="1260" w:right="0"/>
        </w:sectPr>
      </w:pPr>
    </w:p>
    <w:p>
      <w:pPr>
        <w:pStyle w:val="BodyText"/>
        <w:spacing w:before="7"/>
        <w:rPr>
          <w:sz w:val="17"/>
        </w:rPr>
      </w:pPr>
    </w:p>
    <w:p>
      <w:pPr>
        <w:pStyle w:val="BodyText"/>
        <w:spacing w:line="333" w:lineRule="auto" w:before="94"/>
        <w:ind w:left="180" w:right="1963"/>
      </w:pPr>
      <w:r>
        <w:rPr/>
        <w:t>survey was unable to capture the experiences of those who actually dropped out or were away from school as a result of the assault.)</w:t>
      </w:r>
    </w:p>
    <w:p>
      <w:pPr>
        <w:pStyle w:val="Heading5"/>
        <w:spacing w:before="92"/>
        <w:ind w:left="180" w:firstLine="0"/>
      </w:pPr>
      <w:r>
        <w:rPr/>
        <w:pict>
          <v:group style="position:absolute;margin-left:73.199997pt;margin-top:19.379894pt;width:463.6pt;height:268.8pt;mso-position-horizontal-relative:page;mso-position-vertical-relative:paragraph;z-index:-251596800;mso-wrap-distance-left:0;mso-wrap-distance-right:0" coordorigin="1464,388" coordsize="9272,5376">
            <v:line style="position:absolute" from="1472,392" to="10728,392" stroked="true" strokeweight=".4pt" strokecolor="#a4a4a4">
              <v:stroke dashstyle="solid"/>
            </v:line>
            <v:line style="position:absolute" from="1472,5760" to="10728,5760" stroked="true" strokeweight=".4pt" strokecolor="#a4a4a4">
              <v:stroke dashstyle="solid"/>
            </v:line>
            <v:line style="position:absolute" from="1468,388" to="1468,5764" stroked="true" strokeweight=".4pt" strokecolor="#a4a4a4">
              <v:stroke dashstyle="solid"/>
            </v:line>
            <v:line style="position:absolute" from="10732,388" to="10732,5764" stroked="true" strokeweight=".4pt" strokecolor="#a4a4a4">
              <v:stroke dashstyle="solid"/>
            </v:line>
            <v:shape style="position:absolute;left:1646;top:473;width:9062;height:5201" type="#_x0000_t75" alt="See Notes for information on an accessible version of this figure. " stroked="false">
              <v:imagedata r:id="rId94" o:title=""/>
            </v:shape>
            <w10:wrap type="topAndBottom"/>
          </v:group>
        </w:pict>
      </w:r>
      <w:r>
        <w:rPr/>
        <w:t>Figure 27. Impact of Sexual Battery and Rape Incidents, Undergraduate Cisgender Women</w:t>
      </w:r>
    </w:p>
    <w:p>
      <w:pPr>
        <w:spacing w:before="26"/>
        <w:ind w:left="368" w:right="1726" w:hanging="189"/>
        <w:jc w:val="left"/>
        <w:rPr>
          <w:sz w:val="18"/>
        </w:rPr>
      </w:pPr>
      <w:r>
        <w:rPr>
          <w:sz w:val="18"/>
        </w:rPr>
        <w:t>Notes: Percentages are of incidents. ! Estimate is considered not statistically reliable because it is either based on fewer than 10 people or has a relative standard error greater than 30%. For an accessible version of the information shown in this figure, see </w:t>
      </w:r>
      <w:hyperlink r:id="rId90">
        <w:r>
          <w:rPr>
            <w:color w:val="1F419A"/>
            <w:sz w:val="18"/>
            <w:u w:val="single" w:color="1F419A"/>
          </w:rPr>
          <w:t>Appendix Tables D-13b</w:t>
        </w:r>
        <w:r>
          <w:rPr>
            <w:color w:val="1F419A"/>
            <w:sz w:val="18"/>
          </w:rPr>
          <w:t> </w:t>
        </w:r>
      </w:hyperlink>
      <w:r>
        <w:rPr>
          <w:sz w:val="18"/>
        </w:rPr>
        <w:t>and </w:t>
      </w:r>
      <w:hyperlink r:id="rId91">
        <w:r>
          <w:rPr>
            <w:color w:val="1F419A"/>
            <w:sz w:val="18"/>
            <w:u w:val="single" w:color="1F419A"/>
          </w:rPr>
          <w:t>D-13c</w:t>
        </w:r>
      </w:hyperlink>
      <w:r>
        <w:rPr>
          <w:sz w:val="18"/>
        </w:rPr>
        <w:t>.</w:t>
      </w:r>
    </w:p>
    <w:p>
      <w:pPr>
        <w:pStyle w:val="BodyText"/>
      </w:pPr>
    </w:p>
    <w:p>
      <w:pPr>
        <w:pStyle w:val="BodyText"/>
        <w:spacing w:before="8"/>
      </w:pPr>
    </w:p>
    <w:p>
      <w:pPr>
        <w:pStyle w:val="BodyText"/>
        <w:spacing w:line="333" w:lineRule="auto"/>
        <w:ind w:left="180" w:right="1577" w:firstLine="720"/>
      </w:pPr>
      <w:r>
        <w:rPr/>
        <w:t>Many of the estimates for the impact of incidents experienced by undergraduate cisgender men, transgender and/or nonbinary undergraduates, and graduate/professional students were statistically imprecise.</w:t>
      </w:r>
    </w:p>
    <w:p>
      <w:pPr>
        <w:pStyle w:val="Heading3"/>
        <w:numPr>
          <w:ilvl w:val="1"/>
          <w:numId w:val="4"/>
        </w:numPr>
        <w:tabs>
          <w:tab w:pos="1043" w:val="left" w:leader="none"/>
          <w:tab w:pos="1044" w:val="left" w:leader="none"/>
        </w:tabs>
        <w:spacing w:line="240" w:lineRule="auto" w:before="173" w:after="0"/>
        <w:ind w:left="1043" w:right="0" w:hanging="864"/>
        <w:jc w:val="left"/>
      </w:pPr>
      <w:bookmarkStart w:name="_TOC_250004" w:id="32"/>
      <w:bookmarkStart w:name="2.5 Workplace Incivility" w:id="33"/>
      <w:r>
        <w:rPr>
          <w:b w:val="0"/>
        </w:rPr>
      </w:r>
      <w:bookmarkEnd w:id="33"/>
      <w:bookmarkStart w:name="2.5 Workplace Incivility" w:id="34"/>
      <w:r>
        <w:rPr>
          <w:color w:val="09357D"/>
        </w:rPr>
        <w:t>W</w:t>
      </w:r>
      <w:bookmarkEnd w:id="32"/>
      <w:r>
        <w:rPr>
          <w:color w:val="09357D"/>
        </w:rPr>
        <w:t>orkplace Incivility</w:t>
      </w:r>
    </w:p>
    <w:p>
      <w:pPr>
        <w:pStyle w:val="BodyText"/>
        <w:spacing w:line="333" w:lineRule="auto" w:before="228"/>
        <w:ind w:left="180" w:right="1663" w:firstLine="720"/>
      </w:pPr>
      <w:r>
        <w:rPr/>
        <w:t>For the 2021–2022 academic year Know More @ MSU Campus Survey, students were asked whether they were employed by MSU. Responses indicate that about 33% of undergraduate cisgender women, 27% of undergraduate cisgender men, 42% of transgender and/or nonbinary undergraduates, 52% of cisgender women graduate/professional students, 52% of cisgender men graduate/professional students, and 61% of transgender and/or nonbinary graduate/professional students were employed by MSU during the 2021–2022 academic year.</w:t>
      </w:r>
    </w:p>
    <w:p>
      <w:pPr>
        <w:pStyle w:val="BodyText"/>
        <w:spacing w:line="333" w:lineRule="auto" w:before="162"/>
        <w:ind w:left="179" w:right="1553" w:firstLine="720"/>
      </w:pPr>
      <w:r>
        <w:rPr/>
        <w:t>The students who indicated they were employed by MSU during the 2021–2022 academic year were asked about their experiences with workplace incivility. First, the survey asked survey participants how often they had experienced behaviors that reflect incivility in the workplace (e.g., making insulting or disrespectful remarks, interrupting, paying little attention to their statements or showing little interest in</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527"/>
      </w:pPr>
      <w:r>
        <w:rPr/>
        <w:t>their opinions, making jokes at their expense).</w:t>
      </w:r>
      <w:r>
        <w:rPr>
          <w:position w:val="5"/>
          <w:sz w:val="12"/>
        </w:rPr>
        <w:t>28 </w:t>
      </w:r>
      <w:r>
        <w:rPr/>
        <w:t>The mean workplace incivility scores for the six student groups, which can range from 0 to 48 with higher scores reflecting more incivility, are presented in  Figure</w:t>
      </w:r>
      <w:r>
        <w:rPr>
          <w:spacing w:val="-6"/>
        </w:rPr>
        <w:t> </w:t>
      </w:r>
      <w:r>
        <w:rPr/>
        <w:t>28.</w:t>
      </w:r>
      <w:r>
        <w:rPr>
          <w:spacing w:val="-3"/>
        </w:rPr>
        <w:t> </w:t>
      </w:r>
      <w:r>
        <w:rPr/>
        <w:t>The</w:t>
      </w:r>
      <w:r>
        <w:rPr>
          <w:spacing w:val="-2"/>
        </w:rPr>
        <w:t> </w:t>
      </w:r>
      <w:r>
        <w:rPr/>
        <w:t>scores</w:t>
      </w:r>
      <w:r>
        <w:rPr>
          <w:spacing w:val="-3"/>
        </w:rPr>
        <w:t> </w:t>
      </w:r>
      <w:r>
        <w:rPr/>
        <w:t>are</w:t>
      </w:r>
      <w:r>
        <w:rPr>
          <w:spacing w:val="-2"/>
        </w:rPr>
        <w:t> </w:t>
      </w:r>
      <w:r>
        <w:rPr/>
        <w:t>very</w:t>
      </w:r>
      <w:r>
        <w:rPr>
          <w:spacing w:val="-3"/>
        </w:rPr>
        <w:t> </w:t>
      </w:r>
      <w:r>
        <w:rPr/>
        <w:t>low</w:t>
      </w:r>
      <w:r>
        <w:rPr>
          <w:spacing w:val="-7"/>
        </w:rPr>
        <w:t> </w:t>
      </w:r>
      <w:r>
        <w:rPr/>
        <w:t>and</w:t>
      </w:r>
      <w:r>
        <w:rPr>
          <w:spacing w:val="-1"/>
        </w:rPr>
        <w:t> </w:t>
      </w:r>
      <w:r>
        <w:rPr/>
        <w:t>are</w:t>
      </w:r>
      <w:r>
        <w:rPr>
          <w:spacing w:val="-2"/>
        </w:rPr>
        <w:t> </w:t>
      </w:r>
      <w:r>
        <w:rPr/>
        <w:t>considerably</w:t>
      </w:r>
      <w:r>
        <w:rPr>
          <w:spacing w:val="-3"/>
        </w:rPr>
        <w:t> </w:t>
      </w:r>
      <w:r>
        <w:rPr/>
        <w:t>lower</w:t>
      </w:r>
      <w:r>
        <w:rPr>
          <w:spacing w:val="-2"/>
        </w:rPr>
        <w:t> </w:t>
      </w:r>
      <w:r>
        <w:rPr/>
        <w:t>than</w:t>
      </w:r>
      <w:r>
        <w:rPr>
          <w:spacing w:val="-2"/>
        </w:rPr>
        <w:t> </w:t>
      </w:r>
      <w:r>
        <w:rPr/>
        <w:t>their</w:t>
      </w:r>
      <w:r>
        <w:rPr>
          <w:spacing w:val="-6"/>
        </w:rPr>
        <w:t> </w:t>
      </w:r>
      <w:r>
        <w:rPr/>
        <w:t>faculty/staff</w:t>
      </w:r>
      <w:r>
        <w:rPr>
          <w:spacing w:val="-3"/>
        </w:rPr>
        <w:t> </w:t>
      </w:r>
      <w:r>
        <w:rPr/>
        <w:t>counterparts,</w:t>
      </w:r>
      <w:r>
        <w:rPr>
          <w:spacing w:val="-3"/>
        </w:rPr>
        <w:t> </w:t>
      </w:r>
      <w:r>
        <w:rPr/>
        <w:t>which means MSU students rarely experience various types of workplace incivility. The one exception is</w:t>
      </w:r>
      <w:r>
        <w:rPr>
          <w:spacing w:val="-28"/>
        </w:rPr>
        <w:t> </w:t>
      </w:r>
      <w:r>
        <w:rPr/>
        <w:t>for</w:t>
      </w:r>
    </w:p>
    <w:p>
      <w:pPr>
        <w:pStyle w:val="BodyText"/>
        <w:spacing w:line="333" w:lineRule="auto" w:before="1"/>
        <w:ind w:left="180" w:right="1430"/>
        <w:rPr>
          <w:sz w:val="12"/>
        </w:rPr>
      </w:pPr>
      <w:r>
        <w:rPr/>
        <w:t>transgender and/or nonbinary graduate/professional students, who have a mean workplace incivility score (9.5) that is higher than that of any other student or faculty/staff group.</w:t>
      </w:r>
      <w:r>
        <w:rPr>
          <w:position w:val="5"/>
          <w:sz w:val="12"/>
        </w:rPr>
        <w:t>29</w:t>
      </w:r>
    </w:p>
    <w:p>
      <w:pPr>
        <w:pStyle w:val="Heading5"/>
        <w:spacing w:line="242" w:lineRule="auto" w:before="92"/>
        <w:ind w:right="1575"/>
      </w:pPr>
      <w:r>
        <w:rPr/>
        <w:pict>
          <v:group style="position:absolute;margin-left:73.199997pt;margin-top:30.779896pt;width:463.6pt;height:76.8pt;mso-position-horizontal-relative:page;mso-position-vertical-relative:paragraph;z-index:-251595776;mso-wrap-distance-left:0;mso-wrap-distance-right:0" coordorigin="1464,616" coordsize="9272,1536">
            <v:line style="position:absolute" from="1472,620" to="10728,620" stroked="true" strokeweight=".4pt" strokecolor="#a4a4a4">
              <v:stroke dashstyle="solid"/>
            </v:line>
            <v:line style="position:absolute" from="1472,2148" to="10728,2148" stroked="true" strokeweight=".401pt" strokecolor="#a4a4a4">
              <v:stroke dashstyle="solid"/>
            </v:line>
            <v:line style="position:absolute" from="1468,616" to="1468,2152" stroked="true" strokeweight=".4pt" strokecolor="#a4a4a4">
              <v:stroke dashstyle="solid"/>
            </v:line>
            <v:line style="position:absolute" from="10732,616" to="10732,2152" stroked="true" strokeweight=".4pt" strokecolor="#a4a4a4">
              <v:stroke dashstyle="solid"/>
            </v:line>
            <v:shape style="position:absolute;left:1934;top:703;width:8569;height:1360" type="#_x0000_t75" alt="See Notes for information on an accessible version of this figure. " stroked="false">
              <v:imagedata r:id="rId95" o:title=""/>
            </v:shape>
            <w10:wrap type="topAndBottom"/>
          </v:group>
        </w:pict>
      </w:r>
      <w:r>
        <w:rPr/>
        <w:t>Figure 28. Mean Workplace Incivility Scores Among Students Employed by MSU, 2021–2022 Academic Year</w:t>
      </w:r>
    </w:p>
    <w:p>
      <w:pPr>
        <w:spacing w:before="26"/>
        <w:ind w:left="180" w:right="0" w:firstLine="0"/>
        <w:jc w:val="left"/>
        <w:rPr>
          <w:sz w:val="18"/>
        </w:rPr>
      </w:pPr>
      <w:r>
        <w:rPr>
          <w:sz w:val="18"/>
        </w:rPr>
        <w:t>Note: For an accessible version of the information shown in this figure, see </w:t>
      </w:r>
      <w:hyperlink r:id="rId96">
        <w:r>
          <w:rPr>
            <w:color w:val="1F419A"/>
            <w:sz w:val="18"/>
            <w:u w:val="single" w:color="1F419A"/>
          </w:rPr>
          <w:t>Appendix Table D-15g</w:t>
        </w:r>
      </w:hyperlink>
      <w:r>
        <w:rPr>
          <w:sz w:val="18"/>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2"/>
        </w:rPr>
      </w:pPr>
      <w:r>
        <w:rPr/>
        <w:pict>
          <v:shape style="position:absolute;margin-left:72pt;margin-top:9.231153pt;width:144pt;height:.1pt;mso-position-horizontal-relative:page;mso-position-vertical-relative:paragraph;z-index:-251594752;mso-wrap-distance-left:0;mso-wrap-distance-right:0" coordorigin="1440,185" coordsize="2880,0" path="m1440,185l4320,185e" filled="false" stroked="true" strokeweight=".4pt" strokecolor="#000000">
            <v:path arrowok="t"/>
            <v:stroke dashstyle="solid"/>
            <w10:wrap type="topAndBottom"/>
          </v:shape>
        </w:pict>
      </w:r>
    </w:p>
    <w:p>
      <w:pPr>
        <w:spacing w:before="54"/>
        <w:ind w:left="193" w:right="0" w:firstLine="0"/>
        <w:jc w:val="left"/>
        <w:rPr>
          <w:sz w:val="18"/>
        </w:rPr>
      </w:pPr>
      <w:r>
        <w:rPr>
          <w:position w:val="4"/>
          <w:sz w:val="12"/>
        </w:rPr>
        <w:t>28 </w:t>
      </w:r>
      <w:r>
        <w:rPr>
          <w:sz w:val="18"/>
        </w:rPr>
        <w:t>The Workplace Incivility Scale was used. See Cortina, L. M., Kabat-Farr, D., Leskinen, E. A., Huerta, M., &amp; Magley,</w:t>
      </w:r>
    </w:p>
    <w:p>
      <w:pPr>
        <w:spacing w:before="1"/>
        <w:ind w:left="452" w:right="2053" w:firstLine="0"/>
        <w:jc w:val="left"/>
        <w:rPr>
          <w:sz w:val="18"/>
        </w:rPr>
      </w:pPr>
      <w:r>
        <w:rPr>
          <w:sz w:val="18"/>
        </w:rPr>
        <w:t>V. J. (2013). Selective incivility as modern discrimination in organizations: Evidence and impact. </w:t>
      </w:r>
      <w:r>
        <w:rPr>
          <w:i/>
          <w:sz w:val="18"/>
        </w:rPr>
        <w:t>Journal of </w:t>
      </w:r>
      <w:r>
        <w:rPr>
          <w:i/>
          <w:sz w:val="18"/>
        </w:rPr>
        <w:t>Management,</w:t>
      </w:r>
      <w:r>
        <w:rPr>
          <w:i/>
          <w:spacing w:val="-15"/>
          <w:sz w:val="18"/>
        </w:rPr>
        <w:t> </w:t>
      </w:r>
      <w:r>
        <w:rPr>
          <w:i/>
          <w:sz w:val="18"/>
        </w:rPr>
        <w:t>39</w:t>
      </w:r>
      <w:r>
        <w:rPr>
          <w:sz w:val="18"/>
        </w:rPr>
        <w:t>(6),</w:t>
      </w:r>
      <w:r>
        <w:rPr>
          <w:spacing w:val="-14"/>
          <w:sz w:val="18"/>
        </w:rPr>
        <w:t> </w:t>
      </w:r>
      <w:r>
        <w:rPr>
          <w:sz w:val="18"/>
        </w:rPr>
        <w:t>1579–1605.</w:t>
      </w:r>
      <w:r>
        <w:rPr>
          <w:color w:val="1F419A"/>
          <w:spacing w:val="-14"/>
          <w:sz w:val="18"/>
        </w:rPr>
        <w:t> </w:t>
      </w:r>
      <w:hyperlink r:id="rId97">
        <w:r>
          <w:rPr>
            <w:color w:val="1F419A"/>
            <w:sz w:val="18"/>
            <w:u w:val="single" w:color="1F419A"/>
          </w:rPr>
          <w:t>https://doi.org/10.1177/0149206311418835</w:t>
        </w:r>
        <w:r>
          <w:rPr>
            <w:color w:val="1F419A"/>
            <w:sz w:val="18"/>
          </w:rPr>
          <w:t> </w:t>
        </w:r>
        <w:r>
          <w:rPr>
            <w:color w:val="1F419A"/>
            <w:spacing w:val="-3"/>
            <w:sz w:val="18"/>
          </w:rPr>
        </w:r>
      </w:hyperlink>
      <w:r>
        <w:rPr>
          <w:color w:val="1F419A"/>
          <w:spacing w:val="-3"/>
          <w:sz w:val="18"/>
        </w:rPr>
        <w:drawing>
          <wp:inline distT="0" distB="0" distL="0" distR="0">
            <wp:extent cx="100329" cy="100329"/>
            <wp:effectExtent l="0" t="0" r="0" b="0"/>
            <wp:docPr id="9" name="image5.png"/>
            <wp:cNvGraphicFramePr>
              <a:graphicFrameLocks noChangeAspect="1"/>
            </wp:cNvGraphicFramePr>
            <a:graphic>
              <a:graphicData uri="http://schemas.openxmlformats.org/drawingml/2006/picture">
                <pic:pic>
                  <pic:nvPicPr>
                    <pic:cNvPr id="10"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line="240" w:lineRule="auto" w:before="2"/>
        <w:ind w:left="452" w:right="1514" w:hanging="259"/>
        <w:jc w:val="left"/>
        <w:rPr>
          <w:sz w:val="18"/>
        </w:rPr>
      </w:pPr>
      <w:r>
        <w:rPr>
          <w:position w:val="4"/>
          <w:sz w:val="12"/>
        </w:rPr>
        <w:t>29 </w:t>
      </w:r>
      <w:r>
        <w:rPr>
          <w:sz w:val="18"/>
        </w:rPr>
        <w:t>Responses were limited to the 2021–2022 academic year as opposed to an extended reference period to allow for a benchmark estimate against which improvements (or deteriorations) over time could be assessed in a subsequent climate survey.</w:t>
      </w:r>
    </w:p>
    <w:p>
      <w:pPr>
        <w:spacing w:after="0" w:line="240" w:lineRule="auto"/>
        <w:jc w:val="left"/>
        <w:rPr>
          <w:sz w:val="18"/>
        </w:rPr>
        <w:sectPr>
          <w:pgSz w:w="12240" w:h="15840"/>
          <w:pgMar w:header="0" w:footer="592" w:top="1120" w:bottom="780" w:left="1260" w:right="0"/>
        </w:sectPr>
      </w:pPr>
    </w:p>
    <w:p>
      <w:pPr>
        <w:pStyle w:val="BodyText"/>
        <w:rPr>
          <w:sz w:val="12"/>
        </w:rPr>
      </w:pPr>
    </w:p>
    <w:p>
      <w:pPr>
        <w:pStyle w:val="Heading2"/>
        <w:numPr>
          <w:ilvl w:val="0"/>
          <w:numId w:val="4"/>
        </w:numPr>
        <w:tabs>
          <w:tab w:pos="1043" w:val="left" w:leader="none"/>
          <w:tab w:pos="1044" w:val="left" w:leader="none"/>
        </w:tabs>
        <w:spacing w:line="242" w:lineRule="auto" w:before="88" w:after="0"/>
        <w:ind w:left="1044" w:right="1712" w:hanging="864"/>
        <w:jc w:val="left"/>
      </w:pPr>
      <w:bookmarkStart w:name="3. Faculty’s/Staff’s Experiences with Wo" w:id="35"/>
      <w:bookmarkEnd w:id="35"/>
      <w:r>
        <w:rPr>
          <w:b w:val="0"/>
        </w:rPr>
      </w:r>
      <w:bookmarkStart w:name="3. Faculty’s/Staff’s Experiences with Wo" w:id="36"/>
      <w:bookmarkEnd w:id="36"/>
      <w:r>
        <w:rPr>
          <w:color w:val="09357D"/>
        </w:rPr>
        <w:t>Fa</w:t>
      </w:r>
      <w:r>
        <w:rPr>
          <w:color w:val="09357D"/>
        </w:rPr>
        <w:t>culty’s/Staff’s Experiences with</w:t>
      </w:r>
      <w:r>
        <w:rPr>
          <w:color w:val="09357D"/>
          <w:spacing w:val="-14"/>
        </w:rPr>
        <w:t> </w:t>
      </w:r>
      <w:r>
        <w:rPr>
          <w:color w:val="09357D"/>
        </w:rPr>
        <w:t>Work-Related Sexual Misconduct and Workplace</w:t>
      </w:r>
      <w:r>
        <w:rPr>
          <w:color w:val="09357D"/>
          <w:spacing w:val="-6"/>
        </w:rPr>
        <w:t> </w:t>
      </w:r>
      <w:r>
        <w:rPr>
          <w:color w:val="09357D"/>
        </w:rPr>
        <w:t>Incivility</w:t>
      </w:r>
    </w:p>
    <w:p>
      <w:pPr>
        <w:pStyle w:val="BodyText"/>
        <w:spacing w:line="333" w:lineRule="auto" w:before="222"/>
        <w:ind w:left="180" w:right="1510" w:firstLine="720"/>
      </w:pPr>
      <w:r>
        <w:rPr/>
        <w:t>Note that faculty/staff were not asked about their experiences with relationship violence, stalking, or sexual assault. They were, however, asked about their perceptions of the climate and work related to RVSM.</w:t>
      </w:r>
    </w:p>
    <w:p>
      <w:pPr>
        <w:pStyle w:val="Heading3"/>
        <w:numPr>
          <w:ilvl w:val="1"/>
          <w:numId w:val="4"/>
        </w:numPr>
        <w:tabs>
          <w:tab w:pos="1043" w:val="left" w:leader="none"/>
          <w:tab w:pos="1044" w:val="left" w:leader="none"/>
        </w:tabs>
        <w:spacing w:line="240" w:lineRule="auto" w:before="172" w:after="0"/>
        <w:ind w:left="1043" w:right="0" w:hanging="864"/>
        <w:jc w:val="left"/>
      </w:pPr>
      <w:bookmarkStart w:name="_TOC_250003" w:id="37"/>
      <w:bookmarkStart w:name="3.1 Work-Related Sexual Harassment" w:id="38"/>
      <w:r>
        <w:rPr>
          <w:b w:val="0"/>
        </w:rPr>
      </w:r>
      <w:bookmarkEnd w:id="38"/>
      <w:bookmarkStart w:name="3.1 Work-Related Sexual Harassment" w:id="39"/>
      <w:r>
        <w:rPr>
          <w:color w:val="09357D"/>
        </w:rPr>
        <w:t>W</w:t>
      </w:r>
      <w:r>
        <w:rPr>
          <w:color w:val="09357D"/>
        </w:rPr>
        <w:t>ork-Related Sexual</w:t>
      </w:r>
      <w:r>
        <w:rPr>
          <w:color w:val="09357D"/>
          <w:spacing w:val="-4"/>
        </w:rPr>
        <w:t> </w:t>
      </w:r>
      <w:bookmarkEnd w:id="37"/>
      <w:r>
        <w:rPr>
          <w:color w:val="09357D"/>
        </w:rPr>
        <w:t>Harassment</w:t>
      </w:r>
    </w:p>
    <w:p>
      <w:pPr>
        <w:pStyle w:val="BodyText"/>
        <w:spacing w:line="333" w:lineRule="auto" w:before="229"/>
        <w:ind w:left="180" w:right="1479" w:firstLine="720"/>
      </w:pPr>
      <w:r>
        <w:rPr/>
        <w:t>Faculty and staff members’ experiences with work-related sexual harassment are shown in Figure 29. Respondents were asked to indicate whether they had experienced the behaviors shown while they were working or doing any activity associated with their work at MSU, as well as whether an MSU coworker, supervisor, student, or anyone else they had contact with as part of their role as an MSU employee had behaved this way to</w:t>
      </w:r>
      <w:r>
        <w:rPr>
          <w:spacing w:val="-1"/>
        </w:rPr>
        <w:t> </w:t>
      </w:r>
      <w:r>
        <w:rPr/>
        <w:t>them.</w:t>
      </w:r>
    </w:p>
    <w:p>
      <w:pPr>
        <w:pStyle w:val="Heading5"/>
        <w:spacing w:line="242" w:lineRule="auto" w:before="93"/>
        <w:ind w:right="1575"/>
      </w:pPr>
      <w:r>
        <w:rPr/>
        <w:pict>
          <v:group style="position:absolute;margin-left:73.199997pt;margin-top:30.829876pt;width:463.6pt;height:338pt;mso-position-horizontal-relative:page;mso-position-vertical-relative:paragraph;z-index:-251593728;mso-wrap-distance-left:0;mso-wrap-distance-right:0" coordorigin="1464,617" coordsize="9272,6760">
            <v:line style="position:absolute" from="1472,621" to="10728,621" stroked="true" strokeweight=".4pt" strokecolor="#a4a4a4">
              <v:stroke dashstyle="solid"/>
            </v:line>
            <v:line style="position:absolute" from="1472,7373" to="10728,7373" stroked="true" strokeweight=".4pt" strokecolor="#a4a4a4">
              <v:stroke dashstyle="solid"/>
            </v:line>
            <v:line style="position:absolute" from="1468,617" to="1468,7377" stroked="true" strokeweight=".4pt" strokecolor="#a4a4a4">
              <v:stroke dashstyle="solid"/>
            </v:line>
            <v:line style="position:absolute" from="10732,617" to="10732,7377" stroked="true" strokeweight=".4pt" strokecolor="#a4a4a4">
              <v:stroke dashstyle="solid"/>
            </v:line>
            <v:shape style="position:absolute;left:1724;top:704;width:8957;height:6583" type="#_x0000_t75" alt="See Notes for information on an accessible version of this figure. " stroked="false">
              <v:imagedata r:id="rId98" o:title=""/>
            </v:shape>
            <w10:wrap type="topAndBottom"/>
          </v:group>
        </w:pict>
      </w:r>
      <w:r>
        <w:rPr/>
        <w:t>Figure 29. Prevalence of Types of Work-Related Sexual Harassment Among Faculty/Staff, 2021–2022</w:t>
      </w:r>
    </w:p>
    <w:p>
      <w:pPr>
        <w:spacing w:line="240" w:lineRule="auto" w:before="26"/>
        <w:ind w:left="368" w:right="1426" w:hanging="189"/>
        <w:jc w:val="left"/>
        <w:rPr>
          <w:sz w:val="18"/>
        </w:rPr>
      </w:pPr>
      <w:r>
        <w:rPr>
          <w:sz w:val="18"/>
        </w:rPr>
        <w:t>Notes: Percentages are of faculty and staff. ! Estimate is considered not statistically reliable because it is either based on fewer than 10 people or has a relative standard error greater than 30%. All statistically unreliable percentages in this figure were &lt;1 and thus too small to be displayed. For an accessible version of the information shown in this figure, see </w:t>
      </w:r>
      <w:hyperlink r:id="rId22">
        <w:r>
          <w:rPr>
            <w:color w:val="1F419A"/>
            <w:sz w:val="18"/>
            <w:u w:val="single" w:color="1F419A"/>
          </w:rPr>
          <w:t>Appendix Table E-4</w:t>
        </w:r>
      </w:hyperlink>
      <w:r>
        <w:rPr>
          <w:sz w:val="18"/>
        </w:rPr>
        <w:t>.</w:t>
      </w:r>
    </w:p>
    <w:p>
      <w:pPr>
        <w:spacing w:after="0" w:line="240" w:lineRule="auto"/>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579" w:firstLine="720"/>
        <w:rPr>
          <w:sz w:val="12"/>
        </w:rPr>
      </w:pPr>
      <w:r>
        <w:rPr/>
        <w:t>As evident in the figure, cisgender men faculty were the least likely to experience work-related sexual harassment (3.8%), and transgender and/or nonbinary faculty/staff were the most likely to experience work-related sexual harassment (21.5%). The most common types of sexual harassment included someone referring to people of one’s gender in insulting or offensive terms (particularly for cisgender women faculty); someone making inappropriate or offensive comments about the person’s or someone else’s body, appearance, or sexual activities; and someone making sexual remarks or telling jokes or stories that were insulting to the person. No faculty or staff indicated they experienced any quid- pro-quo harassment, such as someone promising them better treatment or implying favors if they engaged in sexual contact (or implying/threatening worse treatment if they refused it).</w:t>
      </w:r>
      <w:r>
        <w:rPr>
          <w:position w:val="5"/>
          <w:sz w:val="12"/>
        </w:rPr>
        <w:t>30</w:t>
      </w:r>
    </w:p>
    <w:p>
      <w:pPr>
        <w:pStyle w:val="BodyText"/>
        <w:spacing w:line="333" w:lineRule="auto" w:before="162"/>
        <w:ind w:left="179" w:right="1421" w:firstLine="720"/>
      </w:pPr>
      <w:r>
        <w:rPr/>
        <w:t>The likelihood of experiencing sexual harassment by additional background characteristics is shown in Figure 30. Because of the large number of statistically imprecise estimates, there are few, if any, clear patterns in terms of whether faculty and staff with certain characteristics are more or less likely to experience work-related sexual harassment. It does seem that cisgender men staff with a documented or diagnosed disability were at increased risk of experiencing work-related sexual harassment.</w:t>
      </w:r>
    </w:p>
    <w:p>
      <w:pPr>
        <w:pStyle w:val="BodyText"/>
        <w:spacing w:line="333" w:lineRule="auto" w:before="162"/>
        <w:ind w:left="179" w:right="1600" w:firstLine="720"/>
      </w:pPr>
      <w:r>
        <w:rPr/>
        <w:t>Details about the impact of the sexual harassment experienced by faculty and staff in the 2021– 2022 academic year are shown in Figure 31. Substantial proportions of faculty and staff (particularly cisgender women and transgender and/or nonbinary faculty and staff) indicated that the experience affected them negatively. Survey participants indicated that their sexual harassment experiences interfered with their ability to do their job or created an intimidating, uncomfortable, or offensive work environment; damaged their relationships with coworkers, supervisors, students, or others they were in contact with for their job at MSU; affected their emotional well-being in a negative way (e.g., increased stress, fear, anxiety, or depression); or hindered their ability to complete their work or do their jobs. A sizeable minority also indicated that they requested a transfer or change of assignment or considered leaving MSU as a result of the experience.</w:t>
      </w:r>
    </w:p>
    <w:p>
      <w:pPr>
        <w:pStyle w:val="BodyText"/>
        <w:spacing w:line="333" w:lineRule="auto" w:before="163"/>
        <w:ind w:left="180" w:right="1511" w:firstLine="720"/>
        <w:rPr>
          <w:sz w:val="12"/>
        </w:rPr>
      </w:pPr>
      <w:r>
        <w:rPr/>
        <w:t>Among faculty and staff, the role of the perpetrator varied (Figure 32). Faculty were most likely to indicate that the person was an MSU professor, instructor, or postdoctoral scholar, but a sizeable percentage indicated that the person was an MSU staff member or administrator. The majority of staff indicated that the person was an MSU staff member or administrator. MSU students appeared to be involved in perpetrating sexual harassment as well, particularly for cisgender women faculty.</w:t>
      </w:r>
      <w:r>
        <w:rPr>
          <w:position w:val="5"/>
          <w:sz w:val="12"/>
        </w:rPr>
        <w:t>31</w:t>
      </w:r>
    </w:p>
    <w:p>
      <w:pPr>
        <w:pStyle w:val="BodyText"/>
        <w:spacing w:line="333" w:lineRule="auto" w:before="162"/>
        <w:ind w:left="180" w:right="1541" w:firstLine="720"/>
      </w:pPr>
      <w:r>
        <w:rPr/>
        <w:t>Analysis of faculty and staff members’ disclosure of sexual harassment experiences (Figure 33) showed that many told a friend, family member, or intimate partner about their experiences. Cisgender women faculty and staff, in particular, often told work colleagues about the experience. Disclosure to any source was less common for cisgender men than cisgender women.</w:t>
      </w:r>
    </w:p>
    <w:p>
      <w:pPr>
        <w:pStyle w:val="BodyText"/>
      </w:pPr>
    </w:p>
    <w:p>
      <w:pPr>
        <w:pStyle w:val="BodyText"/>
      </w:pPr>
    </w:p>
    <w:p>
      <w:pPr>
        <w:pStyle w:val="BodyText"/>
      </w:pPr>
    </w:p>
    <w:p>
      <w:pPr>
        <w:pStyle w:val="BodyText"/>
        <w:spacing w:before="9"/>
        <w:rPr>
          <w:sz w:val="11"/>
        </w:rPr>
      </w:pPr>
      <w:r>
        <w:rPr/>
        <w:pict>
          <v:shape style="position:absolute;margin-left:72pt;margin-top:8.963476pt;width:144pt;height:.1pt;mso-position-horizontal-relative:page;mso-position-vertical-relative:paragraph;z-index:-251592704;mso-wrap-distance-left:0;mso-wrap-distance-right:0" coordorigin="1440,179" coordsize="2880,0" path="m1440,179l4320,179e" filled="false" stroked="true" strokeweight=".4pt" strokecolor="#000000">
            <v:path arrowok="t"/>
            <v:stroke dashstyle="solid"/>
            <w10:wrap type="topAndBottom"/>
          </v:shape>
        </w:pict>
      </w:r>
    </w:p>
    <w:p>
      <w:pPr>
        <w:spacing w:line="240" w:lineRule="auto" w:before="54"/>
        <w:ind w:left="452" w:right="1563" w:hanging="259"/>
        <w:jc w:val="left"/>
        <w:rPr>
          <w:sz w:val="18"/>
        </w:rPr>
      </w:pPr>
      <w:r>
        <w:rPr>
          <w:position w:val="4"/>
          <w:sz w:val="12"/>
        </w:rPr>
        <w:t>30 </w:t>
      </w:r>
      <w:r>
        <w:rPr>
          <w:sz w:val="18"/>
        </w:rPr>
        <w:t>The survey also asked about work-related sexual assault and found that very few MSU faculty or staff had experienced work-related rape or sexual battery during the 2021–2022 academic year. The estimates (which are statistically imprecise) are not discussed further in the report.</w:t>
      </w:r>
    </w:p>
    <w:p>
      <w:pPr>
        <w:spacing w:line="206" w:lineRule="exact" w:before="0"/>
        <w:ind w:left="193" w:right="0" w:firstLine="0"/>
        <w:jc w:val="left"/>
        <w:rPr>
          <w:sz w:val="18"/>
        </w:rPr>
      </w:pPr>
      <w:r>
        <w:rPr>
          <w:position w:val="4"/>
          <w:sz w:val="12"/>
        </w:rPr>
        <w:t>31 </w:t>
      </w:r>
      <w:r>
        <w:rPr>
          <w:sz w:val="18"/>
        </w:rPr>
        <w:t>The estimate for cisgender men faculty was statistically imprecise.</w:t>
      </w:r>
    </w:p>
    <w:p>
      <w:pPr>
        <w:spacing w:after="0" w:line="206" w:lineRule="exact"/>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t>Figure 30. Prevalence of Work-Related Sexual Harassment (2021–2022), by Faculty/Staff Characteristics</w:t>
      </w:r>
    </w:p>
    <w:p>
      <w:pPr>
        <w:pStyle w:val="BodyText"/>
        <w:ind w:left="204"/>
      </w:pPr>
      <w:r>
        <w:rPr/>
        <w:pict>
          <v:group style="width:463.6pt;height:597.2pt;mso-position-horizontal-relative:char;mso-position-vertical-relative:line" coordorigin="0,0" coordsize="9272,11944">
            <v:line style="position:absolute" from="8,4" to="9264,4" stroked="true" strokeweight=".4pt" strokecolor="#a4a4a4">
              <v:stroke dashstyle="solid"/>
            </v:line>
            <v:line style="position:absolute" from="8,11940" to="9264,11940" stroked="true" strokeweight=".4pt" strokecolor="#a4a4a4">
              <v:stroke dashstyle="solid"/>
            </v:line>
            <v:line style="position:absolute" from="4,0" to="4,11944" stroked="true" strokeweight=".4pt" strokecolor="#a4a4a4">
              <v:stroke dashstyle="solid"/>
            </v:line>
            <v:line style="position:absolute" from="9268,0" to="9268,11944" stroked="true" strokeweight=".4pt" strokecolor="#a4a4a4">
              <v:stroke dashstyle="solid"/>
            </v:line>
            <v:shape style="position:absolute;left:408;top:87;width:8496;height:11768" type="#_x0000_t75" alt="See Notes for information on an accessible version of this figure." stroked="false">
              <v:imagedata r:id="rId99" o:title=""/>
            </v:shape>
          </v:group>
        </w:pict>
      </w:r>
      <w:r>
        <w:rPr/>
      </w:r>
    </w:p>
    <w:p>
      <w:pPr>
        <w:spacing w:line="167" w:lineRule="exact" w:before="0"/>
        <w:ind w:left="180" w:right="0" w:firstLine="0"/>
        <w:jc w:val="left"/>
        <w:rPr>
          <w:sz w:val="18"/>
        </w:rPr>
      </w:pPr>
      <w:r>
        <w:rPr>
          <w:sz w:val="18"/>
        </w:rPr>
        <w:t>Notes: Percentages are of faculty and staff. ! Estimate is considered not statistically reliable because it is either based</w:t>
      </w:r>
    </w:p>
    <w:p>
      <w:pPr>
        <w:spacing w:before="1"/>
        <w:ind w:left="368" w:right="2077" w:firstLine="0"/>
        <w:jc w:val="left"/>
        <w:rPr>
          <w:sz w:val="18"/>
        </w:rPr>
      </w:pPr>
      <w:r>
        <w:rPr>
          <w:sz w:val="18"/>
        </w:rPr>
        <w:t>on fewer than 10 people or has a relative standard error greater than 30%. For an accessible version of the information shown in this figure, see </w:t>
      </w:r>
      <w:hyperlink r:id="rId100">
        <w:r>
          <w:rPr>
            <w:color w:val="1F419A"/>
            <w:sz w:val="18"/>
            <w:u w:val="single" w:color="1F419A"/>
          </w:rPr>
          <w:t>Appendix Tables E-5</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204.45pt;mso-position-horizontal-relative:page;mso-position-vertical-relative:paragraph;z-index:-251590656;mso-wrap-distance-left:0;mso-wrap-distance-right:0" coordorigin="1464,390" coordsize="9272,4089">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4474" to="10728,4474" stroked="true" strokeweight=".4pt" strokecolor="#a4a4a4">
              <v:stroke dashstyle="solid"/>
            </v:line>
            <v:line style="position:absolute" from="1468,398" to="1468,4478" stroked="true" strokeweight=".4pt" strokecolor="#a4a4a4">
              <v:stroke dashstyle="solid"/>
            </v:line>
            <v:line style="position:absolute" from="10732,398" to="10732,4478" stroked="true" strokeweight=".4pt" strokecolor="#a4a4a4">
              <v:stroke dashstyle="solid"/>
            </v:line>
            <v:shape style="position:absolute;left:1657;top:475;width:8925;height:3911" type="#_x0000_t75" alt="See Notes for information on an accessible version of this figure." stroked="false">
              <v:imagedata r:id="rId101" o:title=""/>
            </v:shape>
            <w10:wrap type="topAndBottom"/>
          </v:group>
        </w:pict>
      </w:r>
      <w:r>
        <w:rPr/>
        <w:t>Figure 31.  Impact of Work-Related Sexual</w:t>
      </w:r>
      <w:r>
        <w:rPr>
          <w:spacing w:val="-3"/>
        </w:rPr>
        <w:t> </w:t>
      </w:r>
      <w:r>
        <w:rPr/>
        <w:t>Harassment</w:t>
      </w:r>
    </w:p>
    <w:p>
      <w:pPr>
        <w:spacing w:before="22"/>
        <w:ind w:left="367" w:right="1446" w:hanging="188"/>
        <w:jc w:val="left"/>
        <w:rPr>
          <w:sz w:val="18"/>
        </w:rPr>
      </w:pPr>
      <w:r>
        <w:rPr>
          <w:sz w:val="18"/>
        </w:rPr>
        <w:t>Notes: Percentages are of sexual harassment survivors. ! Estimate is considered not statistically reliable because it is either based on fewer than 10 people or has a relative standard error greater than 30%. For an accessible version of the information shown in this figure, see </w:t>
      </w:r>
      <w:hyperlink r:id="rId102">
        <w:r>
          <w:rPr>
            <w:color w:val="1F419A"/>
            <w:sz w:val="18"/>
            <w:u w:val="single" w:color="1F419A"/>
          </w:rPr>
          <w:t>Appendix Table</w:t>
        </w:r>
        <w:r>
          <w:rPr>
            <w:color w:val="1F419A"/>
            <w:spacing w:val="-9"/>
            <w:sz w:val="18"/>
            <w:u w:val="single" w:color="1F419A"/>
          </w:rPr>
          <w:t> </w:t>
        </w:r>
        <w:r>
          <w:rPr>
            <w:color w:val="1F419A"/>
            <w:sz w:val="18"/>
            <w:u w:val="single" w:color="1F419A"/>
          </w:rPr>
          <w:t>E-6</w:t>
        </w:r>
      </w:hyperlink>
      <w:r>
        <w:rPr>
          <w:sz w:val="18"/>
        </w:rPr>
        <w:t>.</w:t>
      </w:r>
    </w:p>
    <w:p>
      <w:pPr>
        <w:pStyle w:val="BodyText"/>
        <w:rPr>
          <w:sz w:val="27"/>
        </w:rPr>
      </w:pPr>
    </w:p>
    <w:p>
      <w:pPr>
        <w:pStyle w:val="Heading5"/>
        <w:ind w:left="180" w:firstLine="0"/>
      </w:pPr>
      <w:r>
        <w:rPr/>
        <w:pict>
          <v:group style="position:absolute;margin-left:73.199997pt;margin-top:19.279882pt;width:463.6pt;height:204.4pt;mso-position-horizontal-relative:page;mso-position-vertical-relative:paragraph;z-index:-251589632;mso-wrap-distance-left:0;mso-wrap-distance-right:0" coordorigin="1464,386" coordsize="9272,4088">
            <v:line style="position:absolute" from="1472,390" to="10728,390" stroked="true" strokeweight=".4pt" strokecolor="#a4a4a4">
              <v:stroke dashstyle="solid"/>
            </v:line>
            <v:line style="position:absolute" from="1472,4470" to="10728,4470" stroked="true" strokeweight=".4pt" strokecolor="#a4a4a4">
              <v:stroke dashstyle="solid"/>
            </v:line>
            <v:line style="position:absolute" from="1468,386" to="1468,4474" stroked="true" strokeweight=".4pt" strokecolor="#a4a4a4">
              <v:stroke dashstyle="solid"/>
            </v:line>
            <v:line style="position:absolute" from="10732,386" to="10732,4474" stroked="true" strokeweight=".4pt" strokecolor="#a4a4a4">
              <v:stroke dashstyle="solid"/>
            </v:line>
            <v:shape style="position:absolute;left:1782;top:467;width:8813;height:3922" type="#_x0000_t75" alt="See Notes for information on an accessible version of this figure." stroked="false">
              <v:imagedata r:id="rId103" o:title=""/>
            </v:shape>
            <w10:wrap type="topAndBottom"/>
          </v:group>
        </w:pict>
      </w:r>
      <w:r>
        <w:rPr/>
        <w:t>Figure 32. Perpetrators of Work-Related Sexual Harassment</w:t>
      </w:r>
    </w:p>
    <w:p>
      <w:pPr>
        <w:spacing w:before="26"/>
        <w:ind w:left="367" w:right="1446" w:hanging="188"/>
        <w:jc w:val="left"/>
        <w:rPr>
          <w:sz w:val="18"/>
        </w:rPr>
      </w:pPr>
      <w:r>
        <w:rPr>
          <w:sz w:val="18"/>
        </w:rPr>
        <w:t>Notes: Percentages are of sexual harassment survivors. ! Estimate is considered not statistically reliable because it is either based on fewer than 10 people or has a relative standard error greater than 30%. For an accessible version of the information shown in this figure, see </w:t>
      </w:r>
      <w:hyperlink r:id="rId102">
        <w:r>
          <w:rPr>
            <w:color w:val="1F419A"/>
            <w:sz w:val="18"/>
            <w:u w:val="single" w:color="1F419A"/>
          </w:rPr>
          <w:t>Appendix Table E-6</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325.850pt;mso-position-horizontal-relative:page;mso-position-vertical-relative:paragraph;z-index:-251588608;mso-wrap-distance-left:0;mso-wrap-distance-right:0" coordorigin="1464,390" coordsize="9272,6517">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6902" to="10728,6902" stroked="true" strokeweight=".4pt" strokecolor="#a4a4a4">
              <v:stroke dashstyle="solid"/>
            </v:line>
            <v:line style="position:absolute" from="1468,398" to="1468,6906" stroked="true" strokeweight=".4pt" strokecolor="#a4a4a4">
              <v:stroke dashstyle="solid"/>
            </v:line>
            <v:line style="position:absolute" from="10732,398" to="10732,6906" stroked="true" strokeweight=".4pt" strokecolor="#a4a4a4">
              <v:stroke dashstyle="solid"/>
            </v:line>
            <v:shape style="position:absolute;left:1784;top:475;width:8828;height:6340" type="#_x0000_t75" alt="See Notes for information on an accessible version of this figure." stroked="false">
              <v:imagedata r:id="rId104" o:title=""/>
            </v:shape>
            <w10:wrap type="topAndBottom"/>
          </v:group>
        </w:pict>
      </w:r>
      <w:r>
        <w:rPr/>
        <w:t>Figure 33. Disclosure of Work-Related Sexual Harassment</w:t>
      </w:r>
    </w:p>
    <w:p>
      <w:pPr>
        <w:spacing w:line="240" w:lineRule="auto" w:before="26"/>
        <w:ind w:left="367" w:right="1446" w:hanging="188"/>
        <w:jc w:val="left"/>
        <w:rPr>
          <w:sz w:val="18"/>
        </w:rPr>
      </w:pPr>
      <w:r>
        <w:rPr>
          <w:sz w:val="18"/>
        </w:rPr>
        <w:t>Notes: Percentages are of sexual harassment survivors. ! Estimate is considered not statistically reliable because it is either based on fewer than 10 people or has a relative standard error greater than 30%. For an accessible version of the information shown in this figure, see </w:t>
      </w:r>
      <w:hyperlink r:id="rId105">
        <w:r>
          <w:rPr>
            <w:color w:val="1F419A"/>
            <w:sz w:val="18"/>
            <w:u w:val="single" w:color="1F419A"/>
          </w:rPr>
          <w:t>Appendix Table E-7</w:t>
        </w:r>
      </w:hyperlink>
      <w:r>
        <w:rPr>
          <w:sz w:val="18"/>
        </w:rPr>
        <w:t>.</w:t>
      </w:r>
    </w:p>
    <w:p>
      <w:pPr>
        <w:pStyle w:val="BodyText"/>
      </w:pPr>
    </w:p>
    <w:p>
      <w:pPr>
        <w:pStyle w:val="BodyText"/>
        <w:spacing w:before="8"/>
      </w:pPr>
    </w:p>
    <w:p>
      <w:pPr>
        <w:pStyle w:val="BodyText"/>
        <w:spacing w:line="333" w:lineRule="auto"/>
        <w:ind w:left="179" w:right="1466" w:firstLine="720"/>
      </w:pPr>
      <w:r>
        <w:rPr/>
        <w:t>Faculty and staff who experienced work-related sexual harassment and did not disclose their experience to a formal source of support were asked a follow-up question about their reasons for not disclosing. The results are shown in Figure 34. For all five faculty-staff groups, survivors did not contact any people or organizations because they did not think their experiences were serious enough to disclose (most common reason endorsed). Cisgender women (both faculty and staff) were also concerned about impacts on their career/job, and about a third of cisgender women faculty indicated being worried about possible retaliation or being concerned they would be treated poorly. Cisgender men faculty expressed not needing any help or assistance or not wanting any action taken. Cisgender women staff also endorsed not needing any help or assistance. About half (52.6%) of transgender and/or nonbinary faculty/staff who did not disclose their experience did so because they feared they would be treated poorly, and 59.8% did not contact any people or organizations because they did not think their experiences were serious enough to disclose. As a reminder, percentages like these can </w:t>
      </w:r>
      <w:r>
        <w:rPr>
          <w:spacing w:val="-3"/>
        </w:rPr>
        <w:t>sum </w:t>
      </w:r>
      <w:r>
        <w:rPr/>
        <w:t>to over 100 because respondents could endorse multiple response</w:t>
      </w:r>
      <w:r>
        <w:rPr>
          <w:spacing w:val="-2"/>
        </w:rPr>
        <w:t> </w:t>
      </w:r>
      <w:r>
        <w:rPr/>
        <w:t>options.</w:t>
      </w:r>
    </w:p>
    <w:p>
      <w:pPr>
        <w:spacing w:after="0" w:line="333" w:lineRule="auto"/>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439.25pt;mso-position-horizontal-relative:page;mso-position-vertical-relative:paragraph;z-index:-251587584;mso-wrap-distance-left:0;mso-wrap-distance-right:0" coordorigin="1464,390" coordsize="9272,8785">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9170" to="10728,9170" stroked="true" strokeweight=".4pt" strokecolor="#a4a4a4">
              <v:stroke dashstyle="solid"/>
            </v:line>
            <v:line style="position:absolute" from="1468,398" to="1468,9174" stroked="true" strokeweight=".4pt" strokecolor="#a4a4a4">
              <v:stroke dashstyle="solid"/>
            </v:line>
            <v:line style="position:absolute" from="10732,398" to="10732,9174" stroked="true" strokeweight=".4pt" strokecolor="#a4a4a4">
              <v:stroke dashstyle="solid"/>
            </v:line>
            <v:shape style="position:absolute;left:1620;top:475;width:9061;height:8604" type="#_x0000_t75" alt="See Notes for information on an accessible version of this figure. " stroked="false">
              <v:imagedata r:id="rId106" o:title=""/>
            </v:shape>
            <w10:wrap type="topAndBottom"/>
          </v:group>
        </w:pict>
      </w:r>
      <w:r>
        <w:rPr/>
        <w:t>Figure 34. Reasons for Not Disclosing Work-Related Sexual Harassment</w:t>
      </w:r>
    </w:p>
    <w:p>
      <w:pPr>
        <w:spacing w:before="26"/>
        <w:ind w:left="368" w:right="1456" w:hanging="189"/>
        <w:jc w:val="left"/>
        <w:rPr>
          <w:sz w:val="18"/>
        </w:rPr>
      </w:pPr>
      <w:r>
        <w:rPr>
          <w:sz w:val="18"/>
        </w:rPr>
        <w:t>Notes: Percentages are of sexual harassment survivors who did not disclose. ! Estimate is considered not statistically reliable because it is either based on fewer than 10 people or has a relative standard error greater than 30%. For an accessible version of the information shown in this figure, see </w:t>
      </w:r>
      <w:hyperlink r:id="rId105">
        <w:r>
          <w:rPr>
            <w:color w:val="1F419A"/>
            <w:sz w:val="18"/>
            <w:u w:val="single" w:color="1F419A"/>
          </w:rPr>
          <w:t>Appendix Table E-7</w:t>
        </w:r>
      </w:hyperlink>
      <w:r>
        <w:rPr>
          <w:sz w:val="18"/>
        </w:rPr>
        <w:t>.</w:t>
      </w:r>
    </w:p>
    <w:p>
      <w:pPr>
        <w:pStyle w:val="BodyText"/>
        <w:spacing w:before="3"/>
        <w:rPr>
          <w:sz w:val="27"/>
        </w:rPr>
      </w:pPr>
    </w:p>
    <w:p>
      <w:pPr>
        <w:pStyle w:val="Heading3"/>
        <w:numPr>
          <w:ilvl w:val="1"/>
          <w:numId w:val="4"/>
        </w:numPr>
        <w:tabs>
          <w:tab w:pos="1043" w:val="left" w:leader="none"/>
          <w:tab w:pos="1044" w:val="left" w:leader="none"/>
        </w:tabs>
        <w:spacing w:line="240" w:lineRule="auto" w:before="90" w:after="0"/>
        <w:ind w:left="1043" w:right="0" w:hanging="864"/>
        <w:jc w:val="left"/>
      </w:pPr>
      <w:bookmarkStart w:name="_TOC_250002" w:id="40"/>
      <w:bookmarkStart w:name="3.2 Workplace Incivility" w:id="41"/>
      <w:r>
        <w:rPr>
          <w:b w:val="0"/>
        </w:rPr>
      </w:r>
      <w:bookmarkEnd w:id="41"/>
      <w:bookmarkStart w:name="3.2 Workplace Incivility" w:id="42"/>
      <w:r>
        <w:rPr>
          <w:color w:val="09357D"/>
        </w:rPr>
        <w:t>W</w:t>
      </w:r>
      <w:r>
        <w:rPr>
          <w:color w:val="09357D"/>
        </w:rPr>
        <w:t>orkplace</w:t>
      </w:r>
      <w:r>
        <w:rPr>
          <w:color w:val="09357D"/>
          <w:spacing w:val="-1"/>
        </w:rPr>
        <w:t> </w:t>
      </w:r>
      <w:bookmarkEnd w:id="40"/>
      <w:r>
        <w:rPr>
          <w:color w:val="09357D"/>
        </w:rPr>
        <w:t>Incivility</w:t>
      </w:r>
    </w:p>
    <w:p>
      <w:pPr>
        <w:pStyle w:val="BodyText"/>
        <w:spacing w:line="333" w:lineRule="auto" w:before="229"/>
        <w:ind w:left="180" w:right="1653" w:firstLine="720"/>
      </w:pPr>
      <w:r>
        <w:rPr/>
        <w:t>The faculty and staff survey also asked about employees’ experiences with workplace incivility and work-related sexual harassment. First, the survey asked survey participants how often they had experienced behaviors that reflect incivility in the workplace (e.g., making insulting or disrespectful remarks, interrupting, paying little attention to their statements or showing little interest in their opinions,</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64"/>
      </w:pPr>
      <w:r>
        <w:rPr/>
        <w:t>making jokes at their expense).</w:t>
      </w:r>
      <w:r>
        <w:rPr>
          <w:position w:val="5"/>
          <w:sz w:val="12"/>
        </w:rPr>
        <w:t>32 </w:t>
      </w:r>
      <w:r>
        <w:rPr/>
        <w:t>The various faculty/staff groups that experienced at least one type of workplace incivility ranged from 61.3% of cisgender men faculty (lowest) to 75.3% of cisgender women faculty (highest). Figure 35 shows the mean workplace incivility scores for the five faculty/staff groups, which can range from 0 to 48, with higher scores reflecting more incivility, as well as the prevalence of specific behaviors that survey participants experienced from any of their supervisors or coworkers. The figure shows the percentage of faculty and staff (by gender identity) who experienced each behavior “often” or “very often” during the 2021–2022 academic year.</w:t>
      </w:r>
      <w:r>
        <w:rPr>
          <w:position w:val="5"/>
          <w:sz w:val="12"/>
        </w:rPr>
        <w:t>33 </w:t>
      </w:r>
      <w:r>
        <w:rPr/>
        <w:t>Additional details are shown in Appendix E.</w:t>
      </w:r>
    </w:p>
    <w:p>
      <w:pPr>
        <w:pStyle w:val="Heading5"/>
        <w:spacing w:line="242" w:lineRule="auto"/>
        <w:ind w:right="1464"/>
      </w:pPr>
      <w:r>
        <w:rPr/>
        <w:pict>
          <v:group style="position:absolute;margin-left:73.199997pt;margin-top:30.878895pt;width:463.6pt;height:352.85pt;mso-position-horizontal-relative:page;mso-position-vertical-relative:paragraph;z-index:-251586560;mso-wrap-distance-left:0;mso-wrap-distance-right:0" coordorigin="1464,618" coordsize="9272,7057">
            <v:line style="position:absolute" from="1472,622" to="10728,622" stroked="true" strokeweight=".401pt" strokecolor="#a4a4a4">
              <v:stroke dashstyle="solid"/>
            </v:line>
            <v:line style="position:absolute" from="1472,7670" to="10728,7670" stroked="true" strokeweight=".4pt" strokecolor="#a4a4a4">
              <v:stroke dashstyle="solid"/>
            </v:line>
            <v:line style="position:absolute" from="1468,618" to="1468,7674" stroked="true" strokeweight=".4pt" strokecolor="#a4a4a4">
              <v:stroke dashstyle="solid"/>
            </v:line>
            <v:line style="position:absolute" from="10732,618" to="10732,7674" stroked="true" strokeweight=".4pt" strokecolor="#a4a4a4">
              <v:stroke dashstyle="solid"/>
            </v:line>
            <v:shape style="position:absolute;left:2384;top:705;width:7579;height:6877" type="#_x0000_t75" alt="See Notes for information on an accessible version of this figure. " stroked="false">
              <v:imagedata r:id="rId107" o:title=""/>
            </v:shape>
            <w10:wrap type="topAndBottom"/>
          </v:group>
        </w:pict>
      </w:r>
      <w:r>
        <w:rPr/>
        <w:t>Figure 35. Mean Workplace Incivility Scores and Prevalence Among Faculty and Staff, 2021–2022 Academic Year</w:t>
      </w:r>
    </w:p>
    <w:p>
      <w:pPr>
        <w:spacing w:before="22"/>
        <w:ind w:left="367" w:right="1487" w:hanging="188"/>
        <w:jc w:val="left"/>
        <w:rPr>
          <w:sz w:val="18"/>
        </w:rPr>
      </w:pPr>
      <w:r>
        <w:rPr>
          <w:sz w:val="18"/>
        </w:rPr>
        <w:t>Notes: Percentages are of those experiencing behaviors “often” or “very often.” ! Estimate is considered not statistically reliable because it is either based on fewer than 10 people or has a relative standard error greater than 30%. For an accessible version of the information shown in this figure, see </w:t>
      </w:r>
      <w:hyperlink r:id="rId108">
        <w:r>
          <w:rPr>
            <w:color w:val="1F419A"/>
            <w:sz w:val="18"/>
            <w:u w:val="single" w:color="1F419A"/>
          </w:rPr>
          <w:t>Appendix Tables E-1a</w:t>
        </w:r>
        <w:r>
          <w:rPr>
            <w:color w:val="1F419A"/>
            <w:sz w:val="18"/>
          </w:rPr>
          <w:t> </w:t>
        </w:r>
      </w:hyperlink>
      <w:r>
        <w:rPr>
          <w:sz w:val="18"/>
        </w:rPr>
        <w:t>through </w:t>
      </w:r>
      <w:hyperlink r:id="rId109">
        <w:r>
          <w:rPr>
            <w:color w:val="1F419A"/>
            <w:sz w:val="18"/>
            <w:u w:val="single" w:color="1F419A"/>
          </w:rPr>
          <w:t>E-1f</w:t>
        </w:r>
      </w:hyperlink>
      <w:r>
        <w:rPr>
          <w:sz w:val="18"/>
        </w:rPr>
        <w:t>.</w:t>
      </w:r>
    </w:p>
    <w:p>
      <w:pPr>
        <w:pStyle w:val="BodyText"/>
      </w:pPr>
    </w:p>
    <w:p>
      <w:pPr>
        <w:pStyle w:val="BodyText"/>
      </w:pPr>
    </w:p>
    <w:p>
      <w:pPr>
        <w:pStyle w:val="BodyText"/>
      </w:pPr>
    </w:p>
    <w:p>
      <w:pPr>
        <w:pStyle w:val="BodyText"/>
        <w:spacing w:before="9"/>
        <w:rPr>
          <w:sz w:val="28"/>
        </w:rPr>
      </w:pPr>
      <w:r>
        <w:rPr/>
        <w:pict>
          <v:shape style="position:absolute;margin-left:72pt;margin-top:18.705566pt;width:144pt;height:.1pt;mso-position-horizontal-relative:page;mso-position-vertical-relative:paragraph;z-index:-251585536;mso-wrap-distance-left:0;mso-wrap-distance-right:0" coordorigin="1440,374" coordsize="2880,0" path="m1440,374l4320,374e" filled="false" stroked="true" strokeweight=".4pt" strokecolor="#000000">
            <v:path arrowok="t"/>
            <v:stroke dashstyle="solid"/>
            <w10:wrap type="topAndBottom"/>
          </v:shape>
        </w:pict>
      </w:r>
    </w:p>
    <w:p>
      <w:pPr>
        <w:spacing w:before="54"/>
        <w:ind w:left="193" w:right="0" w:firstLine="0"/>
        <w:jc w:val="left"/>
        <w:rPr>
          <w:sz w:val="18"/>
        </w:rPr>
      </w:pPr>
      <w:r>
        <w:rPr>
          <w:position w:val="4"/>
          <w:sz w:val="12"/>
        </w:rPr>
        <w:t>32 </w:t>
      </w:r>
      <w:r>
        <w:rPr>
          <w:sz w:val="18"/>
        </w:rPr>
        <w:t>The Workplace Incivility Scale was used. See Cortina, L. M., Kabat-Farr, D., Leskinen, E. A., Huerta, M., &amp; Magley,</w:t>
      </w:r>
    </w:p>
    <w:p>
      <w:pPr>
        <w:pStyle w:val="ListParagraph"/>
        <w:numPr>
          <w:ilvl w:val="0"/>
          <w:numId w:val="11"/>
        </w:numPr>
        <w:tabs>
          <w:tab w:pos="677" w:val="left" w:leader="none"/>
        </w:tabs>
        <w:spacing w:line="240" w:lineRule="auto" w:before="1" w:after="0"/>
        <w:ind w:left="452" w:right="2068" w:firstLine="0"/>
        <w:jc w:val="left"/>
        <w:rPr>
          <w:sz w:val="18"/>
        </w:rPr>
      </w:pPr>
      <w:r>
        <w:rPr>
          <w:sz w:val="18"/>
        </w:rPr>
        <w:t>J. (2013). Selective incivility as modern discrimination in organizations: Evidence and impact. </w:t>
      </w:r>
      <w:r>
        <w:rPr>
          <w:i/>
          <w:sz w:val="18"/>
        </w:rPr>
        <w:t>Journal of </w:t>
      </w:r>
      <w:r>
        <w:rPr>
          <w:i/>
          <w:sz w:val="18"/>
        </w:rPr>
        <w:t>Management,</w:t>
      </w:r>
      <w:r>
        <w:rPr>
          <w:i/>
          <w:spacing w:val="-15"/>
          <w:sz w:val="18"/>
        </w:rPr>
        <w:t> </w:t>
      </w:r>
      <w:r>
        <w:rPr>
          <w:i/>
          <w:sz w:val="18"/>
        </w:rPr>
        <w:t>39</w:t>
      </w:r>
      <w:r>
        <w:rPr>
          <w:sz w:val="18"/>
        </w:rPr>
        <w:t>(6),</w:t>
      </w:r>
      <w:r>
        <w:rPr>
          <w:spacing w:val="-14"/>
          <w:sz w:val="18"/>
        </w:rPr>
        <w:t> </w:t>
      </w:r>
      <w:r>
        <w:rPr>
          <w:sz w:val="18"/>
        </w:rPr>
        <w:t>1579–1605.</w:t>
      </w:r>
      <w:r>
        <w:rPr>
          <w:color w:val="1F419A"/>
          <w:spacing w:val="-14"/>
          <w:sz w:val="18"/>
        </w:rPr>
        <w:t> </w:t>
      </w:r>
      <w:hyperlink r:id="rId97">
        <w:r>
          <w:rPr>
            <w:color w:val="1F419A"/>
            <w:sz w:val="18"/>
            <w:u w:val="single" w:color="1F419A"/>
          </w:rPr>
          <w:t>https://doi.org/10.1177/0149206311418835</w:t>
        </w:r>
        <w:r>
          <w:rPr>
            <w:color w:val="1F419A"/>
            <w:sz w:val="18"/>
          </w:rPr>
          <w:t> </w:t>
        </w:r>
        <w:r>
          <w:rPr>
            <w:color w:val="1F419A"/>
            <w:spacing w:val="-3"/>
            <w:sz w:val="18"/>
          </w:rPr>
        </w:r>
      </w:hyperlink>
      <w:r>
        <w:rPr>
          <w:color w:val="1F419A"/>
          <w:spacing w:val="-3"/>
          <w:sz w:val="18"/>
        </w:rPr>
        <w:drawing>
          <wp:inline distT="0" distB="0" distL="0" distR="0">
            <wp:extent cx="100329" cy="100329"/>
            <wp:effectExtent l="0" t="0" r="0" b="0"/>
            <wp:docPr id="11" name="image5.png"/>
            <wp:cNvGraphicFramePr>
              <a:graphicFrameLocks noChangeAspect="1"/>
            </wp:cNvGraphicFramePr>
            <a:graphic>
              <a:graphicData uri="http://schemas.openxmlformats.org/drawingml/2006/picture">
                <pic:pic>
                  <pic:nvPicPr>
                    <pic:cNvPr id="12"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line="240" w:lineRule="auto" w:before="2"/>
        <w:ind w:left="452" w:right="1514" w:hanging="259"/>
        <w:jc w:val="left"/>
        <w:rPr>
          <w:sz w:val="18"/>
        </w:rPr>
      </w:pPr>
      <w:r>
        <w:rPr>
          <w:position w:val="4"/>
          <w:sz w:val="12"/>
        </w:rPr>
        <w:t>33 </w:t>
      </w:r>
      <w:r>
        <w:rPr>
          <w:sz w:val="18"/>
        </w:rPr>
        <w:t>Responses were limited to the 2021–2022 academic year as opposed to an extended reference period to allow for a benchmark estimate against which improvements (or deteriorations) over time could be assessed in a subsequent climate survey.</w:t>
      </w:r>
    </w:p>
    <w:p>
      <w:pPr>
        <w:spacing w:after="0" w:line="240" w:lineRule="auto"/>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42" w:firstLine="720"/>
      </w:pPr>
      <w:r>
        <w:rPr/>
        <w:t>In all five faculty and staff groups, most common types of workplace incivility were a supervisor or coworker who paid little attention to their statements or showed little interest in their opinions, who doubted their judgment on a matter for which they were responsible, and who interrupted or spoke over them. As evident from the figure, there is some variation in the frequency of workplace incivility: cisgender women faculty and staff and transgender and/or nonbinary faculty/staff experienced more frequent direct workplace incivility than did cisgender men faculty and staff.</w:t>
      </w:r>
    </w:p>
    <w:p>
      <w:pPr>
        <w:pStyle w:val="BodyText"/>
        <w:spacing w:line="333" w:lineRule="auto" w:before="161"/>
        <w:ind w:left="180" w:right="1463" w:firstLine="720"/>
      </w:pPr>
      <w:r>
        <w:rPr/>
        <w:t>Survey participants who experienced any type of workplace incivility were asked whether they thought they experienced the mistreatment because of their age, gender identity, race or ethnicity, religious/spiritual views, sexual orientation, socioeconomic status, disability status, or any combination of these (Figure 36). Cisgender women faculty were far more likely to perceive that the incivility was gender related (43.1% felt that their experiences were because of their gender identity) than the other groups; only 2.8% of cisgender men staff felt that the incivility they experienced was gender related, and 20.9% of cisgender women staff and 37.9% of transgender and/or nonbinary faculty/staff felt this way.</w:t>
      </w:r>
    </w:p>
    <w:p>
      <w:pPr>
        <w:pStyle w:val="BodyText"/>
        <w:spacing w:line="333" w:lineRule="auto" w:before="3"/>
        <w:ind w:left="179" w:right="1620"/>
      </w:pPr>
      <w:r>
        <w:rPr/>
        <w:t>Respondents in all five groups felt that age was also a fairly common reason for the incivility, and race/ethnicity was perceived to be a factor in incivility for all five groups. Not surprisingly, among Black, Indigenous, and people of color (BIPOC) faculty and staff, workplace incivility based on race or ethnicity was more prevalent than for White faculty and staff. For example, among faculty who had experienced workplace incivility, nearly half of BIPOC cisgender women faculty (46.2%) and almost a third of BIPOC cisgender men faculty (30.4%) perceived that the incivility was based on race or ethnicity, whereas only 3.9% of White cisgender women faculty and 5.9% of White cisgender men faculty had this perception. These estimates for White faculty are, however, not statistically precise.</w:t>
      </w:r>
    </w:p>
    <w:p>
      <w:pPr>
        <w:pStyle w:val="Heading5"/>
        <w:ind w:left="179" w:firstLine="0"/>
      </w:pPr>
      <w:r>
        <w:rPr/>
        <w:pict>
          <v:group style="position:absolute;margin-left:73.199997pt;margin-top:19.479895pt;width:463.6pt;height:209pt;mso-position-horizontal-relative:page;mso-position-vertical-relative:paragraph;z-index:-251584512;mso-wrap-distance-left:0;mso-wrap-distance-right:0" coordorigin="1464,390" coordsize="9272,4180">
            <v:line style="position:absolute" from="1472,394" to="10728,394" stroked="true" strokeweight=".4pt" strokecolor="#a4a4a4">
              <v:stroke dashstyle="solid"/>
            </v:line>
            <v:line style="position:absolute" from="1472,4566" to="10728,4566" stroked="true" strokeweight=".4pt" strokecolor="#a4a4a4">
              <v:stroke dashstyle="solid"/>
            </v:line>
            <v:line style="position:absolute" from="1468,390" to="1468,4570" stroked="true" strokeweight=".4pt" strokecolor="#a4a4a4">
              <v:stroke dashstyle="solid"/>
            </v:line>
            <v:line style="position:absolute" from="10732,390" to="10732,4570" stroked="true" strokeweight=".4pt" strokecolor="#a4a4a4">
              <v:stroke dashstyle="solid"/>
            </v:line>
            <v:shape style="position:absolute;left:1672;top:475;width:9047;height:4003" type="#_x0000_t75" alt="See Notes for information on an accessible version of this figure. " stroked="false">
              <v:imagedata r:id="rId110" o:title=""/>
            </v:shape>
            <w10:wrap type="topAndBottom"/>
          </v:group>
        </w:pict>
      </w:r>
      <w:r>
        <w:rPr/>
        <w:t>Figure 36. Identity-Based Workplace Incivility</w:t>
      </w:r>
    </w:p>
    <w:p>
      <w:pPr>
        <w:spacing w:before="22"/>
        <w:ind w:left="368" w:right="1437" w:hanging="189"/>
        <w:jc w:val="left"/>
        <w:rPr>
          <w:sz w:val="18"/>
        </w:rPr>
      </w:pPr>
      <w:r>
        <w:rPr>
          <w:sz w:val="18"/>
        </w:rPr>
        <w:t>Notes: Percentages are of faculty/staff attributing incivility they experienced to various characteristics. ! Estimate is considered not statistically reliable because it is either based on fewer than 10 people or has a relative standard error greater than 30%. For an accessible version of the information shown in this figure, see </w:t>
      </w:r>
      <w:hyperlink r:id="rId111">
        <w:r>
          <w:rPr>
            <w:color w:val="1F419A"/>
            <w:sz w:val="18"/>
            <w:u w:val="single" w:color="1F419A"/>
          </w:rPr>
          <w:t>Appendix Table E-2a</w:t>
        </w:r>
      </w:hyperlink>
      <w:r>
        <w:rPr>
          <w:sz w:val="18"/>
        </w:rPr>
        <w:t>.</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533" w:firstLine="720"/>
      </w:pPr>
      <w:r>
        <w:rPr/>
        <w:t>The mean workplace incivility score for transgender or nonbinary faculty/staff who completed the survey (8.9) was higher than the mean score for the other four groups. Cisgender women faculty (6.2) and cisgender women staff (5.9) had the next highest scores. Scores for cisgender men staff and cisgender men faculty were 5.3 and 4.6, respectively. As was the case with the student data, these results suggest the importance of understanding more about the experiences of transgender and/or nonbinary faculty/staff and ensuring that services are in place to adequately support them.</w:t>
      </w:r>
    </w:p>
    <w:p>
      <w:pPr>
        <w:pStyle w:val="BodyText"/>
        <w:spacing w:line="333" w:lineRule="auto" w:before="161"/>
        <w:ind w:left="180" w:right="1519" w:firstLine="720"/>
      </w:pPr>
      <w:r>
        <w:rPr/>
        <w:t>The survey also explored additional variation in direct experiences of workplace incivility for the five faculty/staff groups in order to better understand differences by age, race/ethnicity, educational attainment, years of service, campus location, sexual orientation, gender identity, disability status, and, for faculty, faculty rank. Key highlights from these analyses are shown in Figure 37. The figure shows the mean workplace incivility score for key subgroups; the scores, which range from 0 to 48, reflect the frequency with which employees experienced the various types of workplace incivility (higher values reflect a greater frequency of workplace incivility). The most consistent finding is that among all groups, faculty/staff with a diagnosed or documented disability experienced higher levels of workplace incivility. It also seems there is an inverse relationship between experiencing incivility and age, such that younger faculty and staff seem to be more likely to experience workplace incivility. Other patterns depend on the faculty/staff subgroup.</w:t>
      </w:r>
    </w:p>
    <w:p>
      <w:pPr>
        <w:pStyle w:val="ListParagraph"/>
        <w:numPr>
          <w:ilvl w:val="1"/>
          <w:numId w:val="11"/>
        </w:numPr>
        <w:tabs>
          <w:tab w:pos="1260" w:val="left" w:leader="none"/>
        </w:tabs>
        <w:spacing w:line="240" w:lineRule="auto" w:before="96" w:after="0"/>
        <w:ind w:left="1260" w:right="1835" w:hanging="360"/>
        <w:jc w:val="both"/>
        <w:rPr>
          <w:sz w:val="20"/>
        </w:rPr>
      </w:pPr>
      <w:r>
        <w:rPr>
          <w:sz w:val="20"/>
        </w:rPr>
        <w:t>Among cisgender women faculty, those who identified as lesbian, bisexual, pansexual, or queer; were White, multiracial,</w:t>
      </w:r>
      <w:r>
        <w:rPr>
          <w:position w:val="5"/>
          <w:sz w:val="12"/>
        </w:rPr>
        <w:t>34 </w:t>
      </w:r>
      <w:r>
        <w:rPr>
          <w:sz w:val="20"/>
        </w:rPr>
        <w:t>or Hispanic; or were in the associate professor role were more likely to experience workplace</w:t>
      </w:r>
      <w:r>
        <w:rPr>
          <w:spacing w:val="-2"/>
          <w:sz w:val="20"/>
        </w:rPr>
        <w:t> </w:t>
      </w:r>
      <w:r>
        <w:rPr>
          <w:sz w:val="20"/>
        </w:rPr>
        <w:t>incivility.</w:t>
      </w:r>
    </w:p>
    <w:p>
      <w:pPr>
        <w:pStyle w:val="ListParagraph"/>
        <w:numPr>
          <w:ilvl w:val="1"/>
          <w:numId w:val="11"/>
        </w:numPr>
        <w:tabs>
          <w:tab w:pos="1259" w:val="left" w:leader="none"/>
          <w:tab w:pos="1260" w:val="left" w:leader="none"/>
        </w:tabs>
        <w:spacing w:line="240" w:lineRule="auto" w:before="82" w:after="0"/>
        <w:ind w:left="1260" w:right="1502" w:hanging="360"/>
        <w:jc w:val="left"/>
        <w:rPr>
          <w:sz w:val="20"/>
        </w:rPr>
      </w:pPr>
      <w:r>
        <w:rPr>
          <w:sz w:val="20"/>
        </w:rPr>
        <w:t>Among cisgender men faculty, those who had more years of service; were Black or Hispanic; or were in the associate professor, full professor, or academic specialist roles were more likely to experience workplace</w:t>
      </w:r>
      <w:r>
        <w:rPr>
          <w:spacing w:val="2"/>
          <w:sz w:val="20"/>
        </w:rPr>
        <w:t> </w:t>
      </w:r>
      <w:r>
        <w:rPr>
          <w:sz w:val="20"/>
        </w:rPr>
        <w:t>incivility.</w:t>
      </w:r>
    </w:p>
    <w:p>
      <w:pPr>
        <w:pStyle w:val="ListParagraph"/>
        <w:numPr>
          <w:ilvl w:val="1"/>
          <w:numId w:val="11"/>
        </w:numPr>
        <w:tabs>
          <w:tab w:pos="1259" w:val="left" w:leader="none"/>
          <w:tab w:pos="1260" w:val="left" w:leader="none"/>
        </w:tabs>
        <w:spacing w:line="240" w:lineRule="auto" w:before="78" w:after="0"/>
        <w:ind w:left="1260" w:right="1542" w:hanging="360"/>
        <w:jc w:val="left"/>
        <w:rPr>
          <w:sz w:val="20"/>
        </w:rPr>
      </w:pPr>
      <w:r>
        <w:rPr>
          <w:sz w:val="20"/>
        </w:rPr>
        <w:t>Among cisgender women staff, those who were White, Hispanic, or more than one race; had bachelor’s or master’s degrees; or identified as lesbian, bisexual, pansexual, asexual, or queer were more likely to experience workplace</w:t>
      </w:r>
      <w:r>
        <w:rPr>
          <w:spacing w:val="-2"/>
          <w:sz w:val="20"/>
        </w:rPr>
        <w:t> </w:t>
      </w:r>
      <w:r>
        <w:rPr>
          <w:sz w:val="20"/>
        </w:rPr>
        <w:t>incivility.</w:t>
      </w:r>
    </w:p>
    <w:p>
      <w:pPr>
        <w:pStyle w:val="ListParagraph"/>
        <w:numPr>
          <w:ilvl w:val="1"/>
          <w:numId w:val="11"/>
        </w:numPr>
        <w:tabs>
          <w:tab w:pos="1259" w:val="left" w:leader="none"/>
          <w:tab w:pos="1260" w:val="left" w:leader="none"/>
        </w:tabs>
        <w:spacing w:line="240" w:lineRule="auto" w:before="82" w:after="0"/>
        <w:ind w:left="1260" w:right="1578" w:hanging="360"/>
        <w:jc w:val="left"/>
        <w:rPr>
          <w:sz w:val="20"/>
        </w:rPr>
      </w:pPr>
      <w:r>
        <w:rPr>
          <w:sz w:val="20"/>
        </w:rPr>
        <w:t>Among cisgender men staff, those who were younger; White; did not have a bachelor’s degree; worked on the main campus; or identified as bisexual or pansexual were more likely to experience workplace</w:t>
      </w:r>
      <w:r>
        <w:rPr>
          <w:spacing w:val="2"/>
          <w:sz w:val="20"/>
        </w:rPr>
        <w:t> </w:t>
      </w:r>
      <w:r>
        <w:rPr>
          <w:sz w:val="20"/>
        </w:rPr>
        <w:t>incivility.</w:t>
      </w:r>
    </w:p>
    <w:p>
      <w:pPr>
        <w:pStyle w:val="ListParagraph"/>
        <w:numPr>
          <w:ilvl w:val="1"/>
          <w:numId w:val="11"/>
        </w:numPr>
        <w:tabs>
          <w:tab w:pos="1259" w:val="left" w:leader="none"/>
          <w:tab w:pos="1260" w:val="left" w:leader="none"/>
        </w:tabs>
        <w:spacing w:line="242" w:lineRule="auto" w:before="78" w:after="0"/>
        <w:ind w:left="1260" w:right="1523" w:hanging="360"/>
        <w:jc w:val="left"/>
        <w:rPr>
          <w:sz w:val="20"/>
        </w:rPr>
      </w:pPr>
      <w:r>
        <w:rPr>
          <w:sz w:val="20"/>
        </w:rPr>
        <w:t>Among transgender and/or nonbinary faculty/staff, those who identified as gay or queer were more likely to experience workplace</w:t>
      </w:r>
      <w:r>
        <w:rPr>
          <w:spacing w:val="-2"/>
          <w:sz w:val="20"/>
        </w:rPr>
        <w:t> </w:t>
      </w:r>
      <w:r>
        <w:rPr>
          <w:sz w:val="20"/>
        </w:rPr>
        <w:t>incivility.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pPr>
      <w:r>
        <w:rPr/>
        <w:pict>
          <v:shape style="position:absolute;margin-left:72pt;margin-top:13.793738pt;width:144pt;height:.1pt;mso-position-horizontal-relative:page;mso-position-vertical-relative:paragraph;z-index:-251583488;mso-wrap-distance-left:0;mso-wrap-distance-right:0" coordorigin="1440,276" coordsize="2880,0" path="m1440,276l4320,276e" filled="false" stroked="true" strokeweight=".401pt" strokecolor="#000000">
            <v:path arrowok="t"/>
            <v:stroke dashstyle="solid"/>
            <w10:wrap type="topAndBottom"/>
          </v:shape>
        </w:pict>
      </w:r>
    </w:p>
    <w:p>
      <w:pPr>
        <w:spacing w:line="240" w:lineRule="auto" w:before="58"/>
        <w:ind w:left="451" w:right="1424" w:hanging="273"/>
        <w:jc w:val="left"/>
        <w:rPr>
          <w:sz w:val="18"/>
        </w:rPr>
      </w:pPr>
      <w:r>
        <w:rPr>
          <w:position w:val="2"/>
          <w:sz w:val="12"/>
        </w:rPr>
        <w:t>34 </w:t>
      </w:r>
      <w:r>
        <w:rPr>
          <w:sz w:val="18"/>
        </w:rPr>
        <w:t>As noted in Table 4, among faculty who selected more than one race, the most common pattern was American Indian/Alaska Native and white. Among staff, it was black and white, Asian and white, and American Indian/Alaska Native and white.</w:t>
      </w:r>
    </w:p>
    <w:p>
      <w:pPr>
        <w:spacing w:after="0" w:line="240" w:lineRule="auto"/>
        <w:jc w:val="left"/>
        <w:rPr>
          <w:sz w:val="18"/>
        </w:rPr>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586.85pt;mso-position-horizontal-relative:page;mso-position-vertical-relative:paragraph;z-index:-251582464;mso-wrap-distance-left:0;mso-wrap-distance-right:0" coordorigin="1464,390" coordsize="9272,11737">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12122" to="10728,12122" stroked="true" strokeweight=".4pt" strokecolor="#a4a4a4">
              <v:stroke dashstyle="solid"/>
            </v:line>
            <v:line style="position:absolute" from="1468,398" to="1468,12126" stroked="true" strokeweight=".4pt" strokecolor="#a4a4a4">
              <v:stroke dashstyle="solid"/>
            </v:line>
            <v:line style="position:absolute" from="10732,398" to="10732,12126" stroked="true" strokeweight=".4pt" strokecolor="#a4a4a4">
              <v:stroke dashstyle="solid"/>
            </v:line>
            <v:shape style="position:absolute;left:1944;top:475;width:8352;height:11562" type="#_x0000_t75" alt="See Notes for information on an accessible version of this figure." stroked="false">
              <v:imagedata r:id="rId112" o:title=""/>
            </v:shape>
            <w10:wrap type="topAndBottom"/>
          </v:group>
        </w:pict>
      </w:r>
      <w:r>
        <w:rPr/>
        <w:t>Figure 37. Prevalence of Workplace Incivility, by Faculty/Staff Characteristics, 2021–2022</w:t>
      </w:r>
    </w:p>
    <w:p>
      <w:pPr>
        <w:spacing w:before="26"/>
        <w:ind w:left="368" w:right="1526" w:hanging="189"/>
        <w:jc w:val="left"/>
        <w:rPr>
          <w:sz w:val="18"/>
        </w:rPr>
      </w:pPr>
      <w:r>
        <w:rPr>
          <w:sz w:val="18"/>
        </w:rPr>
        <w:t>Notes: Percentages are of faculty/staff. ! Estimate is considered not statistically reliable because it is either based on fewer than 10 people or has a relative standard error greater than 30%. All statistically unreliable percentages in this figure were &lt;1 and thus too small to be displayed. For an accessible version of the information shown in this figure, see </w:t>
      </w:r>
      <w:hyperlink r:id="rId113">
        <w:r>
          <w:rPr>
            <w:color w:val="1F419A"/>
            <w:sz w:val="18"/>
            <w:u w:val="single" w:color="1F419A"/>
          </w:rPr>
          <w:t>Appendix Table E-3a</w:t>
        </w:r>
      </w:hyperlink>
      <w:r>
        <w:rPr>
          <w:sz w:val="18"/>
        </w:rPr>
        <w:t>.</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74" w:firstLine="720"/>
      </w:pPr>
      <w:r>
        <w:rPr/>
        <w:t>The survey also asked about participants’ </w:t>
      </w:r>
      <w:r>
        <w:rPr>
          <w:i/>
        </w:rPr>
        <w:t>indirect </w:t>
      </w:r>
      <w:r>
        <w:rPr/>
        <w:t>experiences with the same types of workplace incivility. These are situations in which they observed their supervisors or coworkers mistreating their coworkers.</w:t>
      </w:r>
      <w:r>
        <w:rPr>
          <w:position w:val="5"/>
          <w:sz w:val="12"/>
        </w:rPr>
        <w:t>35 </w:t>
      </w:r>
      <w:r>
        <w:rPr/>
        <w:t>Indirect experiences were indicated with slightly less frequency than direct experiences, but the same types of behaviors were most commonly observed (i.e., a supervisor or coworker paid little attention to their statements or showed little interest in their opinions, interrupted or spoke over them, and doubted their judgment on a matter for which they were responsible). Cisgender women and transgender and/or nonbinary faculty and staff observed uncivil behaviors happening to their coworkers more frequently than cisgender men faculty and staff.</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9"/>
        </w:rPr>
      </w:pPr>
      <w:r>
        <w:rPr/>
        <w:pict>
          <v:shape style="position:absolute;margin-left:72pt;margin-top:13.142627pt;width:144pt;height:.1pt;mso-position-horizontal-relative:page;mso-position-vertical-relative:paragraph;z-index:-251581440;mso-wrap-distance-left:0;mso-wrap-distance-right:0" coordorigin="1440,263" coordsize="2880,0" path="m1440,263l4320,263e" filled="false" stroked="true" strokeweight=".4pt" strokecolor="#000000">
            <v:path arrowok="t"/>
            <v:stroke dashstyle="solid"/>
            <w10:wrap type="topAndBottom"/>
          </v:shape>
        </w:pict>
      </w:r>
    </w:p>
    <w:p>
      <w:pPr>
        <w:spacing w:before="54"/>
        <w:ind w:left="452" w:right="1575" w:hanging="242"/>
        <w:jc w:val="left"/>
        <w:rPr>
          <w:sz w:val="18"/>
        </w:rPr>
      </w:pPr>
      <w:r>
        <w:rPr>
          <w:position w:val="2"/>
          <w:sz w:val="12"/>
        </w:rPr>
        <w:t>35 </w:t>
      </w:r>
      <w:r>
        <w:rPr>
          <w:sz w:val="18"/>
        </w:rPr>
        <w:t>This series of questions used the same Workplace Incivility Scale as for direct experiences (Cortina et al., 2013), but it was modified to ask about things that happened to their coworkers.</w:t>
      </w:r>
    </w:p>
    <w:p>
      <w:pPr>
        <w:spacing w:after="0"/>
        <w:jc w:val="left"/>
        <w:rPr>
          <w:sz w:val="18"/>
        </w:rPr>
        <w:sectPr>
          <w:pgSz w:w="12240" w:h="15840"/>
          <w:pgMar w:header="0" w:footer="592" w:top="1120" w:bottom="780" w:left="1260" w:right="0"/>
        </w:sectPr>
      </w:pPr>
    </w:p>
    <w:p>
      <w:pPr>
        <w:pStyle w:val="Heading2"/>
        <w:numPr>
          <w:ilvl w:val="0"/>
          <w:numId w:val="4"/>
        </w:numPr>
        <w:tabs>
          <w:tab w:pos="1043" w:val="left" w:leader="none"/>
          <w:tab w:pos="1044" w:val="left" w:leader="none"/>
        </w:tabs>
        <w:spacing w:line="237" w:lineRule="auto" w:before="81" w:after="0"/>
        <w:ind w:left="1043" w:right="2853" w:hanging="864"/>
        <w:jc w:val="left"/>
      </w:pPr>
      <w:r>
        <w:rPr/>
        <w:pict>
          <v:group style="position:absolute;margin-left:0pt;margin-top:757pt;width:612pt;height:.4pt;mso-position-horizontal-relative:page;mso-position-vertical-relative:page;z-index:251737088" coordorigin="0,15140" coordsize="12240,8">
            <v:line style="position:absolute" from="0,15144" to="1348,15144" stroked="true" strokeweight=".4pt" strokecolor="#09357d">
              <v:stroke dashstyle="solid"/>
            </v:line>
            <v:rect style="position:absolute;left:1348;top:15140;width:8;height:8" filled="true" fillcolor="#09357d" stroked="false">
              <v:fill type="solid"/>
            </v:rect>
            <v:line style="position:absolute" from="1356,15144" to="8460,15144" stroked="true" strokeweight=".4pt" strokecolor="#09357d">
              <v:stroke dashstyle="solid"/>
            </v:line>
            <v:rect style="position:absolute;left:8460;top:15140;width:8;height:8" filled="true" fillcolor="#09357d" stroked="false">
              <v:fill type="solid"/>
            </v:rect>
            <v:line style="position:absolute" from="8468,15144" to="9720,15144" stroked="true" strokeweight=".4pt" strokecolor="#09357d">
              <v:stroke dashstyle="solid"/>
            </v:line>
            <v:rect style="position:absolute;left:9720;top:15140;width:8;height:8" filled="true" fillcolor="#09357d" stroked="false">
              <v:fill type="solid"/>
            </v:rect>
            <v:line style="position:absolute" from="9728,15144" to="10892,15144" stroked="true" strokeweight=".4pt" strokecolor="#09357d">
              <v:stroke dashstyle="solid"/>
            </v:line>
            <v:rect style="position:absolute;left:10892;top:15140;width:9;height:8" filled="true" fillcolor="#0f52c1" stroked="false">
              <v:fill type="solid"/>
            </v:rect>
            <v:line style="position:absolute" from="10900,15144" to="12240,15144" stroked="true" strokeweight=".4pt" strokecolor="#0f52c1">
              <v:stroke dashstyle="solid"/>
            </v:line>
            <w10:wrap type="none"/>
          </v:group>
        </w:pict>
      </w:r>
      <w:bookmarkStart w:name="_TOC_250001" w:id="43"/>
      <w:bookmarkStart w:name="4. Perceptions of Climate and Awareness " w:id="44"/>
      <w:r>
        <w:rPr>
          <w:b w:val="0"/>
        </w:rPr>
      </w:r>
      <w:bookmarkEnd w:id="44"/>
      <w:bookmarkStart w:name="4. Perceptions of Climate and Awareness " w:id="45"/>
      <w:r>
        <w:rPr>
          <w:color w:val="09357D"/>
        </w:rPr>
        <w:t>P</w:t>
      </w:r>
      <w:bookmarkEnd w:id="43"/>
      <w:r>
        <w:rPr>
          <w:color w:val="09357D"/>
        </w:rPr>
        <w:t>erceptions of Climate and Awareness of Resources</w:t>
      </w:r>
    </w:p>
    <w:p>
      <w:pPr>
        <w:pStyle w:val="Heading3"/>
        <w:numPr>
          <w:ilvl w:val="1"/>
          <w:numId w:val="4"/>
        </w:numPr>
        <w:tabs>
          <w:tab w:pos="1043" w:val="left" w:leader="none"/>
          <w:tab w:pos="1044" w:val="left" w:leader="none"/>
        </w:tabs>
        <w:spacing w:line="240" w:lineRule="auto" w:before="247" w:after="0"/>
        <w:ind w:left="1043" w:right="2355" w:hanging="864"/>
        <w:jc w:val="left"/>
      </w:pPr>
      <w:bookmarkStart w:name="_TOC_250000" w:id="46"/>
      <w:bookmarkStart w:name="4.1 Summary of Climate Perceptions Among" w:id="47"/>
      <w:r>
        <w:rPr>
          <w:b w:val="0"/>
        </w:rPr>
      </w:r>
      <w:bookmarkEnd w:id="47"/>
      <w:bookmarkStart w:name="4.1 Summary of Climate Perceptions Among" w:id="48"/>
      <w:r>
        <w:rPr>
          <w:color w:val="09357D"/>
        </w:rPr>
        <w:t>S</w:t>
      </w:r>
      <w:bookmarkEnd w:id="46"/>
      <w:r>
        <w:rPr>
          <w:color w:val="09357D"/>
        </w:rPr>
        <w:t>ummary of Climate Perceptions Among the MSU Community</w:t>
      </w:r>
    </w:p>
    <w:p>
      <w:pPr>
        <w:pStyle w:val="BodyText"/>
        <w:spacing w:line="333" w:lineRule="auto" w:before="228"/>
        <w:ind w:left="180" w:right="1429" w:firstLine="720"/>
      </w:pPr>
      <w:r>
        <w:rPr/>
        <w:t>Perceptions of the climate at MSU were assessed among all survey populations. Eight scales reflecting various dimensions of climate were created. The scales are composite scores derived from sets of related, individual survey items (typically worded as statements with which survey participants indicated their level of agreement), with higher scores reflecting more positive perceptions of climate. The dimensions of climate that were measured are shown in Table 6; some scales are specific to the climate or culture related to sexual misconduct and some scales measure other dimensions of campus climate.</w:t>
      </w:r>
    </w:p>
    <w:p>
      <w:pPr>
        <w:pStyle w:val="Heading5"/>
        <w:tabs>
          <w:tab w:pos="1259" w:val="left" w:leader="none"/>
        </w:tabs>
        <w:spacing w:before="162"/>
        <w:ind w:left="180" w:firstLine="0"/>
      </w:pPr>
      <w:r>
        <w:rPr/>
        <w:t>Table</w:t>
      </w:r>
      <w:r>
        <w:rPr>
          <w:spacing w:val="-3"/>
        </w:rPr>
        <w:t> </w:t>
      </w:r>
      <w:r>
        <w:rPr/>
        <w:t>7.</w:t>
        <w:tab/>
        <w:t>Climate Scale</w:t>
      </w:r>
      <w:r>
        <w:rPr>
          <w:spacing w:val="2"/>
        </w:rPr>
        <w:t> </w:t>
      </w:r>
      <w:r>
        <w:rPr/>
        <w:t>Description</w:t>
      </w:r>
    </w:p>
    <w:p>
      <w:pPr>
        <w:pStyle w:val="BodyText"/>
        <w:spacing w:before="1"/>
        <w:rPr>
          <w:b/>
          <w:sz w:val="7"/>
        </w:rPr>
      </w:pPr>
    </w:p>
    <w:tbl>
      <w:tblPr>
        <w:tblW w:w="0" w:type="auto"/>
        <w:jc w:val="left"/>
        <w:tblInd w:w="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13"/>
        <w:gridCol w:w="5045"/>
      </w:tblGrid>
      <w:tr>
        <w:trPr>
          <w:trHeight w:val="286" w:hRule="atLeast"/>
        </w:trPr>
        <w:tc>
          <w:tcPr>
            <w:tcW w:w="4313" w:type="dxa"/>
            <w:tcBorders>
              <w:bottom w:val="single" w:sz="4" w:space="0" w:color="585858"/>
            </w:tcBorders>
            <w:shd w:val="clear" w:color="auto" w:fill="09357D"/>
          </w:tcPr>
          <w:p>
            <w:pPr>
              <w:pStyle w:val="TableParagraph"/>
              <w:spacing w:before="39"/>
              <w:ind w:left="1902" w:right="1899"/>
              <w:jc w:val="center"/>
              <w:rPr>
                <w:b/>
                <w:sz w:val="18"/>
              </w:rPr>
            </w:pPr>
            <w:r>
              <w:rPr>
                <w:b/>
                <w:color w:val="FFFFFF"/>
                <w:sz w:val="18"/>
              </w:rPr>
              <w:t>Scale</w:t>
            </w:r>
          </w:p>
        </w:tc>
        <w:tc>
          <w:tcPr>
            <w:tcW w:w="5045" w:type="dxa"/>
            <w:tcBorders>
              <w:bottom w:val="single" w:sz="4" w:space="0" w:color="585858"/>
            </w:tcBorders>
            <w:shd w:val="clear" w:color="auto" w:fill="09357D"/>
          </w:tcPr>
          <w:p>
            <w:pPr>
              <w:pStyle w:val="TableParagraph"/>
              <w:spacing w:before="39"/>
              <w:ind w:left="1922" w:right="1922"/>
              <w:jc w:val="center"/>
              <w:rPr>
                <w:b/>
                <w:sz w:val="18"/>
              </w:rPr>
            </w:pPr>
            <w:r>
              <w:rPr>
                <w:b/>
                <w:color w:val="FFFFFF"/>
                <w:sz w:val="18"/>
              </w:rPr>
              <w:t>Example Item</w:t>
            </w:r>
          </w:p>
        </w:tc>
      </w:tr>
      <w:tr>
        <w:trPr>
          <w:trHeight w:val="286" w:hRule="atLeast"/>
        </w:trPr>
        <w:tc>
          <w:tcPr>
            <w:tcW w:w="4313" w:type="dxa"/>
            <w:tcBorders>
              <w:top w:val="single" w:sz="4" w:space="0" w:color="585858"/>
              <w:bottom w:val="single" w:sz="4" w:space="0" w:color="585858"/>
            </w:tcBorders>
            <w:shd w:val="clear" w:color="auto" w:fill="D9E1F3"/>
          </w:tcPr>
          <w:p>
            <w:pPr>
              <w:pStyle w:val="TableParagraph"/>
              <w:ind w:left="114"/>
              <w:rPr>
                <w:b/>
                <w:sz w:val="18"/>
              </w:rPr>
            </w:pPr>
            <w:r>
              <w:rPr>
                <w:b/>
                <w:sz w:val="18"/>
              </w:rPr>
              <w:t>General Climate</w:t>
            </w:r>
          </w:p>
        </w:tc>
        <w:tc>
          <w:tcPr>
            <w:tcW w:w="5045"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286" w:hRule="atLeast"/>
        </w:trPr>
        <w:tc>
          <w:tcPr>
            <w:tcW w:w="4313" w:type="dxa"/>
            <w:tcBorders>
              <w:top w:val="single" w:sz="4" w:space="0" w:color="585858"/>
              <w:bottom w:val="single" w:sz="4" w:space="0" w:color="585858"/>
            </w:tcBorders>
          </w:tcPr>
          <w:p>
            <w:pPr>
              <w:pStyle w:val="TableParagraph"/>
              <w:ind w:left="466"/>
              <w:rPr>
                <w:sz w:val="18"/>
              </w:rPr>
            </w:pPr>
            <w:r>
              <w:rPr>
                <w:sz w:val="18"/>
              </w:rPr>
              <w:t>General School Connectedness (12 items)</w:t>
            </w:r>
          </w:p>
        </w:tc>
        <w:tc>
          <w:tcPr>
            <w:tcW w:w="5045" w:type="dxa"/>
            <w:tcBorders>
              <w:top w:val="single" w:sz="4" w:space="0" w:color="585858"/>
              <w:bottom w:val="single" w:sz="4" w:space="0" w:color="585858"/>
            </w:tcBorders>
          </w:tcPr>
          <w:p>
            <w:pPr>
              <w:pStyle w:val="TableParagraph"/>
              <w:ind w:left="108"/>
              <w:rPr>
                <w:sz w:val="18"/>
              </w:rPr>
            </w:pPr>
            <w:r>
              <w:rPr>
                <w:sz w:val="18"/>
              </w:rPr>
              <w:t>I feel like I am a part of this school.</w:t>
            </w:r>
          </w:p>
        </w:tc>
      </w:tr>
      <w:tr>
        <w:trPr>
          <w:trHeight w:val="701" w:hRule="atLeast"/>
        </w:trPr>
        <w:tc>
          <w:tcPr>
            <w:tcW w:w="4313" w:type="dxa"/>
            <w:tcBorders>
              <w:top w:val="single" w:sz="4" w:space="0" w:color="585858"/>
              <w:bottom w:val="single" w:sz="4" w:space="0" w:color="585858"/>
            </w:tcBorders>
          </w:tcPr>
          <w:p>
            <w:pPr>
              <w:pStyle w:val="TableParagraph"/>
              <w:spacing w:before="42"/>
              <w:ind w:left="466"/>
              <w:rPr>
                <w:sz w:val="18"/>
              </w:rPr>
            </w:pPr>
            <w:r>
              <w:rPr>
                <w:sz w:val="18"/>
              </w:rPr>
              <w:t>Perceptions of Inclusive Climate (7 items)</w:t>
            </w:r>
          </w:p>
        </w:tc>
        <w:tc>
          <w:tcPr>
            <w:tcW w:w="5045" w:type="dxa"/>
            <w:tcBorders>
              <w:top w:val="single" w:sz="4" w:space="0" w:color="585858"/>
              <w:bottom w:val="single" w:sz="4" w:space="0" w:color="585858"/>
            </w:tcBorders>
          </w:tcPr>
          <w:p>
            <w:pPr>
              <w:pStyle w:val="TableParagraph"/>
              <w:ind w:left="109" w:right="494"/>
              <w:rPr>
                <w:sz w:val="18"/>
              </w:rPr>
            </w:pPr>
            <w:r>
              <w:rPr>
                <w:sz w:val="18"/>
              </w:rPr>
              <w:t>At this school, it is common for members of the campus community to treat one another in rude or disrespectful ways.</w:t>
            </w:r>
          </w:p>
        </w:tc>
      </w:tr>
      <w:tr>
        <w:trPr>
          <w:trHeight w:val="701" w:hRule="atLeast"/>
        </w:trPr>
        <w:tc>
          <w:tcPr>
            <w:tcW w:w="4313" w:type="dxa"/>
            <w:tcBorders>
              <w:top w:val="single" w:sz="4" w:space="0" w:color="585858"/>
              <w:bottom w:val="single" w:sz="4" w:space="0" w:color="585858"/>
            </w:tcBorders>
          </w:tcPr>
          <w:p>
            <w:pPr>
              <w:pStyle w:val="TableParagraph"/>
              <w:ind w:left="466" w:right="485"/>
              <w:rPr>
                <w:sz w:val="18"/>
              </w:rPr>
            </w:pPr>
            <w:r>
              <w:rPr>
                <w:sz w:val="18"/>
              </w:rPr>
              <w:t>General Perceptions of Highest University Leadership (4 items)</w:t>
            </w:r>
          </w:p>
        </w:tc>
        <w:tc>
          <w:tcPr>
            <w:tcW w:w="5045" w:type="dxa"/>
            <w:tcBorders>
              <w:top w:val="single" w:sz="4" w:space="0" w:color="585858"/>
              <w:bottom w:val="single" w:sz="4" w:space="0" w:color="585858"/>
            </w:tcBorders>
          </w:tcPr>
          <w:p>
            <w:pPr>
              <w:pStyle w:val="TableParagraph"/>
              <w:ind w:left="109" w:right="102"/>
              <w:rPr>
                <w:sz w:val="18"/>
              </w:rPr>
            </w:pPr>
            <w:r>
              <w:rPr>
                <w:sz w:val="18"/>
              </w:rPr>
              <w:t>Overall, the highest administrative leadership at this school, including the President and Board of Trustees, are open and transparent about challenges facing the university.</w:t>
            </w:r>
          </w:p>
        </w:tc>
      </w:tr>
      <w:tr>
        <w:trPr>
          <w:trHeight w:val="698" w:hRule="atLeast"/>
        </w:trPr>
        <w:tc>
          <w:tcPr>
            <w:tcW w:w="4313" w:type="dxa"/>
            <w:tcBorders>
              <w:top w:val="single" w:sz="4" w:space="0" w:color="585858"/>
              <w:bottom w:val="single" w:sz="4" w:space="0" w:color="585858"/>
            </w:tcBorders>
          </w:tcPr>
          <w:p>
            <w:pPr>
              <w:pStyle w:val="TableParagraph"/>
              <w:ind w:left="466" w:right="645"/>
              <w:rPr>
                <w:sz w:val="18"/>
              </w:rPr>
            </w:pPr>
            <w:r>
              <w:rPr>
                <w:sz w:val="18"/>
              </w:rPr>
              <w:t>General Perceptions of Other University Administration (4 items)</w:t>
            </w:r>
          </w:p>
        </w:tc>
        <w:tc>
          <w:tcPr>
            <w:tcW w:w="5045" w:type="dxa"/>
            <w:tcBorders>
              <w:top w:val="single" w:sz="4" w:space="0" w:color="585858"/>
              <w:bottom w:val="single" w:sz="4" w:space="0" w:color="585858"/>
            </w:tcBorders>
          </w:tcPr>
          <w:p>
            <w:pPr>
              <w:pStyle w:val="TableParagraph"/>
              <w:ind w:left="109" w:right="153"/>
              <w:rPr>
                <w:sz w:val="18"/>
              </w:rPr>
            </w:pPr>
            <w:r>
              <w:rPr>
                <w:sz w:val="18"/>
              </w:rPr>
              <w:t>Overall, the other administration at this school, which includes Deans, Vice Presidents, and other leadership staff, are genuinely concerned about students’ well-being.</w:t>
            </w:r>
          </w:p>
        </w:tc>
      </w:tr>
      <w:tr>
        <w:trPr>
          <w:trHeight w:val="290" w:hRule="atLeast"/>
        </w:trPr>
        <w:tc>
          <w:tcPr>
            <w:tcW w:w="4313" w:type="dxa"/>
            <w:tcBorders>
              <w:top w:val="single" w:sz="4" w:space="0" w:color="585858"/>
              <w:bottom w:val="single" w:sz="4" w:space="0" w:color="585858"/>
            </w:tcBorders>
            <w:shd w:val="clear" w:color="auto" w:fill="D9E1F3"/>
          </w:tcPr>
          <w:p>
            <w:pPr>
              <w:pStyle w:val="TableParagraph"/>
              <w:spacing w:before="42"/>
              <w:ind w:left="114"/>
              <w:rPr>
                <w:b/>
                <w:sz w:val="18"/>
              </w:rPr>
            </w:pPr>
            <w:r>
              <w:rPr>
                <w:b/>
                <w:sz w:val="18"/>
              </w:rPr>
              <w:t>Climate Related to Sexual Misconduct</w:t>
            </w:r>
          </w:p>
        </w:tc>
        <w:tc>
          <w:tcPr>
            <w:tcW w:w="5045" w:type="dxa"/>
            <w:tcBorders>
              <w:top w:val="single" w:sz="4" w:space="0" w:color="585858"/>
              <w:bottom w:val="single" w:sz="4" w:space="0" w:color="585858"/>
            </w:tcBorders>
            <w:shd w:val="clear" w:color="auto" w:fill="D9E1F3"/>
          </w:tcPr>
          <w:p>
            <w:pPr>
              <w:pStyle w:val="TableParagraph"/>
              <w:spacing w:before="0"/>
              <w:rPr>
                <w:rFonts w:ascii="Times New Roman"/>
                <w:sz w:val="18"/>
              </w:rPr>
            </w:pPr>
          </w:p>
        </w:tc>
      </w:tr>
      <w:tr>
        <w:trPr>
          <w:trHeight w:val="698" w:hRule="atLeast"/>
        </w:trPr>
        <w:tc>
          <w:tcPr>
            <w:tcW w:w="4313" w:type="dxa"/>
            <w:tcBorders>
              <w:top w:val="single" w:sz="4" w:space="0" w:color="585858"/>
              <w:bottom w:val="single" w:sz="4" w:space="0" w:color="585858"/>
            </w:tcBorders>
          </w:tcPr>
          <w:p>
            <w:pPr>
              <w:pStyle w:val="TableParagraph"/>
              <w:ind w:left="466" w:right="209"/>
              <w:jc w:val="both"/>
              <w:rPr>
                <w:sz w:val="18"/>
              </w:rPr>
            </w:pPr>
            <w:r>
              <w:rPr>
                <w:sz w:val="18"/>
              </w:rPr>
              <w:t>Perceptions of School Leadership Climate for Sexual Misconduct Prevention and Response (11 items)</w:t>
            </w:r>
          </w:p>
        </w:tc>
        <w:tc>
          <w:tcPr>
            <w:tcW w:w="5045" w:type="dxa"/>
            <w:tcBorders>
              <w:top w:val="single" w:sz="4" w:space="0" w:color="585858"/>
              <w:bottom w:val="single" w:sz="4" w:space="0" w:color="585858"/>
            </w:tcBorders>
          </w:tcPr>
          <w:p>
            <w:pPr>
              <w:pStyle w:val="TableParagraph"/>
              <w:ind w:left="108" w:right="274"/>
              <w:rPr>
                <w:sz w:val="18"/>
              </w:rPr>
            </w:pPr>
            <w:r>
              <w:rPr>
                <w:sz w:val="18"/>
              </w:rPr>
              <w:t>This school takes training in sexual misconduct prevention seriously.</w:t>
            </w:r>
          </w:p>
        </w:tc>
      </w:tr>
      <w:tr>
        <w:trPr>
          <w:trHeight w:val="701" w:hRule="atLeast"/>
        </w:trPr>
        <w:tc>
          <w:tcPr>
            <w:tcW w:w="4313" w:type="dxa"/>
            <w:tcBorders>
              <w:top w:val="single" w:sz="4" w:space="0" w:color="585858"/>
              <w:bottom w:val="single" w:sz="4" w:space="0" w:color="585858"/>
            </w:tcBorders>
          </w:tcPr>
          <w:p>
            <w:pPr>
              <w:pStyle w:val="TableParagraph"/>
              <w:spacing w:before="42"/>
              <w:ind w:left="466" w:right="215"/>
              <w:rPr>
                <w:sz w:val="18"/>
              </w:rPr>
            </w:pPr>
            <w:r>
              <w:rPr>
                <w:sz w:val="18"/>
              </w:rPr>
              <w:t>Perceptions of School Leadership Climate for Relationship Violence Prevention and Response (3 items)</w:t>
            </w:r>
          </w:p>
        </w:tc>
        <w:tc>
          <w:tcPr>
            <w:tcW w:w="5045" w:type="dxa"/>
            <w:tcBorders>
              <w:top w:val="single" w:sz="4" w:space="0" w:color="585858"/>
              <w:bottom w:val="single" w:sz="4" w:space="0" w:color="585858"/>
            </w:tcBorders>
          </w:tcPr>
          <w:p>
            <w:pPr>
              <w:pStyle w:val="TableParagraph"/>
              <w:spacing w:before="42"/>
              <w:ind w:left="109" w:right="733"/>
              <w:rPr>
                <w:sz w:val="18"/>
              </w:rPr>
            </w:pPr>
            <w:r>
              <w:rPr>
                <w:sz w:val="18"/>
              </w:rPr>
              <w:t>This school is doing a good job of holding people accountable for committing relationship violence and stalking.</w:t>
            </w:r>
          </w:p>
        </w:tc>
      </w:tr>
      <w:tr>
        <w:trPr>
          <w:trHeight w:val="493" w:hRule="atLeast"/>
        </w:trPr>
        <w:tc>
          <w:tcPr>
            <w:tcW w:w="4313" w:type="dxa"/>
            <w:tcBorders>
              <w:top w:val="single" w:sz="4" w:space="0" w:color="585858"/>
              <w:bottom w:val="single" w:sz="4" w:space="0" w:color="585858"/>
            </w:tcBorders>
          </w:tcPr>
          <w:p>
            <w:pPr>
              <w:pStyle w:val="TableParagraph"/>
              <w:ind w:left="466" w:right="95"/>
              <w:rPr>
                <w:sz w:val="18"/>
              </w:rPr>
            </w:pPr>
            <w:r>
              <w:rPr>
                <w:sz w:val="18"/>
              </w:rPr>
              <w:t>Awareness and Perceived Fairness of School Sexual Assault Policy and Resources (9 items)</w:t>
            </w:r>
          </w:p>
        </w:tc>
        <w:tc>
          <w:tcPr>
            <w:tcW w:w="5045" w:type="dxa"/>
            <w:tcBorders>
              <w:top w:val="single" w:sz="4" w:space="0" w:color="585858"/>
              <w:bottom w:val="single" w:sz="4" w:space="0" w:color="585858"/>
            </w:tcBorders>
          </w:tcPr>
          <w:p>
            <w:pPr>
              <w:pStyle w:val="TableParagraph"/>
              <w:ind w:left="108" w:right="284"/>
              <w:rPr>
                <w:sz w:val="18"/>
              </w:rPr>
            </w:pPr>
            <w:r>
              <w:rPr>
                <w:sz w:val="18"/>
              </w:rPr>
              <w:t>I am aware of and understand this school’s procedures for dealing with reported incidents of sexual misconduct.</w:t>
            </w:r>
          </w:p>
        </w:tc>
      </w:tr>
      <w:tr>
        <w:trPr>
          <w:trHeight w:val="702" w:hRule="atLeast"/>
        </w:trPr>
        <w:tc>
          <w:tcPr>
            <w:tcW w:w="4313" w:type="dxa"/>
            <w:tcBorders>
              <w:top w:val="single" w:sz="4" w:space="0" w:color="585858"/>
              <w:bottom w:val="single" w:sz="4" w:space="0" w:color="585858"/>
            </w:tcBorders>
          </w:tcPr>
          <w:p>
            <w:pPr>
              <w:pStyle w:val="TableParagraph"/>
              <w:ind w:left="466" w:right="795"/>
              <w:rPr>
                <w:sz w:val="18"/>
              </w:rPr>
            </w:pPr>
            <w:r>
              <w:rPr>
                <w:sz w:val="18"/>
              </w:rPr>
              <w:t>Intervention and Awareness of Sexual Harassment and Sexual Assault (i.e., bystander intervention) (7 items)</w:t>
            </w:r>
          </w:p>
        </w:tc>
        <w:tc>
          <w:tcPr>
            <w:tcW w:w="5045" w:type="dxa"/>
            <w:tcBorders>
              <w:top w:val="single" w:sz="4" w:space="0" w:color="585858"/>
              <w:bottom w:val="single" w:sz="4" w:space="0" w:color="585858"/>
            </w:tcBorders>
          </w:tcPr>
          <w:p>
            <w:pPr>
              <w:pStyle w:val="TableParagraph"/>
              <w:ind w:left="109" w:right="413"/>
              <w:rPr>
                <w:sz w:val="18"/>
              </w:rPr>
            </w:pPr>
            <w:r>
              <w:rPr>
                <w:sz w:val="18"/>
              </w:rPr>
              <w:t>Students/Faculty/Staff offer support to other students/faculty/staff who they suspect are in an abusive relationship.*</w:t>
            </w:r>
          </w:p>
        </w:tc>
      </w:tr>
    </w:tbl>
    <w:p>
      <w:pPr>
        <w:spacing w:before="60"/>
        <w:ind w:left="367" w:right="1729" w:hanging="188"/>
        <w:jc w:val="left"/>
        <w:rPr>
          <w:sz w:val="18"/>
        </w:rPr>
      </w:pPr>
      <w:r>
        <w:rPr>
          <w:sz w:val="18"/>
        </w:rPr>
        <w:t>Note: All scales have more than acceptable reliability (i.e., internal consistency) based on the Cronbach’s alpha metric, which is a commonly used measure of scale reliability (with 0.70 often used as the lower threshold). The alphas ranged from 0.76 to 0.86.</w:t>
      </w:r>
    </w:p>
    <w:p>
      <w:pPr>
        <w:pStyle w:val="BodyText"/>
      </w:pPr>
    </w:p>
    <w:p>
      <w:pPr>
        <w:pStyle w:val="BodyText"/>
        <w:rPr>
          <w:sz w:val="21"/>
        </w:rPr>
      </w:pPr>
    </w:p>
    <w:p>
      <w:pPr>
        <w:pStyle w:val="BodyText"/>
        <w:spacing w:line="333" w:lineRule="auto"/>
        <w:ind w:left="180" w:right="1485" w:firstLine="720"/>
      </w:pPr>
      <w:r>
        <w:rPr/>
        <w:pict>
          <v:shape style="position:absolute;margin-left:72pt;margin-top:37.579884pt;width:144pt;height:.1pt;mso-position-horizontal-relative:page;mso-position-vertical-relative:paragraph;z-index:-251580416;mso-wrap-distance-left:0;mso-wrap-distance-right:0" coordorigin="1440,752" coordsize="2880,0" path="m1440,752l4320,752e" filled="false" stroked="true" strokeweight=".4pt" strokecolor="#000000">
            <v:path arrowok="t"/>
            <v:stroke dashstyle="solid"/>
            <w10:wrap type="topAndBottom"/>
          </v:shape>
        </w:pict>
      </w:r>
      <w:r>
        <w:rPr/>
        <w:t>The average climate scores (standardized on a 0–100 scale so values reflect the percentage of the highest possible score on that scale</w:t>
      </w:r>
      <w:r>
        <w:rPr>
          <w:position w:val="5"/>
          <w:sz w:val="12"/>
        </w:rPr>
        <w:t>36</w:t>
      </w:r>
      <w:r>
        <w:rPr/>
        <w:t>) for the various populations (including undergraduate cisgender</w:t>
      </w:r>
    </w:p>
    <w:p>
      <w:pPr>
        <w:spacing w:line="240" w:lineRule="auto" w:before="54"/>
        <w:ind w:left="452" w:right="1733" w:hanging="259"/>
        <w:jc w:val="left"/>
        <w:rPr>
          <w:sz w:val="18"/>
        </w:rPr>
      </w:pPr>
      <w:r>
        <w:rPr>
          <w:position w:val="4"/>
          <w:sz w:val="12"/>
        </w:rPr>
        <w:t>36 </w:t>
      </w:r>
      <w:r>
        <w:rPr>
          <w:sz w:val="18"/>
        </w:rPr>
        <w:t>The standardized scores were created simply by dividing the mean score by the maximum score for each scale and multiplying by 100. For example, if the mean (unstandardized) score on a 0–10 scale was 6, the mean standardized score would be 60. This approach was taken to facilitate comparisons across scales (which have different ranges due to variability in the number of items).</w:t>
      </w:r>
    </w:p>
    <w:p>
      <w:pPr>
        <w:pStyle w:val="BodyText"/>
      </w:pPr>
    </w:p>
    <w:p>
      <w:pPr>
        <w:pStyle w:val="BodyText"/>
      </w:pPr>
    </w:p>
    <w:p>
      <w:pPr>
        <w:pStyle w:val="BodyText"/>
        <w:spacing w:before="4"/>
      </w:pPr>
    </w:p>
    <w:p>
      <w:pPr>
        <w:tabs>
          <w:tab w:pos="8547" w:val="left" w:leader="none"/>
        </w:tabs>
        <w:spacing w:before="149"/>
        <w:ind w:left="175" w:right="0" w:firstLine="0"/>
        <w:jc w:val="left"/>
        <w:rPr>
          <w:rFonts w:ascii="Arial Narrow"/>
          <w:b/>
          <w:sz w:val="16"/>
        </w:rPr>
      </w:pPr>
      <w:r>
        <w:rPr/>
        <w:pict>
          <v:shape style="position:absolute;margin-left:544.599976pt;margin-top:2.746093pt;width:67.4pt;height:16pt;mso-position-horizontal-relative:page;mso-position-vertical-relative:paragraph;z-index:251738112" type="#_x0000_t202" filled="true" fillcolor="#09357d" stroked="false">
            <v:textbox inset="0,0,0,0">
              <w:txbxContent>
                <w:p>
                  <w:pPr>
                    <w:pStyle w:val="BodyText"/>
                    <w:spacing w:before="44"/>
                    <w:ind w:left="83"/>
                    <w:rPr>
                      <w:rFonts w:ascii="Arial Narrow"/>
                    </w:rPr>
                  </w:pPr>
                  <w:r>
                    <w:rPr>
                      <w:rFonts w:ascii="Arial Narrow"/>
                      <w:color w:val="FFFFFF"/>
                    </w:rPr>
                    <w:t>56</w:t>
                  </w:r>
                </w:p>
              </w:txbxContent>
            </v:textbox>
            <v:fill type="solid"/>
            <w10:wrap type="none"/>
          </v:shape>
        </w:pict>
      </w:r>
      <w:r>
        <w:rPr>
          <w:rFonts w:ascii="Arial Narrow"/>
          <w:b/>
          <w:color w:val="09357D"/>
          <w:sz w:val="16"/>
        </w:rPr>
        <w:t>Findings from the Know More @ MSU</w:t>
      </w:r>
      <w:r>
        <w:rPr>
          <w:rFonts w:ascii="Arial Narrow"/>
          <w:b/>
          <w:color w:val="09357D"/>
          <w:spacing w:val="-22"/>
          <w:sz w:val="16"/>
        </w:rPr>
        <w:t> </w:t>
      </w:r>
      <w:r>
        <w:rPr>
          <w:rFonts w:ascii="Arial Narrow"/>
          <w:b/>
          <w:color w:val="09357D"/>
          <w:sz w:val="16"/>
        </w:rPr>
        <w:t>Campus Survey</w:t>
        <w:tab/>
        <w:t>November</w:t>
      </w:r>
      <w:r>
        <w:rPr>
          <w:rFonts w:ascii="Arial Narrow"/>
          <w:b/>
          <w:color w:val="09357D"/>
          <w:spacing w:val="-1"/>
          <w:sz w:val="16"/>
        </w:rPr>
        <w:t> </w:t>
      </w:r>
      <w:r>
        <w:rPr>
          <w:rFonts w:ascii="Arial Narrow"/>
          <w:b/>
          <w:color w:val="09357D"/>
          <w:sz w:val="16"/>
        </w:rPr>
        <w:t>2022</w:t>
      </w:r>
    </w:p>
    <w:p>
      <w:pPr>
        <w:spacing w:after="0"/>
        <w:jc w:val="left"/>
        <w:rPr>
          <w:rFonts w:ascii="Arial Narrow"/>
          <w:sz w:val="16"/>
        </w:rPr>
        <w:sectPr>
          <w:headerReference w:type="default" r:id="rId114"/>
          <w:footerReference w:type="default" r:id="rId115"/>
          <w:pgSz w:w="12240" w:h="15840"/>
          <w:pgMar w:header="0" w:footer="0" w:top="1120" w:bottom="0" w:left="1260" w:right="0"/>
        </w:sectPr>
      </w:pPr>
    </w:p>
    <w:p>
      <w:pPr>
        <w:pStyle w:val="BodyText"/>
        <w:spacing w:before="7"/>
        <w:rPr>
          <w:rFonts w:ascii="Arial Narrow"/>
          <w:b/>
          <w:sz w:val="17"/>
        </w:rPr>
      </w:pPr>
    </w:p>
    <w:p>
      <w:pPr>
        <w:pStyle w:val="BodyText"/>
        <w:spacing w:line="333" w:lineRule="auto" w:before="94"/>
        <w:ind w:left="180" w:right="1461"/>
      </w:pPr>
      <w:r>
        <w:rPr/>
        <w:t>women, undergraduate cisgender men, transgender and/or nonbinary undergraduates, cisgender women graduate/professional students, cisgender men graduate/professional students, transgender and/or nonbinary graduate/professional students, cisgender women and men faculty, cisgender women and men staff, and transgender and/or nonbinary faculty/staff) are shown in Figure 38. Several patterns are evident.</w:t>
      </w:r>
    </w:p>
    <w:p>
      <w:pPr>
        <w:pStyle w:val="Heading5"/>
        <w:ind w:left="180" w:firstLine="0"/>
      </w:pPr>
      <w:r>
        <w:rPr/>
        <w:pict>
          <v:group style="position:absolute;margin-left:73.199997pt;margin-top:19.478895pt;width:463.6pt;height:392.85pt;mso-position-horizontal-relative:page;mso-position-vertical-relative:paragraph;z-index:-251577344;mso-wrap-distance-left:0;mso-wrap-distance-right:0" coordorigin="1464,390" coordsize="9272,7857">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rect style="position:absolute;left:1464;top:8237;width:8;height:8" filled="true" fillcolor="#a4a4a4" stroked="false">
              <v:fill type="solid"/>
            </v:rect>
            <v:rect style="position:absolute;left:1464;top:8237;width:8;height:8" filled="true" fillcolor="#a4a4a4" stroked="false">
              <v:fill type="solid"/>
            </v:rect>
            <v:line style="position:absolute" from="1472,8242" to="10728,8242" stroked="true" strokeweight=".4pt" strokecolor="#a4a4a4">
              <v:stroke dashstyle="solid"/>
            </v:line>
            <v:rect style="position:absolute;left:10728;top:8237;width:8;height:8" filled="true" fillcolor="#a4a4a4" stroked="false">
              <v:fill type="solid"/>
            </v:rect>
            <v:rect style="position:absolute;left:10728;top:8237;width:8;height:8" filled="true" fillcolor="#a4a4a4" stroked="false">
              <v:fill type="solid"/>
            </v:rect>
            <v:line style="position:absolute" from="1468,398" to="1468,8238" stroked="true" strokeweight=".4pt" strokecolor="#a4a4a4">
              <v:stroke dashstyle="solid"/>
            </v:line>
            <v:line style="position:absolute" from="10732,398" to="10732,8238" stroked="true" strokeweight=".4pt" strokecolor="#a4a4a4">
              <v:stroke dashstyle="solid"/>
            </v:line>
            <v:shape style="position:absolute;left:1627;top:475;width:8985;height:7681" type="#_x0000_t75" alt="See Notes for information on an accessible version of this figure." stroked="false">
              <v:imagedata r:id="rId118" o:title=""/>
            </v:shape>
            <w10:wrap type="topAndBottom"/>
          </v:group>
        </w:pict>
      </w:r>
      <w:r>
        <w:rPr/>
        <w:t>Figure 38. Campus Climate (Mean Scale Scores), by Population</w:t>
      </w:r>
    </w:p>
    <w:p>
      <w:pPr>
        <w:spacing w:before="30"/>
        <w:ind w:left="180" w:right="0" w:firstLine="0"/>
        <w:jc w:val="left"/>
        <w:rPr>
          <w:sz w:val="18"/>
        </w:rPr>
      </w:pPr>
      <w:r>
        <w:rPr>
          <w:sz w:val="18"/>
        </w:rPr>
        <w:t>Note: For an accessible version of the information shown in this figure, see </w:t>
      </w:r>
      <w:hyperlink r:id="rId24">
        <w:r>
          <w:rPr>
            <w:color w:val="1F419A"/>
            <w:sz w:val="18"/>
            <w:u w:val="single" w:color="1F419A"/>
          </w:rPr>
          <w:t>Appendix Tables F-8a1</w:t>
        </w:r>
        <w:r>
          <w:rPr>
            <w:color w:val="1F419A"/>
            <w:sz w:val="18"/>
          </w:rPr>
          <w:t> </w:t>
        </w:r>
      </w:hyperlink>
      <w:r>
        <w:rPr>
          <w:sz w:val="18"/>
        </w:rPr>
        <w:t>through </w:t>
      </w:r>
      <w:hyperlink r:id="rId119">
        <w:r>
          <w:rPr>
            <w:color w:val="1F419A"/>
            <w:sz w:val="18"/>
            <w:u w:val="single" w:color="1F419A"/>
          </w:rPr>
          <w:t>F-8b5</w:t>
        </w:r>
      </w:hyperlink>
      <w:r>
        <w:rPr>
          <w:sz w:val="18"/>
        </w:rPr>
        <w:t>.</w:t>
      </w:r>
    </w:p>
    <w:p>
      <w:pPr>
        <w:pStyle w:val="BodyText"/>
        <w:spacing w:before="9"/>
        <w:rPr>
          <w:sz w:val="26"/>
        </w:rPr>
      </w:pPr>
    </w:p>
    <w:p>
      <w:pPr>
        <w:pStyle w:val="ListParagraph"/>
        <w:numPr>
          <w:ilvl w:val="2"/>
          <w:numId w:val="4"/>
        </w:numPr>
        <w:tabs>
          <w:tab w:pos="1259" w:val="left" w:leader="none"/>
          <w:tab w:pos="1260" w:val="left" w:leader="none"/>
        </w:tabs>
        <w:spacing w:line="240" w:lineRule="auto" w:before="94" w:after="0"/>
        <w:ind w:left="1260" w:right="1503" w:hanging="360"/>
        <w:jc w:val="left"/>
        <w:rPr>
          <w:sz w:val="20"/>
        </w:rPr>
      </w:pPr>
      <w:r>
        <w:rPr>
          <w:sz w:val="20"/>
        </w:rPr>
        <w:t>The aspects of climate for which there was </w:t>
      </w:r>
      <w:r>
        <w:rPr>
          <w:spacing w:val="-3"/>
          <w:sz w:val="20"/>
        </w:rPr>
        <w:t>the </w:t>
      </w:r>
      <w:r>
        <w:rPr>
          <w:sz w:val="20"/>
        </w:rPr>
        <w:t>most variation in perceptions were “General Perceptions of School Leadership Climate for Sexual Misconduct” (with mean scores</w:t>
      </w:r>
      <w:r>
        <w:rPr>
          <w:spacing w:val="-41"/>
          <w:sz w:val="20"/>
        </w:rPr>
        <w:t> </w:t>
      </w:r>
      <w:r>
        <w:rPr>
          <w:sz w:val="20"/>
        </w:rPr>
        <w:t>ranging from 42.3 among transgender/nonbinary graduate/professional students to 70.2 among undergraduate cisgender men) and “General Perceptions of School Leadership Climate for Relationship Violence” (with mean scores ranging from 46.9 among transgender and/or nonbinary graduate/professional students to 74.2 among undergraduate cisgender</w:t>
      </w:r>
      <w:r>
        <w:rPr>
          <w:spacing w:val="-20"/>
          <w:sz w:val="20"/>
        </w:rPr>
        <w:t> </w:t>
      </w:r>
      <w:r>
        <w:rPr>
          <w:sz w:val="20"/>
        </w:rPr>
        <w:t>men).</w:t>
      </w:r>
    </w:p>
    <w:p>
      <w:pPr>
        <w:pStyle w:val="ListParagraph"/>
        <w:numPr>
          <w:ilvl w:val="2"/>
          <w:numId w:val="4"/>
        </w:numPr>
        <w:tabs>
          <w:tab w:pos="1259" w:val="left" w:leader="none"/>
          <w:tab w:pos="1260" w:val="left" w:leader="none"/>
        </w:tabs>
        <w:spacing w:line="240" w:lineRule="auto" w:before="80" w:after="0"/>
        <w:ind w:left="1260" w:right="1814" w:hanging="360"/>
        <w:jc w:val="left"/>
        <w:rPr>
          <w:sz w:val="20"/>
        </w:rPr>
      </w:pPr>
      <w:r>
        <w:rPr>
          <w:sz w:val="20"/>
        </w:rPr>
        <w:t>Across all climate scales, undergraduate cisgender men, faculty cisgender men, and staff cisgender men had the most positive perceptions of climate, whereas cisgender women graduate/professional</w:t>
      </w:r>
      <w:r>
        <w:rPr>
          <w:spacing w:val="-7"/>
          <w:sz w:val="20"/>
        </w:rPr>
        <w:t> </w:t>
      </w:r>
      <w:r>
        <w:rPr>
          <w:sz w:val="20"/>
        </w:rPr>
        <w:t>students,</w:t>
      </w:r>
      <w:r>
        <w:rPr>
          <w:spacing w:val="-11"/>
          <w:sz w:val="20"/>
        </w:rPr>
        <w:t> </w:t>
      </w:r>
      <w:r>
        <w:rPr>
          <w:sz w:val="20"/>
        </w:rPr>
        <w:t>transgender</w:t>
      </w:r>
      <w:r>
        <w:rPr>
          <w:spacing w:val="-6"/>
          <w:sz w:val="20"/>
        </w:rPr>
        <w:t> </w:t>
      </w:r>
      <w:r>
        <w:rPr>
          <w:sz w:val="20"/>
        </w:rPr>
        <w:t>and/or</w:t>
      </w:r>
      <w:r>
        <w:rPr>
          <w:spacing w:val="-6"/>
          <w:sz w:val="20"/>
        </w:rPr>
        <w:t> </w:t>
      </w:r>
      <w:r>
        <w:rPr>
          <w:sz w:val="20"/>
        </w:rPr>
        <w:t>nonbinary</w:t>
      </w:r>
      <w:r>
        <w:rPr>
          <w:spacing w:val="-7"/>
          <w:sz w:val="20"/>
        </w:rPr>
        <w:t> </w:t>
      </w:r>
      <w:r>
        <w:rPr>
          <w:sz w:val="20"/>
        </w:rPr>
        <w:t>undergraduates,</w:t>
      </w:r>
      <w:r>
        <w:rPr>
          <w:spacing w:val="-10"/>
          <w:sz w:val="20"/>
        </w:rPr>
        <w:t> </w:t>
      </w:r>
      <w:r>
        <w:rPr>
          <w:sz w:val="20"/>
        </w:rPr>
        <w:t>cisgender</w:t>
      </w:r>
    </w:p>
    <w:p>
      <w:pPr>
        <w:spacing w:after="0" w:line="240" w:lineRule="auto"/>
        <w:jc w:val="left"/>
        <w:rPr>
          <w:sz w:val="20"/>
        </w:rPr>
        <w:sectPr>
          <w:headerReference w:type="default" r:id="rId116"/>
          <w:footerReference w:type="default" r:id="rId117"/>
          <w:pgSz w:w="12240" w:h="15840"/>
          <w:pgMar w:header="0" w:footer="592" w:top="1120" w:bottom="780" w:left="1260" w:right="0"/>
          <w:pgNumType w:start="57"/>
        </w:sectPr>
      </w:pPr>
    </w:p>
    <w:p>
      <w:pPr>
        <w:pStyle w:val="BodyText"/>
        <w:spacing w:before="8"/>
        <w:rPr>
          <w:sz w:val="11"/>
        </w:rPr>
      </w:pPr>
    </w:p>
    <w:p>
      <w:pPr>
        <w:pStyle w:val="BodyText"/>
        <w:spacing w:line="242" w:lineRule="auto" w:before="94"/>
        <w:ind w:left="1260" w:right="1683"/>
      </w:pPr>
      <w:r>
        <w:rPr/>
        <w:t>women faculty, and transgender and/or nonbinary graduate/professional students provided the most negative perceptions of climate.</w:t>
      </w:r>
    </w:p>
    <w:p>
      <w:pPr>
        <w:pStyle w:val="ListParagraph"/>
        <w:numPr>
          <w:ilvl w:val="2"/>
          <w:numId w:val="4"/>
        </w:numPr>
        <w:tabs>
          <w:tab w:pos="1259" w:val="left" w:leader="none"/>
          <w:tab w:pos="1260" w:val="left" w:leader="none"/>
        </w:tabs>
        <w:spacing w:line="240" w:lineRule="auto" w:before="75" w:after="0"/>
        <w:ind w:left="1260" w:right="1524" w:hanging="360"/>
        <w:jc w:val="left"/>
        <w:rPr>
          <w:sz w:val="20"/>
        </w:rPr>
      </w:pPr>
      <w:r>
        <w:rPr>
          <w:sz w:val="20"/>
        </w:rPr>
        <w:t>The climate scale that appeared to have the lowest scores (relative to the scale’s upper limit) was “General Perceptions of the Highest Administrative Leadership at the School,” which included the President and Board of</w:t>
      </w:r>
      <w:r>
        <w:rPr>
          <w:spacing w:val="-6"/>
          <w:sz w:val="20"/>
        </w:rPr>
        <w:t> </w:t>
      </w:r>
      <w:r>
        <w:rPr>
          <w:sz w:val="20"/>
        </w:rPr>
        <w:t>Trustees.</w:t>
      </w:r>
    </w:p>
    <w:p>
      <w:pPr>
        <w:pStyle w:val="ListParagraph"/>
        <w:numPr>
          <w:ilvl w:val="2"/>
          <w:numId w:val="4"/>
        </w:numPr>
        <w:tabs>
          <w:tab w:pos="1259" w:val="left" w:leader="none"/>
          <w:tab w:pos="1260" w:val="left" w:leader="none"/>
        </w:tabs>
        <w:spacing w:line="240" w:lineRule="auto" w:before="82" w:after="0"/>
        <w:ind w:left="1260" w:right="1550" w:hanging="360"/>
        <w:jc w:val="left"/>
        <w:rPr>
          <w:sz w:val="20"/>
        </w:rPr>
      </w:pPr>
      <w:r>
        <w:rPr>
          <w:sz w:val="20"/>
        </w:rPr>
        <w:t>The climate scales that appeared to have the highest scores (relative to the scales’ upper limit) were “General Perceptions of Perceptions of School Leadership Climate for Relationship</w:t>
      </w:r>
      <w:r>
        <w:rPr>
          <w:spacing w:val="-4"/>
          <w:sz w:val="20"/>
        </w:rPr>
        <w:t> </w:t>
      </w:r>
      <w:r>
        <w:rPr>
          <w:sz w:val="20"/>
        </w:rPr>
        <w:t>Violence,”</w:t>
      </w:r>
      <w:r>
        <w:rPr>
          <w:spacing w:val="-3"/>
          <w:sz w:val="20"/>
        </w:rPr>
        <w:t> </w:t>
      </w:r>
      <w:r>
        <w:rPr>
          <w:sz w:val="20"/>
        </w:rPr>
        <w:t>“Awareness</w:t>
      </w:r>
      <w:r>
        <w:rPr>
          <w:spacing w:val="-5"/>
          <w:sz w:val="20"/>
        </w:rPr>
        <w:t> </w:t>
      </w:r>
      <w:r>
        <w:rPr>
          <w:sz w:val="20"/>
        </w:rPr>
        <w:t>and</w:t>
      </w:r>
      <w:r>
        <w:rPr>
          <w:spacing w:val="-7"/>
          <w:sz w:val="20"/>
        </w:rPr>
        <w:t> </w:t>
      </w:r>
      <w:r>
        <w:rPr>
          <w:sz w:val="20"/>
        </w:rPr>
        <w:t>Perceived</w:t>
      </w:r>
      <w:r>
        <w:rPr>
          <w:spacing w:val="-4"/>
          <w:sz w:val="20"/>
        </w:rPr>
        <w:t> </w:t>
      </w:r>
      <w:r>
        <w:rPr>
          <w:sz w:val="20"/>
        </w:rPr>
        <w:t>Fairness</w:t>
      </w:r>
      <w:r>
        <w:rPr>
          <w:spacing w:val="-4"/>
          <w:sz w:val="20"/>
        </w:rPr>
        <w:t> </w:t>
      </w:r>
      <w:r>
        <w:rPr>
          <w:sz w:val="20"/>
        </w:rPr>
        <w:t>of</w:t>
      </w:r>
      <w:r>
        <w:rPr>
          <w:spacing w:val="-5"/>
          <w:sz w:val="20"/>
        </w:rPr>
        <w:t> </w:t>
      </w:r>
      <w:r>
        <w:rPr>
          <w:sz w:val="20"/>
        </w:rPr>
        <w:t>School</w:t>
      </w:r>
      <w:r>
        <w:rPr>
          <w:spacing w:val="-4"/>
          <w:sz w:val="20"/>
        </w:rPr>
        <w:t> </w:t>
      </w:r>
      <w:r>
        <w:rPr>
          <w:sz w:val="20"/>
        </w:rPr>
        <w:t>Sexual</w:t>
      </w:r>
      <w:r>
        <w:rPr>
          <w:spacing w:val="-5"/>
          <w:sz w:val="20"/>
        </w:rPr>
        <w:t> </w:t>
      </w:r>
      <w:r>
        <w:rPr>
          <w:sz w:val="20"/>
        </w:rPr>
        <w:t>Assault</w:t>
      </w:r>
      <w:r>
        <w:rPr>
          <w:spacing w:val="-5"/>
          <w:sz w:val="20"/>
        </w:rPr>
        <w:t> </w:t>
      </w:r>
      <w:r>
        <w:rPr>
          <w:sz w:val="20"/>
        </w:rPr>
        <w:t>Policy and Resources,” and “General School</w:t>
      </w:r>
      <w:r>
        <w:rPr>
          <w:spacing w:val="1"/>
          <w:sz w:val="20"/>
        </w:rPr>
        <w:t> </w:t>
      </w:r>
      <w:r>
        <w:rPr>
          <w:sz w:val="20"/>
        </w:rPr>
        <w:t>Connectedness.”</w:t>
      </w:r>
    </w:p>
    <w:p>
      <w:pPr>
        <w:pStyle w:val="BodyText"/>
        <w:spacing w:line="333" w:lineRule="auto" w:before="148"/>
        <w:ind w:left="180" w:right="1554" w:firstLine="720"/>
      </w:pPr>
      <w:r>
        <w:rPr/>
        <w:t>Figure 39 shows the percentage of each survey population that agreed or strongly agreed with a representative climate item from each of the seven scales that were developed. The full set of frequencies for each of the 57 climate items is included in Appendix F.</w:t>
      </w:r>
    </w:p>
    <w:p>
      <w:pPr>
        <w:pStyle w:val="Heading5"/>
        <w:spacing w:before="93"/>
        <w:ind w:left="180" w:firstLine="0"/>
      </w:pPr>
      <w:r>
        <w:rPr/>
        <w:pict>
          <v:group style="position:absolute;margin-left:73.199997pt;margin-top:19.229858pt;width:463.6pt;height:386.8pt;mso-position-horizontal-relative:page;mso-position-vertical-relative:paragraph;z-index:-251576320;mso-wrap-distance-left:0;mso-wrap-distance-right:0" coordorigin="1464,385" coordsize="9272,7736">
            <v:line style="position:absolute" from="1472,389" to="10728,389" stroked="true" strokeweight=".4pt" strokecolor="#a4a4a4">
              <v:stroke dashstyle="solid"/>
            </v:line>
            <v:line style="position:absolute" from="1472,8117" to="10728,8117" stroked="true" strokeweight=".4pt" strokecolor="#a4a4a4">
              <v:stroke dashstyle="solid"/>
            </v:line>
            <v:line style="position:absolute" from="1468,385" to="1468,8121" stroked="true" strokeweight=".4pt" strokecolor="#a4a4a4">
              <v:stroke dashstyle="solid"/>
            </v:line>
            <v:line style="position:absolute" from="10732,385" to="10732,8121" stroked="true" strokeweight=".4pt" strokecolor="#a4a4a4">
              <v:stroke dashstyle="solid"/>
            </v:line>
            <v:shape style="position:absolute;left:1695;top:472;width:8838;height:7560" type="#_x0000_t75" alt="See Notes for information on an accessible version of this figure." stroked="false">
              <v:imagedata r:id="rId120" o:title=""/>
            </v:shape>
            <w10:wrap type="topAndBottom"/>
          </v:group>
        </w:pict>
      </w:r>
      <w:r>
        <w:rPr/>
        <w:t>Figure 39. Campus Climate (Sample Items Paraphrased), by Population</w:t>
      </w:r>
    </w:p>
    <w:p>
      <w:pPr>
        <w:spacing w:before="26"/>
        <w:ind w:left="368" w:right="1596" w:hanging="189"/>
        <w:jc w:val="left"/>
        <w:rPr>
          <w:sz w:val="18"/>
        </w:rPr>
      </w:pPr>
      <w:r>
        <w:rPr>
          <w:sz w:val="18"/>
        </w:rPr>
        <w:t>Notes: Percentages are of those agreeing with the statement. For an accessible version of the information shown in this figure, see </w:t>
      </w:r>
      <w:hyperlink r:id="rId121">
        <w:r>
          <w:rPr>
            <w:color w:val="1F419A"/>
            <w:sz w:val="18"/>
            <w:u w:val="single" w:color="1F419A"/>
          </w:rPr>
          <w:t>Appendix Tables F-2a1</w:t>
        </w:r>
        <w:r>
          <w:rPr>
            <w:color w:val="1F419A"/>
            <w:sz w:val="18"/>
          </w:rPr>
          <w:t> </w:t>
        </w:r>
      </w:hyperlink>
      <w:r>
        <w:rPr>
          <w:sz w:val="18"/>
        </w:rPr>
        <w:t>through </w:t>
      </w:r>
      <w:hyperlink r:id="rId122">
        <w:r>
          <w:rPr>
            <w:color w:val="1F419A"/>
            <w:sz w:val="18"/>
            <w:u w:val="single" w:color="1F419A"/>
          </w:rPr>
          <w:t>F-3b5</w:t>
        </w:r>
      </w:hyperlink>
      <w:r>
        <w:rPr>
          <w:sz w:val="18"/>
        </w:rPr>
        <w:t>.</w:t>
      </w:r>
    </w:p>
    <w:p>
      <w:pPr>
        <w:spacing w:after="0"/>
        <w:jc w:val="left"/>
        <w:rPr>
          <w:sz w:val="18"/>
        </w:rPr>
        <w:sectPr>
          <w:pgSz w:w="12240" w:h="15840"/>
          <w:pgMar w:header="0" w:footer="592" w:top="1120" w:bottom="780" w:left="1260" w:right="0"/>
        </w:sectPr>
      </w:pPr>
    </w:p>
    <w:p>
      <w:pPr>
        <w:pStyle w:val="BodyText"/>
        <w:rPr>
          <w:sz w:val="12"/>
        </w:rPr>
      </w:pPr>
    </w:p>
    <w:p>
      <w:pPr>
        <w:pStyle w:val="Heading3"/>
        <w:numPr>
          <w:ilvl w:val="1"/>
          <w:numId w:val="4"/>
        </w:numPr>
        <w:tabs>
          <w:tab w:pos="1043" w:val="left" w:leader="none"/>
          <w:tab w:pos="1044" w:val="left" w:leader="none"/>
        </w:tabs>
        <w:spacing w:line="240" w:lineRule="auto" w:before="89" w:after="0"/>
        <w:ind w:left="1043" w:right="1866" w:hanging="864"/>
        <w:jc w:val="left"/>
      </w:pPr>
      <w:bookmarkStart w:name="4.2 Perceptions of Hypothetical Treatmen" w:id="49"/>
      <w:bookmarkEnd w:id="49"/>
      <w:r>
        <w:rPr>
          <w:b w:val="0"/>
        </w:rPr>
      </w:r>
      <w:bookmarkStart w:name="4.2 Perceptions of Hypothetical Treatmen" w:id="50"/>
      <w:bookmarkEnd w:id="50"/>
      <w:r>
        <w:rPr>
          <w:color w:val="09357D"/>
        </w:rPr>
        <w:t>P</w:t>
      </w:r>
      <w:r>
        <w:rPr>
          <w:color w:val="09357D"/>
        </w:rPr>
        <w:t>erceptions of Hypothetical Treatment by MSU in</w:t>
      </w:r>
      <w:r>
        <w:rPr>
          <w:color w:val="09357D"/>
          <w:spacing w:val="-27"/>
        </w:rPr>
        <w:t> </w:t>
      </w:r>
      <w:r>
        <w:rPr>
          <w:color w:val="09357D"/>
        </w:rPr>
        <w:t>the Event of Sexual Misconduct or</w:t>
      </w:r>
      <w:r>
        <w:rPr>
          <w:color w:val="09357D"/>
          <w:spacing w:val="-5"/>
        </w:rPr>
        <w:t> </w:t>
      </w:r>
      <w:r>
        <w:rPr>
          <w:color w:val="09357D"/>
        </w:rPr>
        <w:t>Assault</w:t>
      </w:r>
    </w:p>
    <w:p>
      <w:pPr>
        <w:spacing w:after="0" w:line="240" w:lineRule="auto"/>
        <w:jc w:val="left"/>
        <w:sectPr>
          <w:pgSz w:w="12240" w:h="15840"/>
          <w:pgMar w:header="0" w:footer="592" w:top="1120" w:bottom="780" w:left="1260" w:right="0"/>
        </w:sectPr>
      </w:pPr>
    </w:p>
    <w:p>
      <w:pPr>
        <w:pStyle w:val="BodyText"/>
        <w:spacing w:before="10"/>
        <w:rPr>
          <w:b/>
          <w:sz w:val="19"/>
        </w:rPr>
      </w:pPr>
    </w:p>
    <w:p>
      <w:pPr>
        <w:pStyle w:val="BodyText"/>
        <w:spacing w:line="333" w:lineRule="auto" w:before="1"/>
        <w:ind w:left="180" w:right="37" w:firstLine="720"/>
      </w:pPr>
      <w:r>
        <w:rPr/>
        <w:t>Another dimension of climate measured in both the student and faculty/staff surveys was the survey participants’ perceptions about how they would be treated by MSU (e.g., whether the school would take their case seriously, protect their privacy, treat them with dignity and respect) if they were to experience sexual misconduct or sexual assault (students were asked about “sexual assault” and faculty/staff were asked about “sexual misconduct”). Reflecting a similar pattern evident for the other dimensions of climate discussed above, under- graduate cisgender men and faculty men conveyed the most positive perceptions, whereas cisgender women graduate/professional students and cisgender women faculty conveyed the most negative perceptions. For example, as shown in Figure 40, only 49.2% of trans- gender and/or nonbinary graduate/professional students agreed or strongly agreed that if they were to experience sexual misconduct, MSU would treat them with dignity and respect, whereas 89.7% of undergraduate cisgender men felt this way.</w:t>
      </w:r>
    </w:p>
    <w:p>
      <w:pPr>
        <w:pStyle w:val="Heading3"/>
        <w:numPr>
          <w:ilvl w:val="1"/>
          <w:numId w:val="4"/>
        </w:numPr>
        <w:tabs>
          <w:tab w:pos="1043" w:val="left" w:leader="none"/>
          <w:tab w:pos="1044" w:val="left" w:leader="none"/>
        </w:tabs>
        <w:spacing w:line="240" w:lineRule="auto" w:before="178" w:after="0"/>
        <w:ind w:left="1043" w:right="59" w:hanging="864"/>
        <w:jc w:val="left"/>
      </w:pPr>
      <w:bookmarkStart w:name="4.3 Awareness of MSU Services and Resour" w:id="51"/>
      <w:bookmarkEnd w:id="51"/>
      <w:r>
        <w:rPr>
          <w:b w:val="0"/>
        </w:rPr>
      </w:r>
      <w:bookmarkStart w:name="4.3 Awareness of MSU Services and Resour" w:id="52"/>
      <w:bookmarkEnd w:id="52"/>
      <w:r>
        <w:rPr>
          <w:color w:val="09357D"/>
        </w:rPr>
        <w:t>A</w:t>
      </w:r>
      <w:r>
        <w:rPr>
          <w:color w:val="09357D"/>
        </w:rPr>
        <w:t>wareness of MSU Services and</w:t>
      </w:r>
      <w:r>
        <w:rPr>
          <w:color w:val="09357D"/>
          <w:spacing w:val="-1"/>
        </w:rPr>
        <w:t> </w:t>
      </w:r>
      <w:r>
        <w:rPr>
          <w:color w:val="09357D"/>
        </w:rPr>
        <w:t>Resources</w:t>
      </w:r>
    </w:p>
    <w:p>
      <w:pPr>
        <w:pStyle w:val="BodyText"/>
        <w:spacing w:line="333" w:lineRule="auto" w:before="228"/>
        <w:ind w:left="180" w:right="104" w:firstLine="720"/>
      </w:pPr>
      <w:r>
        <w:rPr/>
        <w:t>A critical dimension of climate is the extent to which members of the campus community were aware of the various services and resources on campus related to sexual misconduct. Survey participants were asked about 13 specific programs or services; as evident from</w:t>
      </w:r>
    </w:p>
    <w:p>
      <w:pPr>
        <w:pStyle w:val="BodyText"/>
        <w:spacing w:line="333" w:lineRule="auto" w:before="2"/>
        <w:ind w:left="180" w:right="49"/>
      </w:pPr>
      <w:r>
        <w:rPr/>
        <w:t>Figure 41, awareness was mixed. Awareness among undergraduate cisgender women and men tended to be highest for MSU Safe Ride, the MSU Center for Survivors, and MSU Safe Place. Transgender/nonbinary undergraduates were also “very aware” of the MSU</w:t>
      </w:r>
    </w:p>
    <w:p>
      <w:pPr>
        <w:pStyle w:val="Heading5"/>
        <w:spacing w:before="137"/>
        <w:ind w:left="180" w:firstLine="0"/>
      </w:pPr>
      <w:r>
        <w:rPr>
          <w:b w:val="0"/>
        </w:rPr>
        <w:br w:type="column"/>
      </w:r>
      <w:r>
        <w:rPr/>
        <w:t>Figure 40. “If I were to experience</w:t>
      </w:r>
    </w:p>
    <w:p>
      <w:pPr>
        <w:spacing w:line="240" w:lineRule="auto" w:before="2"/>
        <w:ind w:left="1260" w:right="1630" w:firstLine="0"/>
        <w:jc w:val="left"/>
        <w:rPr>
          <w:b/>
          <w:sz w:val="20"/>
        </w:rPr>
      </w:pPr>
      <w:r>
        <w:rPr>
          <w:b/>
          <w:sz w:val="20"/>
        </w:rPr>
        <w:t>sexual misconduct, MSU would treat me with dignity and respect”</w:t>
      </w:r>
    </w:p>
    <w:p>
      <w:pPr>
        <w:pStyle w:val="BodyText"/>
        <w:spacing w:before="8"/>
        <w:rPr>
          <w:b/>
          <w:sz w:val="4"/>
        </w:rPr>
      </w:pPr>
    </w:p>
    <w:p>
      <w:pPr>
        <w:pStyle w:val="BodyText"/>
        <w:ind w:left="68"/>
      </w:pPr>
      <w:r>
        <w:rPr/>
        <w:pict>
          <v:group style="width:198.4pt;height:413.4pt;mso-position-horizontal-relative:char;mso-position-vertical-relative:line" coordorigin="0,0" coordsize="3968,8268">
            <v:rect style="position:absolute;left:8;top:0;width:9;height:8" filled="true" fillcolor="#a4a4a4" stroked="false">
              <v:fill type="solid"/>
            </v:rect>
            <v:line style="position:absolute" from="16,4" to="3960,4" stroked="true" strokeweight=".4pt" strokecolor="#a4a4a4">
              <v:stroke dashstyle="solid"/>
            </v:line>
            <v:line style="position:absolute" from="4,0" to="4,8268" stroked="true" strokeweight=".4pt" strokecolor="#a4a4a4">
              <v:stroke dashstyle="solid"/>
            </v:line>
            <v:line style="position:absolute" from="3964,0" to="3964,8268" stroked="true" strokeweight=".4pt" strokecolor="#a4a4a4">
              <v:stroke dashstyle="solid"/>
            </v:line>
            <v:rect style="position:absolute;left:8;top:8260;width:9;height:8" filled="true" fillcolor="#a4a4a4" stroked="false">
              <v:fill type="solid"/>
            </v:rect>
            <v:line style="position:absolute" from="16,8264" to="3960,8264" stroked="true" strokeweight=".4pt" strokecolor="#a4a4a4">
              <v:stroke dashstyle="solid"/>
            </v:line>
            <v:shape style="position:absolute;left:661;top:131;width:2751;height:8010" type="#_x0000_t75" alt="See Notes for information on an accessible version of this figure." stroked="false">
              <v:imagedata r:id="rId123" o:title=""/>
            </v:shape>
          </v:group>
        </w:pict>
      </w:r>
      <w:r>
        <w:rPr/>
      </w:r>
    </w:p>
    <w:p>
      <w:pPr>
        <w:spacing w:line="240" w:lineRule="auto" w:before="28"/>
        <w:ind w:left="367" w:right="1701" w:hanging="188"/>
        <w:jc w:val="left"/>
        <w:rPr>
          <w:sz w:val="18"/>
        </w:rPr>
      </w:pPr>
      <w:r>
        <w:rPr>
          <w:sz w:val="18"/>
        </w:rPr>
        <w:t>Notes: Percentages are of those agreeing with the statement. For an accessible version of the information shown in this figure, see </w:t>
      </w:r>
      <w:hyperlink r:id="rId124">
        <w:r>
          <w:rPr>
            <w:color w:val="1F419A"/>
            <w:sz w:val="18"/>
            <w:u w:val="single" w:color="1F419A"/>
          </w:rPr>
          <w:t>Appendix Tables F-4a1</w:t>
        </w:r>
        <w:r>
          <w:rPr>
            <w:color w:val="1F419A"/>
            <w:sz w:val="18"/>
          </w:rPr>
          <w:t> </w:t>
        </w:r>
      </w:hyperlink>
      <w:r>
        <w:rPr>
          <w:sz w:val="18"/>
        </w:rPr>
        <w:t>through </w:t>
      </w:r>
      <w:hyperlink r:id="rId125">
        <w:r>
          <w:rPr>
            <w:color w:val="1F419A"/>
            <w:sz w:val="18"/>
            <w:u w:val="single" w:color="1F419A"/>
          </w:rPr>
          <w:t>F-4b5</w:t>
        </w:r>
      </w:hyperlink>
      <w:r>
        <w:rPr>
          <w:sz w:val="18"/>
        </w:rPr>
        <w:t>.</w:t>
      </w:r>
    </w:p>
    <w:p>
      <w:pPr>
        <w:spacing w:after="0" w:line="240" w:lineRule="auto"/>
        <w:jc w:val="left"/>
        <w:rPr>
          <w:sz w:val="18"/>
        </w:rPr>
        <w:sectPr>
          <w:type w:val="continuous"/>
          <w:pgSz w:w="12240" w:h="15840"/>
          <w:pgMar w:top="1500" w:bottom="0" w:left="1260" w:right="0"/>
          <w:cols w:num="2" w:equalWidth="0">
            <w:col w:w="5396" w:space="96"/>
            <w:col w:w="5488"/>
          </w:cols>
        </w:sectPr>
      </w:pPr>
    </w:p>
    <w:p>
      <w:pPr>
        <w:pStyle w:val="BodyText"/>
        <w:spacing w:line="333" w:lineRule="auto" w:before="1"/>
        <w:ind w:left="180" w:right="1485"/>
      </w:pPr>
      <w:r>
        <w:rPr/>
        <w:t>Gender and Sexuality Campus Center. Cisgender women graduate/professional students indicated being most aware of the MSU Center for Survivors, the MSU Office of Institutional Equity (OIE), and the MSU Office for Civil Rights &amp; Title IX. Cisgender men graduate/professional students indicated being most aware of the MSU OIE and the MSU Office for Civil Rights &amp; Title IX, and transgender and/or nonbinary</w:t>
      </w:r>
    </w:p>
    <w:p>
      <w:pPr>
        <w:spacing w:after="0" w:line="333" w:lineRule="auto"/>
        <w:sectPr>
          <w:type w:val="continuous"/>
          <w:pgSz w:w="12240" w:h="15840"/>
          <w:pgMar w:top="1500" w:bottom="0" w:left="1260" w:right="0"/>
        </w:sectPr>
      </w:pPr>
    </w:p>
    <w:p>
      <w:pPr>
        <w:pStyle w:val="BodyText"/>
        <w:spacing w:before="7"/>
        <w:rPr>
          <w:sz w:val="17"/>
        </w:rPr>
      </w:pPr>
    </w:p>
    <w:p>
      <w:pPr>
        <w:pStyle w:val="BodyText"/>
        <w:spacing w:line="333" w:lineRule="auto" w:before="94"/>
        <w:ind w:left="180" w:right="1574"/>
      </w:pPr>
      <w:r>
        <w:rPr/>
        <w:t>graduate/professional students indicated being most aware of the MSU Gender and Sexuality Campus Center and the MSU Center for Survivors. For faculty and staff, the MSU OIE, Office of University Ombudsperson, and the Office for Civil Rights &amp; Title IX were all well-recognized. Cisgender women faculty also had high awareness of MSU’s Employee Assistance Program, as did staff cisgender women and men and transgender and/or nonbinary faculty/staff. Transgender and/or nonbinary faculty/staff also expressed strong awareness of MSU Safe Place and the MSU Gender and Sexuality Campus Center.</w:t>
      </w:r>
    </w:p>
    <w:p>
      <w:pPr>
        <w:pStyle w:val="Heading5"/>
        <w:spacing w:before="93"/>
        <w:ind w:left="180" w:firstLine="0"/>
      </w:pPr>
      <w:r>
        <w:rPr/>
        <w:pict>
          <v:group style="position:absolute;margin-left:73.199997pt;margin-top:19.429895pt;width:463.6pt;height:364.2pt;mso-position-horizontal-relative:page;mso-position-vertical-relative:paragraph;z-index:-251574272;mso-wrap-distance-left:0;mso-wrap-distance-right:0" coordorigin="1464,389" coordsize="9272,7284">
            <v:line style="position:absolute" from="1472,393" to="10728,393" stroked="true" strokeweight=".4pt" strokecolor="#a4a4a4">
              <v:stroke dashstyle="solid"/>
            </v:line>
            <v:line style="position:absolute" from="1472,7669" to="10728,7669" stroked="true" strokeweight=".4pt" strokecolor="#a4a4a4">
              <v:stroke dashstyle="solid"/>
            </v:line>
            <v:line style="position:absolute" from="1468,389" to="1468,7673" stroked="true" strokeweight=".4pt" strokecolor="#a4a4a4">
              <v:stroke dashstyle="solid"/>
            </v:line>
            <v:line style="position:absolute" from="10732,389" to="10732,7673" stroked="true" strokeweight=".4pt" strokecolor="#a4a4a4">
              <v:stroke dashstyle="solid"/>
            </v:line>
            <v:shape style="position:absolute;left:1724;top:474;width:8891;height:7110" type="#_x0000_t75" alt="See Notes for information on an accessible version of this figure." stroked="false">
              <v:imagedata r:id="rId126" o:title=""/>
            </v:shape>
            <w10:wrap type="topAndBottom"/>
          </v:group>
        </w:pict>
      </w:r>
      <w:r>
        <w:rPr/>
        <w:t>Figure 41. Awareness of MSU Resources</w:t>
      </w:r>
    </w:p>
    <w:p>
      <w:pPr>
        <w:spacing w:line="173" w:lineRule="exact" w:before="0"/>
        <w:ind w:left="0" w:right="1434" w:firstLine="0"/>
        <w:jc w:val="right"/>
        <w:rPr>
          <w:sz w:val="18"/>
        </w:rPr>
      </w:pPr>
      <w:r>
        <w:rPr>
          <w:sz w:val="18"/>
        </w:rPr>
        <w:t>(continued)</w:t>
      </w:r>
    </w:p>
    <w:p>
      <w:pPr>
        <w:spacing w:after="0" w:line="173" w:lineRule="exact"/>
        <w:jc w:val="right"/>
        <w:rPr>
          <w:sz w:val="18"/>
        </w:rPr>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22.479895pt;width:463.6pt;height:362pt;mso-position-horizontal-relative:page;mso-position-vertical-relative:paragraph;z-index:-251573248;mso-wrap-distance-left:0;mso-wrap-distance-right:0" coordorigin="1464,450" coordsize="9272,7240">
            <v:line style="position:absolute" from="1472,454" to="10728,454" stroked="true" strokeweight=".4pt" strokecolor="#a4a4a4">
              <v:stroke dashstyle="solid"/>
            </v:line>
            <v:line style="position:absolute" from="1472,7686" to="10728,7686" stroked="true" strokeweight=".4pt" strokecolor="#a4a4a4">
              <v:stroke dashstyle="solid"/>
            </v:line>
            <v:line style="position:absolute" from="1468,450" to="1468,7690" stroked="true" strokeweight=".4pt" strokecolor="#a4a4a4">
              <v:stroke dashstyle="solid"/>
            </v:line>
            <v:line style="position:absolute" from="10732,450" to="10732,7690" stroked="true" strokeweight=".4pt" strokecolor="#a4a4a4">
              <v:stroke dashstyle="solid"/>
            </v:line>
            <v:shape style="position:absolute;left:1702;top:535;width:8886;height:7065" type="#_x0000_t75" stroked="false">
              <v:imagedata r:id="rId127" o:title=""/>
            </v:shape>
            <w10:wrap type="topAndBottom"/>
          </v:group>
        </w:pict>
      </w:r>
      <w:r>
        <w:rPr/>
        <w:t>Figure 41. Awareness of MSU Resources (continued)</w:t>
      </w:r>
    </w:p>
    <w:p>
      <w:pPr>
        <w:spacing w:before="26"/>
        <w:ind w:left="367" w:right="1946" w:hanging="188"/>
        <w:jc w:val="left"/>
        <w:rPr>
          <w:sz w:val="18"/>
        </w:rPr>
      </w:pPr>
      <w:r>
        <w:rPr>
          <w:sz w:val="18"/>
        </w:rPr>
        <w:t>Notes: Percentages are of those who reported being “very aware” or “somewhat aware” of the resource. For an accessible version of the information shown in this figure, see </w:t>
      </w:r>
      <w:hyperlink r:id="rId128">
        <w:r>
          <w:rPr>
            <w:color w:val="1F419A"/>
            <w:sz w:val="18"/>
            <w:u w:val="single" w:color="1F419A"/>
          </w:rPr>
          <w:t>Appendix Tables F-5a1</w:t>
        </w:r>
        <w:r>
          <w:rPr>
            <w:color w:val="1F419A"/>
            <w:sz w:val="18"/>
          </w:rPr>
          <w:t> </w:t>
        </w:r>
      </w:hyperlink>
      <w:r>
        <w:rPr>
          <w:sz w:val="18"/>
        </w:rPr>
        <w:t>through </w:t>
      </w:r>
      <w:hyperlink r:id="rId129">
        <w:r>
          <w:rPr>
            <w:color w:val="1F419A"/>
            <w:sz w:val="18"/>
            <w:u w:val="single" w:color="1F419A"/>
          </w:rPr>
          <w:t>F-5b5</w:t>
        </w:r>
      </w:hyperlink>
      <w:r>
        <w:rPr>
          <w:color w:val="1F419A"/>
          <w:sz w:val="18"/>
          <w:u w:val="single" w:color="1F419A"/>
        </w:rPr>
        <w:t>.</w:t>
      </w:r>
    </w:p>
    <w:p>
      <w:pPr>
        <w:pStyle w:val="BodyText"/>
        <w:spacing w:before="2"/>
        <w:rPr>
          <w:sz w:val="27"/>
        </w:rPr>
      </w:pPr>
    </w:p>
    <w:p>
      <w:pPr>
        <w:pStyle w:val="Heading3"/>
        <w:numPr>
          <w:ilvl w:val="1"/>
          <w:numId w:val="4"/>
        </w:numPr>
        <w:tabs>
          <w:tab w:pos="1043" w:val="left" w:leader="none"/>
          <w:tab w:pos="1044" w:val="left" w:leader="none"/>
        </w:tabs>
        <w:spacing w:line="240" w:lineRule="auto" w:before="90" w:after="0"/>
        <w:ind w:left="1043" w:right="0" w:hanging="864"/>
        <w:jc w:val="left"/>
      </w:pPr>
      <w:bookmarkStart w:name="4.4 Participation in Trainings" w:id="53"/>
      <w:bookmarkEnd w:id="53"/>
      <w:r>
        <w:rPr>
          <w:b w:val="0"/>
        </w:rPr>
      </w:r>
      <w:bookmarkStart w:name="4.4 Participation in Trainings" w:id="54"/>
      <w:bookmarkEnd w:id="54"/>
      <w:r>
        <w:rPr>
          <w:color w:val="09357D"/>
        </w:rPr>
        <w:t>P</w:t>
      </w:r>
      <w:r>
        <w:rPr>
          <w:color w:val="09357D"/>
        </w:rPr>
        <w:t>articipation in</w:t>
      </w:r>
      <w:r>
        <w:rPr>
          <w:color w:val="09357D"/>
          <w:spacing w:val="-6"/>
        </w:rPr>
        <w:t> </w:t>
      </w:r>
      <w:r>
        <w:rPr>
          <w:color w:val="09357D"/>
        </w:rPr>
        <w:t>Trainings</w:t>
      </w:r>
    </w:p>
    <w:p>
      <w:pPr>
        <w:pStyle w:val="BodyText"/>
        <w:spacing w:line="333" w:lineRule="auto" w:before="229"/>
        <w:ind w:left="180" w:right="1566" w:firstLine="720"/>
        <w:rPr>
          <w:sz w:val="12"/>
        </w:rPr>
      </w:pPr>
      <w:r>
        <w:rPr/>
        <w:t>The surveys asked participants about the training or education they recall having received about sexual misconduct. Among students, 78.9% of undergraduates and 80.5% of graduate or professional students indicated that they had received information or education about sexual misconduct before enrolling at MSU. While at MSU, a large majority of all survey populations indicated having received trainings or having attended classes that cover a number of specific topics (Figure 42).</w:t>
      </w:r>
      <w:r>
        <w:rPr>
          <w:position w:val="5"/>
          <w:sz w:val="12"/>
        </w:rPr>
        <w:t>37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9"/>
        </w:rPr>
      </w:pPr>
      <w:r>
        <w:rPr/>
        <w:pict>
          <v:shape style="position:absolute;margin-left:72pt;margin-top:13.568262pt;width:144pt;height:.1pt;mso-position-horizontal-relative:page;mso-position-vertical-relative:paragraph;z-index:-251572224;mso-wrap-distance-left:0;mso-wrap-distance-right:0" coordorigin="1440,271" coordsize="2880,0" path="m1440,271l4320,271e" filled="false" stroked="true" strokeweight=".4pt" strokecolor="#000000">
            <v:path arrowok="t"/>
            <v:stroke dashstyle="solid"/>
            <w10:wrap type="topAndBottom"/>
          </v:shape>
        </w:pict>
      </w:r>
    </w:p>
    <w:p>
      <w:pPr>
        <w:spacing w:before="54"/>
        <w:ind w:left="452" w:right="1514" w:hanging="259"/>
        <w:jc w:val="left"/>
        <w:rPr>
          <w:sz w:val="18"/>
        </w:rPr>
      </w:pPr>
      <w:r>
        <w:rPr>
          <w:position w:val="4"/>
          <w:sz w:val="12"/>
        </w:rPr>
        <w:t>37 </w:t>
      </w:r>
      <w:r>
        <w:rPr>
          <w:sz w:val="18"/>
        </w:rPr>
        <w:t>It should be noted that during the 2021–2022 academic year, some trainings were given in real time, but online via Zoom. It is unknown whether survey respondents considered such trainings to be online.</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369.25pt;mso-position-horizontal-relative:page;mso-position-vertical-relative:paragraph;z-index:-251571200;mso-wrap-distance-left:0;mso-wrap-distance-right:0" coordorigin="1464,390" coordsize="9272,7385">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7770" to="10728,7770" stroked="true" strokeweight=".401pt" strokecolor="#a4a4a4">
              <v:stroke dashstyle="solid"/>
            </v:line>
            <v:line style="position:absolute" from="1468,398" to="1468,7774" stroked="true" strokeweight=".4pt" strokecolor="#a4a4a4">
              <v:stroke dashstyle="solid"/>
            </v:line>
            <v:line style="position:absolute" from="10732,398" to="10732,7774" stroked="true" strokeweight=".4pt" strokecolor="#a4a4a4">
              <v:stroke dashstyle="solid"/>
            </v:line>
            <v:shape style="position:absolute;left:1700;top:475;width:8904;height:7208" type="#_x0000_t75" alt="See Notes for information on an accessible version of this figure." stroked="false">
              <v:imagedata r:id="rId130" o:title=""/>
            </v:shape>
            <w10:wrap type="topAndBottom"/>
          </v:group>
        </w:pict>
      </w:r>
      <w:r>
        <w:rPr/>
        <w:t>Figure 42. Training on Specific Topics</w:t>
      </w:r>
    </w:p>
    <w:p>
      <w:pPr>
        <w:spacing w:before="26"/>
        <w:ind w:left="368" w:right="1515" w:hanging="189"/>
        <w:jc w:val="left"/>
        <w:rPr>
          <w:sz w:val="18"/>
        </w:rPr>
      </w:pPr>
      <w:r>
        <w:rPr>
          <w:sz w:val="18"/>
        </w:rPr>
        <w:t>Notes: Percentages are of those who indicated having received training. For an accessible version of the information shown in this figure, see </w:t>
      </w:r>
      <w:hyperlink r:id="rId131">
        <w:r>
          <w:rPr>
            <w:color w:val="1F419A"/>
            <w:sz w:val="18"/>
            <w:u w:val="single" w:color="1F419A"/>
          </w:rPr>
          <w:t>Appendix Tables F-6a</w:t>
        </w:r>
        <w:r>
          <w:rPr>
            <w:color w:val="1F419A"/>
            <w:sz w:val="18"/>
          </w:rPr>
          <w:t> </w:t>
        </w:r>
      </w:hyperlink>
      <w:r>
        <w:rPr>
          <w:sz w:val="18"/>
        </w:rPr>
        <w:t>through </w:t>
      </w:r>
      <w:hyperlink r:id="rId132">
        <w:r>
          <w:rPr>
            <w:color w:val="1F419A"/>
            <w:sz w:val="18"/>
            <w:u w:val="single" w:color="1F419A"/>
          </w:rPr>
          <w:t>F-6c</w:t>
        </w:r>
      </w:hyperlink>
      <w:r>
        <w:rPr>
          <w:sz w:val="18"/>
        </w:rPr>
        <w:t>.</w:t>
      </w:r>
    </w:p>
    <w:p>
      <w:pPr>
        <w:pStyle w:val="BodyText"/>
      </w:pPr>
    </w:p>
    <w:p>
      <w:pPr>
        <w:pStyle w:val="BodyText"/>
        <w:spacing w:before="7"/>
      </w:pPr>
    </w:p>
    <w:p>
      <w:pPr>
        <w:pStyle w:val="BodyText"/>
        <w:spacing w:line="333" w:lineRule="auto"/>
        <w:ind w:left="179" w:right="1500" w:firstLine="720"/>
      </w:pPr>
      <w:r>
        <w:rPr/>
        <w:t>The surveys also asked about specific programs and trainings that MSU offered. The percentage of undergraduate students receiving specific trainings is shown in Figure 43. Of the students who participated in a particular training, most perceived it as helpful or very helpful. For example, among undergraduates, 85.5% of cisgender women, 79.7% of cisgender men, and 70.8% of transgender or nonbinary students who indicated that they had participated in the Sexual Assault and Relationship Violence (SARV) Prevention program felt the training was helpful or very helpful.</w:t>
      </w:r>
    </w:p>
    <w:p>
      <w:pPr>
        <w:spacing w:after="0" w:line="333" w:lineRule="auto"/>
        <w:sectPr>
          <w:pgSz w:w="12240" w:h="15840"/>
          <w:pgMar w:header="0" w:footer="592" w:top="1120" w:bottom="780" w:left="1260" w:right="0"/>
        </w:sectPr>
      </w:pPr>
    </w:p>
    <w:p>
      <w:pPr>
        <w:pStyle w:val="BodyText"/>
        <w:spacing w:before="8"/>
        <w:rPr>
          <w:sz w:val="11"/>
        </w:rPr>
      </w:pPr>
    </w:p>
    <w:p>
      <w:pPr>
        <w:pStyle w:val="Heading5"/>
        <w:ind w:left="180" w:firstLine="0"/>
      </w:pPr>
      <w:r>
        <w:rPr/>
        <w:pict>
          <v:group style="position:absolute;margin-left:73.199997pt;margin-top:19.478895pt;width:463.6pt;height:199.25pt;mso-position-horizontal-relative:page;mso-position-vertical-relative:paragraph;z-index:-251570176;mso-wrap-distance-left:0;mso-wrap-distance-right:0" coordorigin="1464,390" coordsize="9272,3985">
            <v:rect style="position:absolute;left:1464;top:389;width:8;height:9" filled="true" fillcolor="#a4a4a4" stroked="false">
              <v:fill type="solid"/>
            </v:rect>
            <v:rect style="position:absolute;left:1464;top:389;width:8;height:9" filled="true" fillcolor="#a4a4a4" stroked="false">
              <v:fill type="solid"/>
            </v:rect>
            <v:line style="position:absolute" from="1472,394" to="10728,394" stroked="true" strokeweight=".401pt" strokecolor="#a4a4a4">
              <v:stroke dashstyle="solid"/>
            </v:line>
            <v:rect style="position:absolute;left:10728;top:389;width:8;height:9" filled="true" fillcolor="#a4a4a4" stroked="false">
              <v:fill type="solid"/>
            </v:rect>
            <v:rect style="position:absolute;left:10728;top:389;width:8;height:9" filled="true" fillcolor="#a4a4a4" stroked="false">
              <v:fill type="solid"/>
            </v:rect>
            <v:line style="position:absolute" from="1472,4370" to="10728,4370" stroked="true" strokeweight=".4pt" strokecolor="#a4a4a4">
              <v:stroke dashstyle="solid"/>
            </v:line>
            <v:line style="position:absolute" from="1468,398" to="1468,4374" stroked="true" strokeweight=".4pt" strokecolor="#a4a4a4">
              <v:stroke dashstyle="solid"/>
            </v:line>
            <v:line style="position:absolute" from="10732,398" to="10732,4374" stroked="true" strokeweight=".4pt" strokecolor="#a4a4a4">
              <v:stroke dashstyle="solid"/>
            </v:line>
            <v:shape style="position:absolute;left:1821;top:475;width:8752;height:3808" type="#_x0000_t75" alt="See Notes for information on an accessible version of this figure." stroked="false">
              <v:imagedata r:id="rId133" o:title=""/>
            </v:shape>
            <w10:wrap type="topAndBottom"/>
          </v:group>
        </w:pict>
      </w:r>
      <w:r>
        <w:rPr/>
        <w:t>Figure 43. Undergraduate Student Participation in Specific Trainings</w:t>
      </w:r>
    </w:p>
    <w:p>
      <w:pPr>
        <w:spacing w:before="26"/>
        <w:ind w:left="367" w:right="1566" w:hanging="188"/>
        <w:jc w:val="left"/>
        <w:rPr>
          <w:sz w:val="18"/>
        </w:rPr>
      </w:pPr>
      <w:r>
        <w:rPr>
          <w:sz w:val="18"/>
        </w:rPr>
        <w:t>Notes: Percentages are of those receiving training. For an accessible version of the information shown in this figure, see </w:t>
      </w:r>
      <w:hyperlink r:id="rId134">
        <w:r>
          <w:rPr>
            <w:color w:val="1F419A"/>
            <w:sz w:val="18"/>
            <w:u w:val="single" w:color="1F419A"/>
          </w:rPr>
          <w:t>Appendix Table F-7a</w:t>
        </w:r>
      </w:hyperlink>
      <w:r>
        <w:rPr>
          <w:sz w:val="18"/>
        </w:rPr>
        <w:t>.</w:t>
      </w:r>
    </w:p>
    <w:p>
      <w:pPr>
        <w:pStyle w:val="BodyText"/>
      </w:pPr>
    </w:p>
    <w:p>
      <w:pPr>
        <w:spacing w:after="0"/>
        <w:sectPr>
          <w:pgSz w:w="12240" w:h="15840"/>
          <w:pgMar w:header="0" w:footer="592" w:top="1120" w:bottom="780" w:left="1260" w:right="0"/>
        </w:sectPr>
      </w:pPr>
    </w:p>
    <w:p>
      <w:pPr>
        <w:pStyle w:val="BodyText"/>
        <w:spacing w:before="11"/>
      </w:pPr>
    </w:p>
    <w:p>
      <w:pPr>
        <w:pStyle w:val="BodyText"/>
        <w:spacing w:line="333" w:lineRule="auto"/>
        <w:ind w:left="180" w:right="25" w:firstLine="720"/>
      </w:pPr>
      <w:r>
        <w:rPr/>
        <w:t>Graduate students were asked about receiving online training about RVSM (Figure 44), and the vast majority indicated they had participated. About a third indicated that they had taken some other in- person training on MSU’s RVSM policy.</w:t>
      </w:r>
    </w:p>
    <w:p>
      <w:pPr>
        <w:pStyle w:val="BodyText"/>
        <w:spacing w:line="333" w:lineRule="auto" w:before="163"/>
        <w:ind w:left="180" w:right="136" w:firstLine="720"/>
      </w:pPr>
      <w:r>
        <w:rPr/>
        <w:t>All groups thought that online training was slightly less helpful than in-person training. For example, among graduate and professional students who had participated in an online training, 77.2% of cisgender women, 71.8% of cisgender men, and 57.2% of transgender and/or nonbinary students found it to be helpful/very helpful; of those who participated in an in-person training, 88.9% of</w:t>
      </w:r>
    </w:p>
    <w:p>
      <w:pPr>
        <w:pStyle w:val="BodyText"/>
        <w:spacing w:before="1"/>
        <w:rPr>
          <w:sz w:val="24"/>
        </w:rPr>
      </w:pPr>
      <w:r>
        <w:rPr/>
        <w:br w:type="column"/>
      </w:r>
      <w:r>
        <w:rPr>
          <w:sz w:val="24"/>
        </w:rPr>
      </w:r>
    </w:p>
    <w:p>
      <w:pPr>
        <w:pStyle w:val="Heading5"/>
        <w:spacing w:line="242" w:lineRule="auto" w:before="0"/>
        <w:ind w:right="1082"/>
      </w:pPr>
      <w:r>
        <w:rPr/>
        <w:t>Figure 44. Graduate/Professional Student Participation in Specific Trainings</w:t>
      </w:r>
    </w:p>
    <w:p>
      <w:pPr>
        <w:pStyle w:val="BodyText"/>
        <w:spacing w:before="5"/>
        <w:rPr>
          <w:b/>
          <w:sz w:val="4"/>
        </w:rPr>
      </w:pPr>
    </w:p>
    <w:p>
      <w:pPr>
        <w:pStyle w:val="BodyText"/>
        <w:ind w:left="68"/>
      </w:pPr>
      <w:r>
        <w:rPr/>
        <w:pict>
          <v:group style="width:296.2pt;height:233.8pt;mso-position-horizontal-relative:char;mso-position-vertical-relative:line" coordorigin="0,0" coordsize="5924,4676">
            <v:rect style="position:absolute;left:8;top:0;width:8;height:8" filled="true" fillcolor="#a4a4a4" stroked="false">
              <v:fill type="solid"/>
            </v:rect>
            <v:line style="position:absolute" from="16,4" to="5916,4" stroked="true" strokeweight=".4pt" strokecolor="#a4a4a4">
              <v:stroke dashstyle="solid"/>
            </v:line>
            <v:line style="position:absolute" from="4,0" to="4,4676" stroked="true" strokeweight=".4pt" strokecolor="#a4a4a4">
              <v:stroke dashstyle="solid"/>
            </v:line>
            <v:line style="position:absolute" from="5920,0" to="5920,4676" stroked="true" strokeweight=".4pt" strokecolor="#a4a4a4">
              <v:stroke dashstyle="solid"/>
            </v:line>
            <v:rect style="position:absolute;left:8;top:4668;width:8;height:8" filled="true" fillcolor="#a4a4a4" stroked="false">
              <v:fill type="solid"/>
            </v:rect>
            <v:line style="position:absolute" from="16,4672" to="5916,4672" stroked="true" strokeweight=".4pt" strokecolor="#a4a4a4">
              <v:stroke dashstyle="solid"/>
            </v:line>
            <v:shape style="position:absolute;left:322;top:131;width:5476;height:4415" type="#_x0000_t75" alt="See Notes for information on an accessible version of this figure." stroked="false">
              <v:imagedata r:id="rId135" o:title=""/>
            </v:shape>
          </v:group>
        </w:pict>
      </w:r>
      <w:r>
        <w:rPr/>
      </w:r>
    </w:p>
    <w:p>
      <w:pPr>
        <w:spacing w:before="17"/>
        <w:ind w:left="367" w:right="1576" w:hanging="188"/>
        <w:jc w:val="both"/>
        <w:rPr>
          <w:sz w:val="18"/>
        </w:rPr>
      </w:pPr>
      <w:r>
        <w:rPr>
          <w:sz w:val="18"/>
        </w:rPr>
        <w:t>Notes: Percentages are of those who reported having received training. For an accessible version of the information shown in this figure, see </w:t>
      </w:r>
      <w:hyperlink r:id="rId136">
        <w:r>
          <w:rPr>
            <w:color w:val="1F419A"/>
            <w:sz w:val="18"/>
            <w:u w:val="single" w:color="1F419A"/>
          </w:rPr>
          <w:t>Appendix Table F-7b</w:t>
        </w:r>
      </w:hyperlink>
      <w:r>
        <w:rPr>
          <w:sz w:val="18"/>
        </w:rPr>
        <w:t>.</w:t>
      </w:r>
    </w:p>
    <w:p>
      <w:pPr>
        <w:spacing w:after="0"/>
        <w:jc w:val="both"/>
        <w:rPr>
          <w:sz w:val="18"/>
        </w:rPr>
        <w:sectPr>
          <w:type w:val="continuous"/>
          <w:pgSz w:w="12240" w:h="15840"/>
          <w:pgMar w:top="1500" w:bottom="0" w:left="1260" w:right="0"/>
          <w:cols w:num="2" w:equalWidth="0">
            <w:col w:w="3472" w:space="64"/>
            <w:col w:w="7444"/>
          </w:cols>
        </w:sectPr>
      </w:pPr>
    </w:p>
    <w:p>
      <w:pPr>
        <w:pStyle w:val="BodyText"/>
        <w:spacing w:before="4"/>
        <w:ind w:left="180"/>
      </w:pPr>
      <w:r>
        <w:rPr/>
        <w:t>cisgender women and 78.7% of cisgender men found it to be helpful or very helpful.</w:t>
      </w:r>
    </w:p>
    <w:p>
      <w:pPr>
        <w:spacing w:after="0"/>
        <w:sectPr>
          <w:type w:val="continuous"/>
          <w:pgSz w:w="12240" w:h="15840"/>
          <w:pgMar w:top="1500" w:bottom="0" w:left="1260" w:right="0"/>
        </w:sectPr>
      </w:pPr>
    </w:p>
    <w:p>
      <w:pPr>
        <w:pStyle w:val="BodyText"/>
        <w:rPr>
          <w:sz w:val="12"/>
        </w:rPr>
      </w:pPr>
    </w:p>
    <w:p>
      <w:pPr>
        <w:spacing w:after="0"/>
        <w:rPr>
          <w:sz w:val="12"/>
        </w:rPr>
        <w:sectPr>
          <w:pgSz w:w="12240" w:h="15840"/>
          <w:pgMar w:header="0" w:footer="592" w:top="1120" w:bottom="780" w:left="1260" w:right="0"/>
        </w:sectPr>
      </w:pPr>
    </w:p>
    <w:p>
      <w:pPr>
        <w:pStyle w:val="BodyText"/>
        <w:spacing w:line="333" w:lineRule="auto" w:before="158"/>
        <w:ind w:left="179" w:right="25" w:firstLine="720"/>
      </w:pPr>
      <w:r>
        <w:rPr/>
        <w:t>Faculty and staff were asked about their participation in three trainings; Figure 45 shows those results. The vast majority (over 85%) of all five groups recalled having received the online training on RVSM, but fewer than half indicated receiving an in-person training on MSU’s RVSM policy.</w:t>
      </w:r>
    </w:p>
    <w:p>
      <w:pPr>
        <w:pStyle w:val="BodyText"/>
        <w:spacing w:line="333" w:lineRule="auto" w:before="3"/>
        <w:ind w:left="179" w:right="172"/>
        <w:jc w:val="both"/>
      </w:pPr>
      <w:r>
        <w:rPr/>
        <w:t>Cisgender faculty and staff women felt the in-person training was more helpful than the online training.</w:t>
      </w:r>
    </w:p>
    <w:p>
      <w:pPr>
        <w:pStyle w:val="Heading3"/>
        <w:numPr>
          <w:ilvl w:val="1"/>
          <w:numId w:val="4"/>
        </w:numPr>
        <w:tabs>
          <w:tab w:pos="1043" w:val="left" w:leader="none"/>
          <w:tab w:pos="1044" w:val="left" w:leader="none"/>
        </w:tabs>
        <w:spacing w:line="240" w:lineRule="auto" w:before="172" w:after="0"/>
        <w:ind w:left="1043" w:right="107" w:hanging="864"/>
        <w:jc w:val="left"/>
      </w:pPr>
      <w:bookmarkStart w:name="4.5 Faculty’s and Staff’s Confidence in " w:id="55"/>
      <w:bookmarkEnd w:id="55"/>
      <w:r>
        <w:rPr>
          <w:b w:val="0"/>
        </w:rPr>
      </w:r>
      <w:bookmarkStart w:name="4.5 Faculty’s and Staff’s Confidence in " w:id="56"/>
      <w:bookmarkEnd w:id="56"/>
      <w:r>
        <w:rPr>
          <w:color w:val="09357D"/>
        </w:rPr>
        <w:t>F</w:t>
      </w:r>
      <w:r>
        <w:rPr>
          <w:color w:val="09357D"/>
        </w:rPr>
        <w:t>aculty’s and Staff’s Confidence in Responding to Student and </w:t>
      </w:r>
      <w:r>
        <w:rPr>
          <w:color w:val="09357D"/>
          <w:spacing w:val="-4"/>
        </w:rPr>
        <w:t>Staff </w:t>
      </w:r>
      <w:r>
        <w:rPr>
          <w:color w:val="09357D"/>
        </w:rPr>
        <w:t>Disclosure</w:t>
      </w:r>
    </w:p>
    <w:p>
      <w:pPr>
        <w:pStyle w:val="BodyText"/>
        <w:spacing w:line="333" w:lineRule="auto" w:before="229"/>
        <w:ind w:left="180" w:right="480" w:firstLine="720"/>
      </w:pPr>
      <w:r>
        <w:rPr/>
        <w:t>Faculty and staff were also asked how much they remembered</w:t>
      </w:r>
    </w:p>
    <w:p>
      <w:pPr>
        <w:pStyle w:val="Heading5"/>
        <w:ind w:right="1764"/>
      </w:pPr>
      <w:r>
        <w:rPr>
          <w:b w:val="0"/>
        </w:rPr>
        <w:br w:type="column"/>
      </w:r>
      <w:r>
        <w:rPr/>
        <w:t>Figure 45. Faculty/Staff Participation in Specific Trainings</w:t>
      </w:r>
    </w:p>
    <w:p>
      <w:pPr>
        <w:pStyle w:val="BodyText"/>
        <w:spacing w:before="1"/>
        <w:rPr>
          <w:b/>
          <w:sz w:val="12"/>
        </w:rPr>
      </w:pPr>
      <w:r>
        <w:rPr/>
        <w:drawing>
          <wp:anchor distT="0" distB="0" distL="0" distR="0" allowOverlap="1" layoutInCell="1" locked="0" behindDoc="0" simplePos="0" relativeHeight="88">
            <wp:simplePos x="0" y="0"/>
            <wp:positionH relativeFrom="page">
              <wp:posOffset>3422227</wp:posOffset>
            </wp:positionH>
            <wp:positionV relativeFrom="paragraph">
              <wp:posOffset>113583</wp:posOffset>
            </wp:positionV>
            <wp:extent cx="3381905" cy="3130677"/>
            <wp:effectExtent l="0" t="0" r="0" b="0"/>
            <wp:wrapTopAndBottom/>
            <wp:docPr id="13" name="image54.jpeg" descr="See Notes for information on an accessible version of this figure."/>
            <wp:cNvGraphicFramePr>
              <a:graphicFrameLocks noChangeAspect="1"/>
            </wp:cNvGraphicFramePr>
            <a:graphic>
              <a:graphicData uri="http://schemas.openxmlformats.org/drawingml/2006/picture">
                <pic:pic>
                  <pic:nvPicPr>
                    <pic:cNvPr id="14" name="image54.jpeg"/>
                    <pic:cNvPicPr/>
                  </pic:nvPicPr>
                  <pic:blipFill>
                    <a:blip r:embed="rId137" cstate="print"/>
                    <a:stretch>
                      <a:fillRect/>
                    </a:stretch>
                  </pic:blipFill>
                  <pic:spPr>
                    <a:xfrm>
                      <a:off x="0" y="0"/>
                      <a:ext cx="3381905" cy="3130677"/>
                    </a:xfrm>
                    <a:prstGeom prst="rect">
                      <a:avLst/>
                    </a:prstGeom>
                  </pic:spPr>
                </pic:pic>
              </a:graphicData>
            </a:graphic>
          </wp:anchor>
        </w:drawing>
      </w:r>
    </w:p>
    <w:p>
      <w:pPr>
        <w:spacing w:before="109"/>
        <w:ind w:left="367" w:right="1764" w:hanging="188"/>
        <w:jc w:val="left"/>
        <w:rPr>
          <w:sz w:val="18"/>
        </w:rPr>
      </w:pPr>
      <w:r>
        <w:rPr>
          <w:sz w:val="18"/>
        </w:rPr>
        <w:t>Notes: Percentages are of those who reported having received training. For an accessible version of the information shown in this figure, see </w:t>
      </w:r>
      <w:hyperlink r:id="rId138">
        <w:r>
          <w:rPr>
            <w:color w:val="1F419A"/>
            <w:sz w:val="18"/>
            <w:u w:val="single" w:color="1F419A"/>
          </w:rPr>
          <w:t>Appendix Table F-7c</w:t>
        </w:r>
      </w:hyperlink>
      <w:r>
        <w:rPr>
          <w:sz w:val="18"/>
        </w:rPr>
        <w:t>.</w:t>
      </w:r>
    </w:p>
    <w:p>
      <w:pPr>
        <w:spacing w:after="0"/>
        <w:jc w:val="left"/>
        <w:rPr>
          <w:sz w:val="18"/>
        </w:rPr>
        <w:sectPr>
          <w:type w:val="continuous"/>
          <w:pgSz w:w="12240" w:h="15840"/>
          <w:pgMar w:top="1500" w:bottom="0" w:left="1260" w:right="0"/>
          <w:cols w:num="2" w:equalWidth="0">
            <w:col w:w="3804" w:space="92"/>
            <w:col w:w="7084"/>
          </w:cols>
        </w:sectPr>
      </w:pPr>
    </w:p>
    <w:p>
      <w:pPr>
        <w:pStyle w:val="BodyText"/>
        <w:spacing w:line="333" w:lineRule="auto"/>
        <w:ind w:left="179" w:right="1520"/>
      </w:pPr>
      <w:r>
        <w:rPr/>
        <w:t>about the information or training they received from MSU about RVSM. The majority of faculty and staff indicated that they remembered “most” or “almost all” of the information they were given (57.2% of cisgender women faculty, 70.1% for cisgender men faculty, 61.3% for cisgender women staff, and 68.3% for cisgender men staff).</w:t>
      </w:r>
    </w:p>
    <w:p>
      <w:pPr>
        <w:pStyle w:val="BodyText"/>
        <w:spacing w:line="333" w:lineRule="auto" w:before="162"/>
        <w:ind w:left="180" w:right="1493" w:firstLine="720"/>
      </w:pPr>
      <w:r>
        <w:rPr/>
        <w:t>Figure 46 illustrates faculty’s and staff’s confidence in their ability to respond according to MSU’s official procedures to a student disclosing RVSM. Although more than half of faculty and staff felt confident or very confident in their ability to respond according to MSU’s official procedures, cisgender men faculty expressed the highest levels of confidence. The same pattern was evident for faculty’s and staff’s confidence in their ability to handle disclosure from a staff member, administrator, or faculty member; for this type of disclosure, 58.3% of cisgender women faculty, 72.7% of cisgender men faculty, 63.0% of cisgender women staff, 70.8% of cisgender men staff, and 52.2% of transgender and/or nonbinary faculty/staff indicated they felt confident or very confident that they could respond in accordance with MSU’s official procedures.</w:t>
      </w:r>
    </w:p>
    <w:p>
      <w:pPr>
        <w:spacing w:after="0" w:line="333" w:lineRule="auto"/>
        <w:sectPr>
          <w:type w:val="continuous"/>
          <w:pgSz w:w="12240" w:h="15840"/>
          <w:pgMar w:top="1500" w:bottom="0" w:left="1260" w:right="0"/>
        </w:sectPr>
      </w:pPr>
    </w:p>
    <w:p>
      <w:pPr>
        <w:pStyle w:val="BodyText"/>
        <w:spacing w:before="8"/>
        <w:rPr>
          <w:sz w:val="11"/>
        </w:rPr>
      </w:pPr>
    </w:p>
    <w:p>
      <w:pPr>
        <w:pStyle w:val="Heading5"/>
        <w:spacing w:line="242" w:lineRule="auto"/>
        <w:ind w:right="1575"/>
      </w:pPr>
      <w:r>
        <w:rPr/>
        <w:pict>
          <v:group style="position:absolute;margin-left:73.199997pt;margin-top:30.879894pt;width:463.6pt;height:182pt;mso-position-horizontal-relative:page;mso-position-vertical-relative:paragraph;z-index:-251567104;mso-wrap-distance-left:0;mso-wrap-distance-right:0" coordorigin="1464,618" coordsize="9272,3640">
            <v:line style="position:absolute" from="1472,622" to="10728,622" stroked="true" strokeweight=".4pt" strokecolor="#a4a4a4">
              <v:stroke dashstyle="solid"/>
            </v:line>
            <v:line style="position:absolute" from="1472,4254" to="10728,4254" stroked="true" strokeweight=".4pt" strokecolor="#a4a4a4">
              <v:stroke dashstyle="solid"/>
            </v:line>
            <v:line style="position:absolute" from="1468,618" to="1468,4258" stroked="true" strokeweight=".4pt" strokecolor="#a4a4a4">
              <v:stroke dashstyle="solid"/>
            </v:line>
            <v:line style="position:absolute" from="10732,618" to="10732,4258" stroked="true" strokeweight=".4pt" strokecolor="#a4a4a4">
              <v:stroke dashstyle="solid"/>
            </v:line>
            <v:shape style="position:absolute;left:2391;top:705;width:8228;height:3464" type="#_x0000_t75" alt="See Notes for information on an accessible version of this figure." stroked="false">
              <v:imagedata r:id="rId139" o:title=""/>
            </v:shape>
            <w10:wrap type="topAndBottom"/>
          </v:group>
        </w:pict>
      </w:r>
      <w:r>
        <w:rPr/>
        <w:t>Figure 46. Faculty’s/Staff’s Confidence in Their Ability to Respond According to MSU’s Official Procedures to a Student Disclosing RVSM</w:t>
      </w:r>
    </w:p>
    <w:p>
      <w:pPr>
        <w:spacing w:before="26"/>
        <w:ind w:left="368" w:right="1816" w:hanging="189"/>
        <w:jc w:val="left"/>
        <w:rPr>
          <w:sz w:val="18"/>
        </w:rPr>
      </w:pPr>
      <w:r>
        <w:rPr>
          <w:sz w:val="18"/>
        </w:rPr>
        <w:t>Notes: Percentages are of faculty and staff. For an accessible version of the information shown in this figure, see </w:t>
      </w:r>
      <w:hyperlink r:id="rId138">
        <w:r>
          <w:rPr>
            <w:color w:val="1F419A"/>
            <w:sz w:val="18"/>
            <w:u w:val="single" w:color="1F419A"/>
          </w:rPr>
          <w:t>Appendix Table F-7c</w:t>
        </w:r>
      </w:hyperlink>
      <w:r>
        <w:rPr>
          <w:sz w:val="18"/>
        </w:rPr>
        <w:t>.</w:t>
      </w:r>
    </w:p>
    <w:p>
      <w:pPr>
        <w:spacing w:after="0"/>
        <w:jc w:val="left"/>
        <w:rPr>
          <w:sz w:val="18"/>
        </w:rPr>
        <w:sectPr>
          <w:pgSz w:w="12240" w:h="15840"/>
          <w:pgMar w:header="0" w:footer="592" w:top="1120" w:bottom="780" w:left="1260" w:right="0"/>
        </w:sectPr>
      </w:pPr>
    </w:p>
    <w:p>
      <w:pPr>
        <w:pStyle w:val="BodyText"/>
        <w:rPr>
          <w:sz w:val="12"/>
        </w:rPr>
      </w:pPr>
    </w:p>
    <w:p>
      <w:pPr>
        <w:pStyle w:val="Heading2"/>
        <w:numPr>
          <w:ilvl w:val="0"/>
          <w:numId w:val="4"/>
        </w:numPr>
        <w:tabs>
          <w:tab w:pos="1043" w:val="left" w:leader="none"/>
          <w:tab w:pos="1044" w:val="left" w:leader="none"/>
        </w:tabs>
        <w:spacing w:line="242" w:lineRule="auto" w:before="88" w:after="0"/>
        <w:ind w:left="1043" w:right="1994" w:hanging="864"/>
        <w:jc w:val="left"/>
      </w:pPr>
      <w:bookmarkStart w:name="5. Changes from the 2018–2019 to the 202" w:id="57"/>
      <w:bookmarkEnd w:id="57"/>
      <w:r>
        <w:rPr>
          <w:b w:val="0"/>
        </w:rPr>
      </w:r>
      <w:bookmarkStart w:name="5. Changes from the 2018–2019 to the 202" w:id="58"/>
      <w:bookmarkEnd w:id="58"/>
      <w:r>
        <w:rPr>
          <w:color w:val="09357D"/>
        </w:rPr>
        <w:t>Change</w:t>
      </w:r>
      <w:r>
        <w:rPr>
          <w:color w:val="09357D"/>
        </w:rPr>
        <w:t>s from the 2018–2019 to the</w:t>
      </w:r>
      <w:r>
        <w:rPr>
          <w:color w:val="09357D"/>
          <w:spacing w:val="-24"/>
        </w:rPr>
        <w:t> </w:t>
      </w:r>
      <w:r>
        <w:rPr>
          <w:color w:val="09357D"/>
        </w:rPr>
        <w:t>2021–2022 Academic</w:t>
      </w:r>
      <w:r>
        <w:rPr>
          <w:color w:val="09357D"/>
          <w:spacing w:val="-2"/>
        </w:rPr>
        <w:t> </w:t>
      </w:r>
      <w:r>
        <w:rPr>
          <w:color w:val="09357D"/>
        </w:rPr>
        <w:t>Year</w:t>
      </w:r>
    </w:p>
    <w:p>
      <w:pPr>
        <w:pStyle w:val="BodyText"/>
        <w:spacing w:line="333" w:lineRule="auto" w:before="222"/>
        <w:ind w:left="180" w:right="1454" w:firstLine="720"/>
      </w:pPr>
      <w:r>
        <w:rPr/>
        <w:t>In this chapter, data from the 2022 Know More @ MSU Campus Survey are compared to results from the 2019 survey </w:t>
      </w:r>
      <w:r>
        <w:rPr>
          <w:spacing w:val="-3"/>
        </w:rPr>
        <w:t>in </w:t>
      </w:r>
      <w:r>
        <w:rPr/>
        <w:t>an effort to determine whether and how things have changed at MSU in the past 3 years. In 2022, we made a change in how </w:t>
      </w:r>
      <w:r>
        <w:rPr>
          <w:spacing w:val="-3"/>
        </w:rPr>
        <w:t>we </w:t>
      </w:r>
      <w:r>
        <w:rPr/>
        <w:t>assessed and reported results by gender identity, which makes this comparison of results from 2019 to 2022 somewhat imperfect. In 2019, students, faculty, and staff who identified as being genderqueer and/or nonbinary, and could not be grouped with women and men, were not included in the analyses of women or men, and only a few estimates or results were presented separately for those identifying as genderqueer and/or nonbinary. In other words, transgender women and women who did not identify as transgender were grouped together, as were transgender men and men who did not identify as transgender. For 2022, we used two new survey questions to assess gender identity; students, faculty, and staff </w:t>
      </w:r>
      <w:r>
        <w:rPr>
          <w:spacing w:val="-3"/>
        </w:rPr>
        <w:t>who </w:t>
      </w:r>
      <w:r>
        <w:rPr/>
        <w:t>identified as being transgender and/or nonbinary (or genderqueer) were put into their own gender identity groups and their data and results are presented separately, but alongside cisgender women and cisgender men. To make comparisons using 2019 and 2022 data, it is necessary to compare results for groups that are included in both years the survey was administered, so throughout this chapter, the experiences and perspectives of students, faculty, and staff who were categorized as women or men </w:t>
      </w:r>
      <w:r>
        <w:rPr>
          <w:spacing w:val="-3"/>
        </w:rPr>
        <w:t>in </w:t>
      </w:r>
      <w:r>
        <w:rPr/>
        <w:t>2019 (which included transgender women and men) are compared to those of the students, faculty, and staff who identified as being cisgender women or men in 2022. In other words, the students, faculty, and staff who identified as being transgender and/or nonbinary in 2022 are not included in these analyses, whereas the transgender respondents are included in the 2019 results. The makeup of the groups being compared is therefore not perfectly consistent, given the changes made to how gender identity was asked about in the survey and utilized analytically in 2022, but the differences in the groups and any impact that they might have on the associated results being compared are believed to be</w:t>
      </w:r>
      <w:r>
        <w:rPr>
          <w:spacing w:val="-4"/>
        </w:rPr>
        <w:t> </w:t>
      </w:r>
      <w:r>
        <w:rPr/>
        <w:t>minimal.</w:t>
      </w:r>
    </w:p>
    <w:p>
      <w:pPr>
        <w:pStyle w:val="BodyText"/>
        <w:spacing w:line="333" w:lineRule="auto" w:before="167"/>
        <w:ind w:left="180" w:right="1445" w:firstLine="720"/>
      </w:pPr>
      <w:r>
        <w:rPr/>
        <w:t>When 2019 and 2022 estimates or results are compared in this chapter, the statistical significance of differences was assessed by determining whether the 95% confidence intervals for various estimates and outcomes overlap. When the 95% confidence intervals for two estimates being compared do not overlap, it is concluded with 95% confidence that the estimates are significantly different from one another statistically (i.e., that change in fact occurred from 2019 to</w:t>
      </w:r>
      <w:r>
        <w:rPr>
          <w:spacing w:val="-9"/>
        </w:rPr>
        <w:t> </w:t>
      </w:r>
      <w:r>
        <w:rPr/>
        <w:t>2022).</w:t>
      </w:r>
    </w:p>
    <w:p>
      <w:pPr>
        <w:pStyle w:val="BodyText"/>
        <w:spacing w:line="333" w:lineRule="auto" w:before="162"/>
        <w:ind w:left="180" w:right="1432" w:firstLine="720"/>
      </w:pPr>
      <w:r>
        <w:rPr/>
        <w:t>Figure 47 presents 2019 and 2022 prevalence estimates for eight different victimization outcomes experienced by undergraduate women. Statistically significant differences or changes are indicated with an asterisk (*) in the figure for four outcomes: sexual harassment, coerced sexual contact, sexual assault since enrolling at MSU, and sexual assault before enrolling at MSU. The prevalence of three of these victimization outcomes decreased from 2019 to 2022, and the prevalence of experiencing sexual assault before enrolling at MSU increased. As an example of how to interpret these findings, the prevalence of undergraduate women experiencing sexual harassment during the academic year decreased from 65.5% to 61.0%, and this decrease is statistically significant because the 95% confidence intervals on the two</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597"/>
      </w:pPr>
      <w:r>
        <w:rPr/>
        <w:t>estimates being compared, which are indicated by the thin black “whisker” lines that span the estimates, do not overlap.</w:t>
      </w:r>
    </w:p>
    <w:p>
      <w:pPr>
        <w:pStyle w:val="Heading5"/>
        <w:spacing w:line="242" w:lineRule="auto" w:before="92"/>
        <w:ind w:right="1575"/>
      </w:pPr>
      <w:r>
        <w:rPr/>
        <w:pict>
          <v:group style="position:absolute;margin-left:72.75pt;margin-top:31.425896pt;width:469.5pt;height:211.65pt;mso-position-horizontal-relative:page;mso-position-vertical-relative:paragraph;z-index:-251566080;mso-wrap-distance-left:0;mso-wrap-distance-right:0" coordorigin="1455,629" coordsize="9390,4233">
            <v:shape style="position:absolute;left:1940;top:643;width:8890;height:4203" type="#_x0000_t75" alt="See Notes for information on an accessible version of this figure." stroked="false">
              <v:imagedata r:id="rId140" o:title=""/>
            </v:shape>
            <v:rect style="position:absolute;left:1462;top:636;width:9375;height:4218" filled="false" stroked="true" strokeweight=".75pt" strokecolor="#000000">
              <v:stroke dashstyle="solid"/>
            </v:rect>
            <w10:wrap type="topAndBottom"/>
          </v:group>
        </w:pict>
      </w:r>
      <w:r>
        <w:rPr/>
        <w:t>Figure 47. Comparison of Victimization Prevalence for Undergraduate Women During 2019–2020 and 2021–2022 Academic Years</w:t>
      </w:r>
    </w:p>
    <w:p>
      <w:pPr>
        <w:spacing w:before="39"/>
        <w:ind w:left="395" w:right="1501" w:hanging="216"/>
        <w:jc w:val="left"/>
        <w:rPr>
          <w:sz w:val="18"/>
        </w:rPr>
      </w:pPr>
      <w:r>
        <w:rPr>
          <w:sz w:val="18"/>
        </w:rPr>
        <w:t>Notes: Percentages are of students. * Statistically significant at p &lt; 0.05. For an accessible version of the information shown in this figure, see </w:t>
      </w:r>
      <w:hyperlink r:id="rId141">
        <w:r>
          <w:rPr>
            <w:color w:val="1F419A"/>
            <w:sz w:val="18"/>
            <w:u w:val="single" w:color="1F419A"/>
          </w:rPr>
          <w:t>Appendix Table G-1a</w:t>
        </w:r>
      </w:hyperlink>
      <w:r>
        <w:rPr>
          <w:sz w:val="18"/>
        </w:rPr>
        <w:t>.</w:t>
      </w:r>
    </w:p>
    <w:p>
      <w:pPr>
        <w:spacing w:before="62"/>
        <w:ind w:left="395" w:right="1535" w:hanging="216"/>
        <w:jc w:val="left"/>
        <w:rPr>
          <w:sz w:val="18"/>
        </w:rPr>
      </w:pPr>
      <w:r>
        <w:rPr>
          <w:position w:val="5"/>
          <w:sz w:val="12"/>
        </w:rPr>
        <w:t>a </w:t>
      </w:r>
      <w:r>
        <w:rPr>
          <w:sz w:val="18"/>
        </w:rPr>
        <w:t>The prevalence rates of rape and sexual battery may not sum to sexual assault because some respondents did not indicate a type of contact.</w:t>
      </w:r>
    </w:p>
    <w:p>
      <w:pPr>
        <w:spacing w:before="59"/>
        <w:ind w:left="395" w:right="1526" w:hanging="216"/>
        <w:jc w:val="left"/>
        <w:rPr>
          <w:sz w:val="18"/>
        </w:rPr>
      </w:pPr>
      <w:r>
        <w:rPr>
          <w:position w:val="5"/>
          <w:sz w:val="12"/>
        </w:rPr>
        <w:t>b </w:t>
      </w:r>
      <w:r>
        <w:rPr>
          <w:sz w:val="18"/>
        </w:rPr>
        <w:t>Sexual assault in lifetime will not equal the sum of sexual assault prior to enrolling at MSU and sexual assault since entering MSU because some students endorsed both before and since enrolling.</w:t>
      </w:r>
    </w:p>
    <w:p>
      <w:pPr>
        <w:spacing w:line="240" w:lineRule="auto" w:before="62"/>
        <w:ind w:left="367" w:right="1686" w:hanging="188"/>
        <w:jc w:val="both"/>
        <w:rPr>
          <w:sz w:val="18"/>
        </w:rPr>
      </w:pPr>
      <w:r>
        <w:rPr>
          <w:position w:val="5"/>
          <w:sz w:val="12"/>
        </w:rPr>
        <w:t>c </w:t>
      </w:r>
      <w:r>
        <w:rPr>
          <w:sz w:val="18"/>
        </w:rPr>
        <w:t>The lifetime sexual assault victimization estimate does not equal the sum of the lifetime rape victimization and the lifetime sexual battery victimization estimates, because not all items that could be used to identify lifetime sexual assault victimization captured enough information to determine whether it involved rape or sexual battery.</w:t>
      </w:r>
    </w:p>
    <w:p>
      <w:pPr>
        <w:pStyle w:val="BodyText"/>
      </w:pPr>
    </w:p>
    <w:p>
      <w:pPr>
        <w:pStyle w:val="BodyText"/>
        <w:spacing w:before="8"/>
      </w:pPr>
    </w:p>
    <w:p>
      <w:pPr>
        <w:pStyle w:val="BodyText"/>
        <w:spacing w:line="333" w:lineRule="auto"/>
        <w:ind w:left="179" w:right="1433" w:firstLine="720"/>
      </w:pPr>
      <w:r>
        <w:rPr/>
        <w:t>Figure 48 presents 2019 and 2022 prevalence estimates for eight different victimization outcomes experienced by undergraduate men. Statistically significant differences or changes are indicated for four outcomes: stalking, sexual harassment, coerced sexual contact, and sexual assault since enrolling at MSU, all of which decreased from 2019 to 2022.</w:t>
      </w:r>
    </w:p>
    <w:p>
      <w:pPr>
        <w:pStyle w:val="BodyText"/>
        <w:spacing w:line="333" w:lineRule="auto" w:before="161"/>
        <w:ind w:left="179" w:right="1431" w:firstLine="720"/>
      </w:pPr>
      <w:r>
        <w:rPr/>
        <w:t>Figures 49 and 50 present 2019 and 2022 prevalence estimates for eight different victimization outcomes experienced by women and men graduate/professional students, respectively. For both groups, a statistically significant difference or change is indicated for sexual harassment, the prevalence of which decreased considerably from 2019 to 2022.</w:t>
      </w:r>
    </w:p>
    <w:p>
      <w:pPr>
        <w:pStyle w:val="BodyText"/>
        <w:spacing w:line="333" w:lineRule="auto" w:before="161"/>
        <w:ind w:left="180" w:right="1542" w:firstLine="720"/>
      </w:pPr>
      <w:r>
        <w:rPr/>
        <w:t>Figure 51 compares the prevalence rates of disclosing sexual battery and rape incidents experienced by undergraduate women to different groups, including roommates, friends, and family; any MSU or off-campus office/organization; an MSU office; or an off-campus organization. The prevalence of disclosing sexual battery and rape incidents to different groups did not change from 2019 to 2022.</w:t>
      </w:r>
    </w:p>
    <w:p>
      <w:pPr>
        <w:pStyle w:val="BodyText"/>
        <w:spacing w:before="2"/>
        <w:ind w:left="180"/>
      </w:pPr>
      <w:r>
        <w:rPr/>
        <w:t>Comparisons of the rates of disclosure for the other groups lacked statistical precision.</w:t>
      </w:r>
    </w:p>
    <w:p>
      <w:pPr>
        <w:spacing w:after="0"/>
        <w:sectPr>
          <w:pgSz w:w="12240" w:h="15840"/>
          <w:pgMar w:header="0" w:footer="592" w:top="1120" w:bottom="780" w:left="1260" w:right="0"/>
        </w:sectPr>
      </w:pPr>
    </w:p>
    <w:p>
      <w:pPr>
        <w:pStyle w:val="BodyText"/>
        <w:spacing w:before="8"/>
        <w:rPr>
          <w:sz w:val="11"/>
        </w:rPr>
      </w:pPr>
    </w:p>
    <w:p>
      <w:pPr>
        <w:pStyle w:val="Heading5"/>
        <w:spacing w:line="242" w:lineRule="auto"/>
        <w:ind w:right="1464"/>
      </w:pPr>
      <w:r>
        <w:rPr/>
        <w:pict>
          <v:group style="position:absolute;margin-left:72.75pt;margin-top:31.525894pt;width:469.5pt;height:211.65pt;mso-position-horizontal-relative:page;mso-position-vertical-relative:paragraph;z-index:-251565056;mso-wrap-distance-left:0;mso-wrap-distance-right:0" coordorigin="1455,631" coordsize="9390,4233">
            <v:shape style="position:absolute;left:1940;top:645;width:8890;height:4203" type="#_x0000_t75" alt="See Notes for information on an accessible version of this figure." stroked="false">
              <v:imagedata r:id="rId142" o:title=""/>
            </v:shape>
            <v:rect style="position:absolute;left:1462;top:638;width:9375;height:4218" filled="false" stroked="true" strokeweight=".75pt" strokecolor="#000000">
              <v:stroke dashstyle="solid"/>
            </v:rect>
            <w10:wrap type="topAndBottom"/>
          </v:group>
        </w:pict>
      </w:r>
      <w:r>
        <w:rPr/>
        <w:t>Figure 48. Comparison of Victimization Prevalence for Undergraduate Men During 2019–2020 and 2021–2022 Academic Years</w:t>
      </w:r>
    </w:p>
    <w:p>
      <w:pPr>
        <w:spacing w:before="39"/>
        <w:ind w:left="396" w:right="1500" w:hanging="216"/>
        <w:jc w:val="left"/>
        <w:rPr>
          <w:sz w:val="18"/>
        </w:rPr>
      </w:pPr>
      <w:r>
        <w:rPr>
          <w:sz w:val="18"/>
        </w:rPr>
        <w:t>Notes: Percentages are of students. * Statistically significant at p &lt; 0.05. For an accessible version of the information shown in this figure, see </w:t>
      </w:r>
      <w:hyperlink r:id="rId143">
        <w:r>
          <w:rPr>
            <w:color w:val="1F419A"/>
            <w:sz w:val="18"/>
            <w:u w:val="single" w:color="1F419A"/>
          </w:rPr>
          <w:t>Appendix Table G-1b</w:t>
        </w:r>
      </w:hyperlink>
      <w:r>
        <w:rPr>
          <w:sz w:val="18"/>
        </w:rPr>
        <w:t>.</w:t>
      </w:r>
    </w:p>
    <w:p>
      <w:pPr>
        <w:spacing w:before="62"/>
        <w:ind w:left="395" w:right="1535" w:hanging="216"/>
        <w:jc w:val="left"/>
        <w:rPr>
          <w:sz w:val="18"/>
        </w:rPr>
      </w:pPr>
      <w:r>
        <w:rPr>
          <w:position w:val="5"/>
          <w:sz w:val="12"/>
        </w:rPr>
        <w:t>a </w:t>
      </w:r>
      <w:r>
        <w:rPr>
          <w:sz w:val="18"/>
        </w:rPr>
        <w:t>The prevalence rates of rape and sexual battery may not sum to sexual assault because some respondents did not indicate a type of contact.</w:t>
      </w:r>
    </w:p>
    <w:p>
      <w:pPr>
        <w:spacing w:before="59"/>
        <w:ind w:left="395" w:right="1526" w:hanging="216"/>
        <w:jc w:val="left"/>
        <w:rPr>
          <w:sz w:val="18"/>
        </w:rPr>
      </w:pPr>
      <w:r>
        <w:rPr>
          <w:position w:val="5"/>
          <w:sz w:val="12"/>
        </w:rPr>
        <w:t>b </w:t>
      </w:r>
      <w:r>
        <w:rPr>
          <w:sz w:val="18"/>
        </w:rPr>
        <w:t>Sexual assault in lifetime will not equal the sum of sexual assault prior to enrolling at MSU and sexual assault since entering MSU because some students endorsed both before and since enrolling.</w:t>
      </w:r>
    </w:p>
    <w:p>
      <w:pPr>
        <w:spacing w:line="240" w:lineRule="auto" w:before="62"/>
        <w:ind w:left="367" w:right="1686" w:hanging="188"/>
        <w:jc w:val="both"/>
        <w:rPr>
          <w:sz w:val="18"/>
        </w:rPr>
      </w:pPr>
      <w:r>
        <w:rPr>
          <w:position w:val="5"/>
          <w:sz w:val="12"/>
        </w:rPr>
        <w:t>c </w:t>
      </w:r>
      <w:r>
        <w:rPr>
          <w:sz w:val="18"/>
        </w:rPr>
        <w:t>The lifetime sexual assault victimization estimate does not equal the sum of the lifetime rape victimization and the lifetime sexual battery victimization estimates, because not all items that could be used to identify lifetime sexual assault victimization captured enough information to determine whether it involved rape or sexual battery.</w:t>
      </w:r>
    </w:p>
    <w:p>
      <w:pPr>
        <w:spacing w:after="0" w:line="240" w:lineRule="auto"/>
        <w:jc w:val="both"/>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t>Figure 49. Comparison of Victimization Prevalence for Graduate/Professional Women During 2019–2020 and 2021–2022 Academic Years</w:t>
      </w:r>
    </w:p>
    <w:p>
      <w:pPr>
        <w:pStyle w:val="BodyText"/>
        <w:spacing w:before="9"/>
        <w:rPr>
          <w:b/>
          <w:sz w:val="22"/>
        </w:rPr>
      </w:pPr>
      <w:r>
        <w:rPr/>
        <w:pict>
          <v:group style="position:absolute;margin-left:72.75pt;margin-top:15.087432pt;width:469.5pt;height:211.65pt;mso-position-horizontal-relative:page;mso-position-vertical-relative:paragraph;z-index:-251564032;mso-wrap-distance-left:0;mso-wrap-distance-right:0" coordorigin="1455,302" coordsize="9390,4233">
            <v:shape style="position:absolute;left:1940;top:316;width:8890;height:4203" type="#_x0000_t75" alt="See Notes for information on an accessible version of this figure." stroked="false">
              <v:imagedata r:id="rId144" o:title=""/>
            </v:shape>
            <v:rect style="position:absolute;left:1462;top:309;width:9375;height:4218" filled="false" stroked="true" strokeweight=".75pt" strokecolor="#000000">
              <v:stroke dashstyle="solid"/>
            </v:rect>
            <w10:wrap type="topAndBottom"/>
          </v:group>
        </w:pict>
      </w:r>
    </w:p>
    <w:p>
      <w:pPr>
        <w:spacing w:line="240" w:lineRule="auto" w:before="41"/>
        <w:ind w:left="395" w:right="1599" w:hanging="216"/>
        <w:jc w:val="left"/>
        <w:rPr>
          <w:sz w:val="18"/>
        </w:rPr>
      </w:pPr>
      <w:r>
        <w:rPr>
          <w:sz w:val="18"/>
        </w:rPr>
        <w:t>Notes: Percentages are of students. * Statistically significant at p &lt; 0.05. ! Estimate is considered not statistically reliable because it is either based on fewer than 10 people or has a relative standard error greater than 30%. For an accessible version of the information shown in this figure, see </w:t>
      </w:r>
      <w:hyperlink r:id="rId145">
        <w:r>
          <w:rPr>
            <w:color w:val="1F419A"/>
            <w:sz w:val="18"/>
            <w:u w:val="single" w:color="1F419A"/>
          </w:rPr>
          <w:t>Appendix Table G-1c</w:t>
        </w:r>
      </w:hyperlink>
      <w:r>
        <w:rPr>
          <w:sz w:val="18"/>
        </w:rPr>
        <w:t>.</w:t>
      </w:r>
    </w:p>
    <w:p>
      <w:pPr>
        <w:spacing w:before="60"/>
        <w:ind w:left="395" w:right="1535" w:hanging="216"/>
        <w:jc w:val="left"/>
        <w:rPr>
          <w:sz w:val="18"/>
        </w:rPr>
      </w:pPr>
      <w:r>
        <w:rPr>
          <w:position w:val="5"/>
          <w:sz w:val="12"/>
        </w:rPr>
        <w:t>a </w:t>
      </w:r>
      <w:r>
        <w:rPr>
          <w:sz w:val="18"/>
        </w:rPr>
        <w:t>The prevalence rates of rape and sexual battery may not sum to sexual assault because some respondents did not indicate a type of contact.</w:t>
      </w:r>
    </w:p>
    <w:p>
      <w:pPr>
        <w:spacing w:before="58"/>
        <w:ind w:left="395" w:right="1526" w:hanging="216"/>
        <w:jc w:val="left"/>
        <w:rPr>
          <w:sz w:val="18"/>
        </w:rPr>
      </w:pPr>
      <w:r>
        <w:rPr>
          <w:position w:val="5"/>
          <w:sz w:val="12"/>
        </w:rPr>
        <w:t>b </w:t>
      </w:r>
      <w:r>
        <w:rPr>
          <w:sz w:val="18"/>
        </w:rPr>
        <w:t>Sexual assault in lifetime will not equal the sum of sexual assault prior to enrolling at MSU and sexual assault since entering MSU because some students endorsed both before and since enrolling.</w:t>
      </w:r>
    </w:p>
    <w:p>
      <w:pPr>
        <w:spacing w:before="62"/>
        <w:ind w:left="368" w:right="1685" w:hanging="189"/>
        <w:jc w:val="both"/>
        <w:rPr>
          <w:sz w:val="18"/>
        </w:rPr>
      </w:pPr>
      <w:r>
        <w:rPr>
          <w:position w:val="5"/>
          <w:sz w:val="12"/>
        </w:rPr>
        <w:t>c </w:t>
      </w:r>
      <w:r>
        <w:rPr>
          <w:sz w:val="18"/>
        </w:rPr>
        <w:t>The lifetime sexual assault victimization estimate does not equal the sum of the lifetime rape victimization and the lifetime sexual battery victimization estimates, because not all items that could be used to identify lifetime sexual assault victimization captured enough information to determine whether it involved rape or sexual battery.</w:t>
      </w:r>
    </w:p>
    <w:p>
      <w:pPr>
        <w:spacing w:after="0"/>
        <w:jc w:val="both"/>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211.65pt;mso-position-horizontal-relative:page;mso-position-vertical-relative:paragraph;z-index:-251563008;mso-wrap-distance-left:0;mso-wrap-distance-right:0" coordorigin="1455,631" coordsize="9390,4233">
            <v:shape style="position:absolute;left:1940;top:645;width:8890;height:4203" type="#_x0000_t75" alt="See Notes for information on an accessible version of this figure." stroked="false">
              <v:imagedata r:id="rId146" o:title=""/>
            </v:shape>
            <v:rect style="position:absolute;left:1462;top:638;width:9375;height:4218" filled="false" stroked="true" strokeweight=".75pt" strokecolor="#000000">
              <v:stroke dashstyle="solid"/>
            </v:rect>
            <w10:wrap type="topAndBottom"/>
          </v:group>
        </w:pict>
      </w:r>
      <w:r>
        <w:rPr/>
        <w:t>Figure 50. Comparison of Victimization Prevalence for Graduate/Professional Men During 2019– 2020 and 2021–2022 Academic Years</w:t>
      </w:r>
    </w:p>
    <w:p>
      <w:pPr>
        <w:spacing w:before="39"/>
        <w:ind w:left="395" w:right="1599" w:hanging="216"/>
        <w:jc w:val="left"/>
        <w:rPr>
          <w:sz w:val="18"/>
        </w:rPr>
      </w:pPr>
      <w:r>
        <w:rPr>
          <w:sz w:val="18"/>
        </w:rPr>
        <w:t>Notes: Percentages are of students. * Statistically significant at p &lt; 0.05. ! Estimate is considered not statistically reliable because it is either based on fewer than 10 people or has a relative standard error greater than 30%. For an accessible version of the information shown in this figure, see </w:t>
      </w:r>
      <w:hyperlink r:id="rId147">
        <w:r>
          <w:rPr>
            <w:color w:val="1F419A"/>
            <w:sz w:val="18"/>
            <w:u w:val="single" w:color="1F419A"/>
          </w:rPr>
          <w:t>Appendix Table G-1d</w:t>
        </w:r>
      </w:hyperlink>
      <w:r>
        <w:rPr>
          <w:sz w:val="18"/>
        </w:rPr>
        <w:t>.</w:t>
      </w:r>
    </w:p>
    <w:p>
      <w:pPr>
        <w:spacing w:before="59"/>
        <w:ind w:left="395" w:right="1535" w:hanging="216"/>
        <w:jc w:val="left"/>
        <w:rPr>
          <w:sz w:val="18"/>
        </w:rPr>
      </w:pPr>
      <w:r>
        <w:rPr>
          <w:position w:val="5"/>
          <w:sz w:val="12"/>
        </w:rPr>
        <w:t>a </w:t>
      </w:r>
      <w:r>
        <w:rPr>
          <w:sz w:val="18"/>
        </w:rPr>
        <w:t>The prevalence rates of rape and sexual battery may not sum to sexual assault because some respondents did not indicate a type of contact.</w:t>
      </w:r>
    </w:p>
    <w:p>
      <w:pPr>
        <w:spacing w:before="63"/>
        <w:ind w:left="395" w:right="1526" w:hanging="216"/>
        <w:jc w:val="left"/>
        <w:rPr>
          <w:sz w:val="18"/>
        </w:rPr>
      </w:pPr>
      <w:r>
        <w:rPr>
          <w:position w:val="5"/>
          <w:sz w:val="12"/>
        </w:rPr>
        <w:t>b </w:t>
      </w:r>
      <w:r>
        <w:rPr>
          <w:sz w:val="18"/>
        </w:rPr>
        <w:t>Sexual assault in lifetime will not equal the sum of sexual assault prior to enrolling at MSU and sexual assault since entering MSU because some students endorsed both before and since enrolling.</w:t>
      </w:r>
    </w:p>
    <w:p>
      <w:pPr>
        <w:spacing w:before="58"/>
        <w:ind w:left="367" w:right="1686" w:hanging="188"/>
        <w:jc w:val="both"/>
        <w:rPr>
          <w:sz w:val="18"/>
        </w:rPr>
      </w:pPr>
      <w:r>
        <w:rPr>
          <w:position w:val="5"/>
          <w:sz w:val="12"/>
        </w:rPr>
        <w:t>c </w:t>
      </w:r>
      <w:r>
        <w:rPr>
          <w:sz w:val="18"/>
        </w:rPr>
        <w:t>The lifetime sexual assault victimization estimate does not equal the sum of the lifetime rape victimization and the lifetime sexual battery victimization estimates, because not all items that could be used to identify lifetime sexual assault victimization captured enough information to determine whether it involved rape or sexual battery.</w:t>
      </w:r>
    </w:p>
    <w:p>
      <w:pPr>
        <w:spacing w:after="0"/>
        <w:jc w:val="both"/>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621"/>
      </w:pPr>
      <w:r>
        <w:rPr/>
        <w:pict>
          <v:group style="position:absolute;margin-left:72.75pt;margin-top:31.525894pt;width:469.5pt;height:276.4pt;mso-position-horizontal-relative:page;mso-position-vertical-relative:paragraph;z-index:-251561984;mso-wrap-distance-left:0;mso-wrap-distance-right:0" coordorigin="1455,631" coordsize="9390,5528">
            <v:shape style="position:absolute;left:2045;top:645;width:8785;height:5498" type="#_x0000_t75" alt="See Notes for information on an accessible version of this figure. " stroked="false">
              <v:imagedata r:id="rId148" o:title=""/>
            </v:shape>
            <v:rect style="position:absolute;left:1462;top:638;width:9375;height:5513" filled="false" stroked="true" strokeweight=".75pt" strokecolor="#000000">
              <v:stroke dashstyle="solid"/>
            </v:rect>
            <w10:wrap type="topAndBottom"/>
          </v:group>
        </w:pict>
      </w:r>
      <w:r>
        <w:rPr/>
        <w:t>Figure 51. Comparison of Disclosure Rates for Sexual Battery and Rape Incidents Experienced by Undergraduate Women During 2019–2020 and 2021–2022 Academic Years</w:t>
      </w:r>
    </w:p>
    <w:p>
      <w:pPr>
        <w:spacing w:line="240" w:lineRule="auto" w:before="36"/>
        <w:ind w:left="368" w:right="1765" w:hanging="189"/>
        <w:jc w:val="left"/>
        <w:rPr>
          <w:sz w:val="18"/>
        </w:rPr>
      </w:pPr>
      <w:r>
        <w:rPr>
          <w:sz w:val="18"/>
        </w:rPr>
        <w:t>Note: ! Estimate is considered not statistically reliable because it is either based on fewer than 10 people or has a relative standard error greater than 30%. For an accessible version of the information shown in this figure, see </w:t>
      </w:r>
      <w:hyperlink r:id="rId149">
        <w:r>
          <w:rPr>
            <w:color w:val="1F419A"/>
            <w:sz w:val="18"/>
            <w:u w:val="single" w:color="1F419A"/>
          </w:rPr>
          <w:t>Appendix Tables G-2a</w:t>
        </w:r>
        <w:r>
          <w:rPr>
            <w:color w:val="1F419A"/>
            <w:sz w:val="18"/>
          </w:rPr>
          <w:t> </w:t>
        </w:r>
      </w:hyperlink>
      <w:r>
        <w:rPr>
          <w:sz w:val="18"/>
        </w:rPr>
        <w:t>and </w:t>
      </w:r>
      <w:hyperlink r:id="rId150">
        <w:r>
          <w:rPr>
            <w:color w:val="1F419A"/>
            <w:sz w:val="18"/>
            <w:u w:val="single" w:color="1F419A"/>
          </w:rPr>
          <w:t>G-3a</w:t>
        </w:r>
      </w:hyperlink>
      <w:r>
        <w:rPr>
          <w:sz w:val="18"/>
        </w:rPr>
        <w:t>.</w:t>
      </w:r>
    </w:p>
    <w:p>
      <w:pPr>
        <w:pStyle w:val="BodyText"/>
      </w:pPr>
    </w:p>
    <w:p>
      <w:pPr>
        <w:pStyle w:val="BodyText"/>
        <w:spacing w:before="9"/>
      </w:pPr>
    </w:p>
    <w:p>
      <w:pPr>
        <w:pStyle w:val="BodyText"/>
        <w:spacing w:line="333" w:lineRule="auto"/>
        <w:ind w:left="179" w:right="1542" w:firstLine="720"/>
      </w:pPr>
      <w:r>
        <w:rPr/>
        <w:t>Figures 52 through 55 compare the 2019 and 2022 rates of disclosing, to various groups, sexual harassment experienced by undergraduate women, undergraduate men, women graduate/professional students, and men graduate/professional students, respectively. For undergraduate women and undergraduate men, the prevalence of disclosing sexual harassment experiences to friends, classmates, family members, or dating partners and to an MSU resource (Office of the University Ombudsperson, Counseling and Psychological Services, MSU Police, etc.) increased from 2019 to 2022. The estimates and comparisons for other groups lack statistical precision.</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drawing>
          <wp:anchor distT="0" distB="0" distL="0" distR="0" allowOverlap="1" layoutInCell="1" locked="0" behindDoc="0" simplePos="0" relativeHeight="95">
            <wp:simplePos x="0" y="0"/>
            <wp:positionH relativeFrom="page">
              <wp:posOffset>923925</wp:posOffset>
            </wp:positionH>
            <wp:positionV relativeFrom="paragraph">
              <wp:posOffset>400378</wp:posOffset>
            </wp:positionV>
            <wp:extent cx="5966169" cy="2690812"/>
            <wp:effectExtent l="0" t="0" r="0" b="0"/>
            <wp:wrapTopAndBottom/>
            <wp:docPr id="15" name="image61.png"/>
            <wp:cNvGraphicFramePr>
              <a:graphicFrameLocks noChangeAspect="1"/>
            </wp:cNvGraphicFramePr>
            <a:graphic>
              <a:graphicData uri="http://schemas.openxmlformats.org/drawingml/2006/picture">
                <pic:pic>
                  <pic:nvPicPr>
                    <pic:cNvPr id="16" name="image61.png"/>
                    <pic:cNvPicPr/>
                  </pic:nvPicPr>
                  <pic:blipFill>
                    <a:blip r:embed="rId151" cstate="print"/>
                    <a:stretch>
                      <a:fillRect/>
                    </a:stretch>
                  </pic:blipFill>
                  <pic:spPr>
                    <a:xfrm>
                      <a:off x="0" y="0"/>
                      <a:ext cx="5966169" cy="2690812"/>
                    </a:xfrm>
                    <a:prstGeom prst="rect">
                      <a:avLst/>
                    </a:prstGeom>
                  </pic:spPr>
                </pic:pic>
              </a:graphicData>
            </a:graphic>
          </wp:anchor>
        </w:drawing>
      </w:r>
      <w:r>
        <w:rPr/>
        <w:t>Figure 52. Comparison of Disclosure Rates for Sexual Harassment Incidents Experienced by Undergraduate Women During 2019–2020 and 2021–2022 Academic Years</w:t>
      </w:r>
    </w:p>
    <w:p>
      <w:pPr>
        <w:spacing w:before="35"/>
        <w:ind w:left="368" w:right="1481" w:hanging="189"/>
        <w:jc w:val="left"/>
        <w:rPr>
          <w:sz w:val="18"/>
        </w:rPr>
      </w:pPr>
      <w:r>
        <w:rPr>
          <w:sz w:val="18"/>
        </w:rPr>
        <w:t>Notes: * Statistically significant at p &lt; 0.05. ! Estimate is considered not statistically reliable because it is either based on fewer than 10 people or has a relative standard error greater than 30%. For an accessible version of the information shown in this figure, see </w:t>
      </w:r>
      <w:hyperlink r:id="rId152">
        <w:r>
          <w:rPr>
            <w:color w:val="1F419A"/>
            <w:sz w:val="18"/>
            <w:u w:val="single" w:color="1F419A"/>
          </w:rPr>
          <w:t>Appendix Table G-6a</w:t>
        </w:r>
      </w:hyperlink>
      <w:r>
        <w:rPr>
          <w:sz w:val="18"/>
        </w:rPr>
        <w:t>.</w:t>
      </w:r>
    </w:p>
    <w:p>
      <w:pPr>
        <w:pStyle w:val="BodyText"/>
        <w:spacing w:before="1"/>
        <w:rPr>
          <w:sz w:val="27"/>
        </w:rPr>
      </w:pPr>
    </w:p>
    <w:p>
      <w:pPr>
        <w:pStyle w:val="Heading5"/>
        <w:spacing w:before="93"/>
        <w:ind w:right="1575"/>
      </w:pPr>
      <w:r>
        <w:rPr/>
        <w:pict>
          <v:group style="position:absolute;margin-left:72.75pt;margin-top:31.320883pt;width:469.5pt;height:211.65pt;mso-position-horizontal-relative:page;mso-position-vertical-relative:paragraph;z-index:-251559936;mso-wrap-distance-left:0;mso-wrap-distance-right:0" coordorigin="1455,626" coordsize="9390,4233" alt="See Notes for information on an accessible version of this figure.">
            <v:shape style="position:absolute;left:1522;top:641;width:9308;height:4203" type="#_x0000_t75" alt="See Notes for information on an accessible version of this figure." stroked="false">
              <v:imagedata r:id="rId153" o:title=""/>
            </v:shape>
            <v:rect style="position:absolute;left:1462;top:633;width:9375;height:4218" filled="false" stroked="true" strokeweight=".75pt" strokecolor="#000000">
              <v:stroke dashstyle="solid"/>
            </v:rect>
            <w10:wrap type="topAndBottom"/>
          </v:group>
        </w:pict>
      </w:r>
      <w:r>
        <w:rPr/>
        <w:t>Figure 53. Comparison of Disclosure Rates for Sexual Harassment Incidents Experienced by Undergraduate Men During 2019–2020 and 2021–2022 Academic Years</w:t>
      </w:r>
    </w:p>
    <w:p>
      <w:pPr>
        <w:spacing w:before="39"/>
        <w:ind w:left="367" w:right="1481" w:hanging="188"/>
        <w:jc w:val="left"/>
        <w:rPr>
          <w:sz w:val="18"/>
        </w:rPr>
      </w:pPr>
      <w:r>
        <w:rPr>
          <w:sz w:val="18"/>
        </w:rPr>
        <w:t>Notes: * Statistically significant at p &lt; 0.05. ! Estimate is considered not statistically reliable because it is either based on fewer than 10 people or has a relative standard error greater than 30%. For an accessible version of the information shown in this figure, see </w:t>
      </w:r>
      <w:hyperlink r:id="rId154">
        <w:r>
          <w:rPr>
            <w:color w:val="1F419A"/>
            <w:sz w:val="18"/>
            <w:u w:val="single" w:color="1F419A"/>
          </w:rPr>
          <w:t>Appendix Table G-6b</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211.85pt;mso-position-horizontal-relative:page;mso-position-vertical-relative:paragraph;z-index:-251558912;mso-wrap-distance-left:0;mso-wrap-distance-right:0" coordorigin="1455,631" coordsize="9390,4237" alt="See Notes for information on an accessible version of this figure. ">
            <v:shape style="position:absolute;left:1509;top:645;width:9321;height:4207" type="#_x0000_t75" alt="See Notes for information on an accessible version of this figure. " stroked="false">
              <v:imagedata r:id="rId155" o:title=""/>
            </v:shape>
            <v:rect style="position:absolute;left:1462;top:638;width:9375;height:4222" filled="false" stroked="true" strokeweight=".75pt" strokecolor="#000000">
              <v:stroke dashstyle="solid"/>
            </v:rect>
            <w10:wrap type="topAndBottom"/>
          </v:group>
        </w:pict>
      </w:r>
      <w:r>
        <w:rPr/>
        <w:t>Figure 54. Comparison of Disclosure Rates for Sexual Harassment Incidents Experienced by Graduate/Professional Women During 2019–2020 and 2021–2022 Academic Years</w:t>
      </w:r>
    </w:p>
    <w:p>
      <w:pPr>
        <w:spacing w:before="35"/>
        <w:ind w:left="368" w:right="1765" w:hanging="189"/>
        <w:jc w:val="left"/>
        <w:rPr>
          <w:sz w:val="18"/>
        </w:rPr>
      </w:pPr>
      <w:r>
        <w:rPr>
          <w:sz w:val="18"/>
        </w:rPr>
        <w:t>Note: ! Estimate is considered not statistically reliable because it is either based on fewer than 10 people or has a relative standard error greater than 30%. For an accessible version of the information shown in this figure, see </w:t>
      </w:r>
      <w:hyperlink r:id="rId156">
        <w:r>
          <w:rPr>
            <w:color w:val="1F419A"/>
            <w:sz w:val="18"/>
            <w:u w:val="single" w:color="1F419A"/>
          </w:rPr>
          <w:t>Appendix Table G-6c</w:t>
        </w:r>
      </w:hyperlink>
      <w:r>
        <w:rPr>
          <w:sz w:val="18"/>
        </w:rPr>
        <w:t>.</w:t>
      </w:r>
    </w:p>
    <w:p>
      <w:pPr>
        <w:pStyle w:val="BodyText"/>
        <w:spacing w:before="1"/>
        <w:rPr>
          <w:sz w:val="27"/>
        </w:rPr>
      </w:pPr>
    </w:p>
    <w:p>
      <w:pPr>
        <w:pStyle w:val="Heading5"/>
        <w:spacing w:before="93"/>
        <w:ind w:right="1575"/>
      </w:pPr>
      <w:r>
        <w:rPr/>
        <w:pict>
          <v:group style="position:absolute;margin-left:72.75pt;margin-top:31.320883pt;width:469.5pt;height:211.75pt;mso-position-horizontal-relative:page;mso-position-vertical-relative:paragraph;z-index:-251557888;mso-wrap-distance-left:0;mso-wrap-distance-right:0" coordorigin="1455,626" coordsize="9390,4235" alt="See Notes for information on an accessible version of this figure. ">
            <v:shape style="position:absolute;left:1522;top:641;width:9308;height:4205" type="#_x0000_t75" alt="See Notes for information on an accessible version of this figure. " stroked="false">
              <v:imagedata r:id="rId157" o:title=""/>
            </v:shape>
            <v:rect style="position:absolute;left:1462;top:633;width:9375;height:4220" filled="false" stroked="true" strokeweight=".75pt" strokecolor="#000000">
              <v:stroke dashstyle="solid"/>
            </v:rect>
            <w10:wrap type="topAndBottom"/>
          </v:group>
        </w:pict>
      </w:r>
      <w:r>
        <w:rPr/>
        <w:t>Figure 55. Comparison of Disclosure Rates for Sexual Harassment Incidents Experienced by Graduate/Professional Men During 2019–2020 and 2021–2022 Academic Years</w:t>
      </w:r>
    </w:p>
    <w:p>
      <w:pPr>
        <w:spacing w:before="37"/>
        <w:ind w:left="368" w:right="1765" w:hanging="189"/>
        <w:jc w:val="left"/>
        <w:rPr>
          <w:sz w:val="18"/>
        </w:rPr>
      </w:pPr>
      <w:r>
        <w:rPr>
          <w:sz w:val="18"/>
        </w:rPr>
        <w:t>Note: ! Estimate is considered not statistically reliable because it is either based on fewer than 10 people or has a relative standard error greater than 30%. For an accessible version of the information shown in this figure, see </w:t>
      </w:r>
      <w:hyperlink r:id="rId158">
        <w:r>
          <w:rPr>
            <w:color w:val="1F419A"/>
            <w:sz w:val="18"/>
            <w:u w:val="single" w:color="1F419A"/>
          </w:rPr>
          <w:t>Appendix Table G-6d</w:t>
        </w:r>
      </w:hyperlink>
      <w:r>
        <w:rPr>
          <w:sz w:val="18"/>
        </w:rPr>
        <w:t>.</w:t>
      </w:r>
    </w:p>
    <w:p>
      <w:pPr>
        <w:pStyle w:val="BodyText"/>
      </w:pPr>
    </w:p>
    <w:p>
      <w:pPr>
        <w:pStyle w:val="BodyText"/>
        <w:rPr>
          <w:sz w:val="21"/>
        </w:rPr>
      </w:pPr>
    </w:p>
    <w:p>
      <w:pPr>
        <w:pStyle w:val="BodyText"/>
        <w:spacing w:line="333" w:lineRule="auto"/>
        <w:ind w:left="179" w:right="1665" w:firstLine="720"/>
      </w:pPr>
      <w:r>
        <w:rPr/>
        <w:t>Figures 56 through 59 compare the 2019 and 2022 prevalence estimates for experiencing workplace incivility and workplace sexual harassment for faculty women, faculty men, staff women, and staff men. All groups except faculty men experienced significantly less workplace incivility in 2022 than</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64"/>
      </w:pPr>
      <w:r>
        <w:rPr/>
        <w:t>they did in 2019. All four groups experienced significantly less workplace sexual harassment in 2022 than they did in 2019.</w:t>
      </w:r>
    </w:p>
    <w:p>
      <w:pPr>
        <w:pStyle w:val="Heading5"/>
        <w:spacing w:line="242" w:lineRule="auto" w:before="92"/>
        <w:ind w:right="1575"/>
      </w:pPr>
      <w:r>
        <w:rPr/>
        <w:pict>
          <v:group style="position:absolute;margin-left:72.75pt;margin-top:31.425896pt;width:469.5pt;height:76.8pt;mso-position-horizontal-relative:page;mso-position-vertical-relative:paragraph;z-index:-251556864;mso-wrap-distance-left:0;mso-wrap-distance-right:0" coordorigin="1455,629" coordsize="9390,1536">
            <v:shape style="position:absolute;left:2254;top:643;width:8576;height:1506" type="#_x0000_t75" alt="See Notes for information on an accessible version of this figure." stroked="false">
              <v:imagedata r:id="rId159" o:title=""/>
            </v:shape>
            <v:rect style="position:absolute;left:1462;top:636;width:9375;height:1521" filled="false" stroked="true" strokeweight=".75pt" strokecolor="#000000">
              <v:stroke dashstyle="solid"/>
            </v:rect>
            <w10:wrap type="topAndBottom"/>
          </v:group>
        </w:pict>
      </w:r>
      <w:r>
        <w:rPr/>
        <w:t>Figure 56. Comparison of Workplace Incivility and Sexual Harassment Prevalence for Faculty Women During 2019–2020 and 2021–2022 Academic Years</w:t>
      </w:r>
    </w:p>
    <w:p>
      <w:pPr>
        <w:spacing w:before="36"/>
        <w:ind w:left="368" w:right="1961" w:hanging="189"/>
        <w:jc w:val="left"/>
        <w:rPr>
          <w:sz w:val="18"/>
        </w:rPr>
      </w:pPr>
      <w:r>
        <w:rPr>
          <w:sz w:val="18"/>
        </w:rPr>
        <w:t>Note: * Statistically significant at p &lt; 0.05. For an accessible version of the information shown in this figure, see </w:t>
      </w:r>
      <w:hyperlink r:id="rId160">
        <w:r>
          <w:rPr>
            <w:color w:val="1F419A"/>
            <w:sz w:val="18"/>
            <w:u w:val="single" w:color="1F419A"/>
          </w:rPr>
          <w:t>Appendix Tables G-4a</w:t>
        </w:r>
        <w:r>
          <w:rPr>
            <w:color w:val="1F419A"/>
            <w:sz w:val="18"/>
          </w:rPr>
          <w:t> </w:t>
        </w:r>
      </w:hyperlink>
      <w:r>
        <w:rPr>
          <w:sz w:val="18"/>
        </w:rPr>
        <w:t>and </w:t>
      </w:r>
      <w:hyperlink r:id="rId161">
        <w:r>
          <w:rPr>
            <w:color w:val="1F419A"/>
            <w:sz w:val="18"/>
            <w:u w:val="single" w:color="1F419A"/>
          </w:rPr>
          <w:t>G-5a</w:t>
        </w:r>
      </w:hyperlink>
      <w:r>
        <w:rPr>
          <w:sz w:val="18"/>
        </w:rPr>
        <w:t>.</w:t>
      </w:r>
    </w:p>
    <w:p>
      <w:pPr>
        <w:pStyle w:val="BodyText"/>
        <w:rPr>
          <w:sz w:val="27"/>
        </w:rPr>
      </w:pPr>
    </w:p>
    <w:p>
      <w:pPr>
        <w:pStyle w:val="Heading5"/>
        <w:spacing w:before="93"/>
        <w:ind w:right="1846"/>
      </w:pPr>
      <w:r>
        <w:rPr/>
        <w:pict>
          <v:group style="position:absolute;margin-left:72.75pt;margin-top:31.371906pt;width:469.5pt;height:76.8pt;mso-position-horizontal-relative:page;mso-position-vertical-relative:paragraph;z-index:-251555840;mso-wrap-distance-left:0;mso-wrap-distance-right:0" coordorigin="1455,627" coordsize="9390,1536">
            <v:shape style="position:absolute;left:2241;top:642;width:8589;height:1506" type="#_x0000_t75" alt="See Notes for information on an accessible version of this figure." stroked="false">
              <v:imagedata r:id="rId162" o:title=""/>
            </v:shape>
            <v:rect style="position:absolute;left:1462;top:634;width:9375;height:1521" filled="false" stroked="true" strokeweight=".75pt" strokecolor="#000000">
              <v:stroke dashstyle="solid"/>
            </v:rect>
            <w10:wrap type="topAndBottom"/>
          </v:group>
        </w:pict>
      </w:r>
      <w:r>
        <w:rPr/>
        <w:t>Figure 57. Comparison of Workplace Incivility and Sexual Harassment Prevalence for Faculty Men During 2019–2020 and 2021–2022 Academic Years</w:t>
      </w:r>
    </w:p>
    <w:p>
      <w:pPr>
        <w:spacing w:before="39"/>
        <w:ind w:left="368" w:right="1961" w:hanging="189"/>
        <w:jc w:val="left"/>
        <w:rPr>
          <w:sz w:val="18"/>
        </w:rPr>
      </w:pPr>
      <w:r>
        <w:rPr>
          <w:sz w:val="18"/>
        </w:rPr>
        <w:t>Note: * Statistically significant at p &lt; 0.05. For an accessible version of the information shown in this figure, see </w:t>
      </w:r>
      <w:hyperlink r:id="rId163">
        <w:r>
          <w:rPr>
            <w:color w:val="1F419A"/>
            <w:sz w:val="18"/>
            <w:u w:val="single" w:color="1F419A"/>
          </w:rPr>
          <w:t>Appendix Tables G-4b</w:t>
        </w:r>
        <w:r>
          <w:rPr>
            <w:color w:val="1F419A"/>
            <w:sz w:val="18"/>
          </w:rPr>
          <w:t> </w:t>
        </w:r>
      </w:hyperlink>
      <w:r>
        <w:rPr>
          <w:sz w:val="18"/>
        </w:rPr>
        <w:t>and </w:t>
      </w:r>
      <w:hyperlink r:id="rId164">
        <w:r>
          <w:rPr>
            <w:color w:val="1F419A"/>
            <w:sz w:val="18"/>
            <w:u w:val="single" w:color="1F419A"/>
          </w:rPr>
          <w:t>G-5b</w:t>
        </w:r>
      </w:hyperlink>
      <w:r>
        <w:rPr>
          <w:sz w:val="18"/>
        </w:rPr>
        <w:t>.</w:t>
      </w:r>
    </w:p>
    <w:p>
      <w:pPr>
        <w:pStyle w:val="BodyText"/>
        <w:spacing w:before="6"/>
        <w:rPr>
          <w:sz w:val="26"/>
        </w:rPr>
      </w:pPr>
    </w:p>
    <w:p>
      <w:pPr>
        <w:pStyle w:val="Heading5"/>
        <w:spacing w:line="242" w:lineRule="auto"/>
        <w:ind w:right="1575"/>
      </w:pPr>
      <w:r>
        <w:rPr/>
        <w:pict>
          <v:group style="position:absolute;margin-left:72.75pt;margin-top:31.518871pt;width:469.5pt;height:76.850pt;mso-position-horizontal-relative:page;mso-position-vertical-relative:paragraph;z-index:-251554816;mso-wrap-distance-left:0;mso-wrap-distance-right:0" coordorigin="1455,630" coordsize="9390,1537">
            <v:shape style="position:absolute;left:2242;top:645;width:8588;height:1507" type="#_x0000_t75" alt="See Notes for information on an accessible version of this figure." stroked="false">
              <v:imagedata r:id="rId165" o:title=""/>
            </v:shape>
            <v:rect style="position:absolute;left:1462;top:637;width:9375;height:1522" filled="false" stroked="true" strokeweight=".75pt" strokecolor="#000000">
              <v:stroke dashstyle="solid"/>
            </v:rect>
            <w10:wrap type="topAndBottom"/>
          </v:group>
        </w:pict>
      </w:r>
      <w:r>
        <w:rPr/>
        <w:t>Figure 58. Comparison of Workplace Incivility and Sexual Harassment Prevalence for Staff Women During 2019–2020 and 2021–2022 Academic Years</w:t>
      </w:r>
    </w:p>
    <w:p>
      <w:pPr>
        <w:spacing w:before="36"/>
        <w:ind w:left="368" w:right="1961" w:hanging="189"/>
        <w:jc w:val="left"/>
        <w:rPr>
          <w:sz w:val="18"/>
        </w:rPr>
      </w:pPr>
      <w:r>
        <w:rPr>
          <w:sz w:val="18"/>
        </w:rPr>
        <w:t>Note: * Statistically significant at p &lt; 0.05. For an accessible version of the information shown in this figure, see </w:t>
      </w:r>
      <w:hyperlink r:id="rId166">
        <w:r>
          <w:rPr>
            <w:color w:val="1F419A"/>
            <w:sz w:val="18"/>
            <w:u w:val="single" w:color="1F419A"/>
          </w:rPr>
          <w:t>Appendix Tables G-4c</w:t>
        </w:r>
        <w:r>
          <w:rPr>
            <w:color w:val="1F419A"/>
            <w:sz w:val="18"/>
          </w:rPr>
          <w:t> </w:t>
        </w:r>
      </w:hyperlink>
      <w:r>
        <w:rPr>
          <w:sz w:val="18"/>
        </w:rPr>
        <w:t>and </w:t>
      </w:r>
      <w:hyperlink r:id="rId167">
        <w:r>
          <w:rPr>
            <w:color w:val="1F419A"/>
            <w:sz w:val="18"/>
            <w:u w:val="single" w:color="1F419A"/>
          </w:rPr>
          <w:t>G-5c</w:t>
        </w:r>
        <w:r>
          <w:rPr>
            <w:sz w:val="18"/>
          </w:rPr>
          <w:t>.</w:t>
        </w:r>
      </w:hyperlink>
    </w:p>
    <w:p>
      <w:pPr>
        <w:pStyle w:val="BodyText"/>
        <w:spacing w:before="10"/>
        <w:rPr>
          <w:sz w:val="26"/>
        </w:rPr>
      </w:pPr>
    </w:p>
    <w:p>
      <w:pPr>
        <w:pStyle w:val="Heading5"/>
        <w:ind w:left="1259" w:right="1575"/>
      </w:pPr>
      <w:r>
        <w:rPr/>
        <w:pict>
          <v:group style="position:absolute;margin-left:72.75pt;margin-top:31.414883pt;width:469.5pt;height:76.8pt;mso-position-horizontal-relative:page;mso-position-vertical-relative:paragraph;z-index:-251553792;mso-wrap-distance-left:0;mso-wrap-distance-right:0" coordorigin="1455,628" coordsize="9390,1536">
            <v:shape style="position:absolute;left:2254;top:643;width:8576;height:1506" type="#_x0000_t75" alt="See Notes for information on an accessible version of this figure." stroked="false">
              <v:imagedata r:id="rId168" o:title=""/>
            </v:shape>
            <v:rect style="position:absolute;left:1462;top:635;width:9375;height:1521" filled="false" stroked="true" strokeweight=".75pt" strokecolor="#000000">
              <v:stroke dashstyle="solid"/>
            </v:rect>
            <w10:wrap type="topAndBottom"/>
          </v:group>
        </w:pict>
      </w:r>
      <w:r>
        <w:rPr/>
        <w:t>Figure 59. Comparison of Workplace Incivility and Sexual Harassment Prevalence for Staff Men During 2019–2020 and 2021–2022 Academic Years</w:t>
      </w:r>
    </w:p>
    <w:p>
      <w:pPr>
        <w:spacing w:before="39"/>
        <w:ind w:left="368" w:right="1961" w:hanging="189"/>
        <w:jc w:val="left"/>
        <w:rPr>
          <w:sz w:val="18"/>
        </w:rPr>
      </w:pPr>
      <w:r>
        <w:rPr>
          <w:sz w:val="18"/>
        </w:rPr>
        <w:t>Note: * Statistically significant at p &lt; 0.05. For an accessible version of the information shown in this figure, see </w:t>
      </w:r>
      <w:hyperlink r:id="rId169">
        <w:r>
          <w:rPr>
            <w:color w:val="1F419A"/>
            <w:sz w:val="18"/>
            <w:u w:val="single" w:color="1F419A"/>
          </w:rPr>
          <w:t>Appendix Tables G-4d</w:t>
        </w:r>
        <w:r>
          <w:rPr>
            <w:color w:val="1F419A"/>
            <w:sz w:val="18"/>
          </w:rPr>
          <w:t> </w:t>
        </w:r>
      </w:hyperlink>
      <w:r>
        <w:rPr>
          <w:sz w:val="18"/>
        </w:rPr>
        <w:t>and </w:t>
      </w:r>
      <w:hyperlink r:id="rId170">
        <w:r>
          <w:rPr>
            <w:color w:val="1F419A"/>
            <w:sz w:val="18"/>
            <w:u w:val="single" w:color="1F419A"/>
          </w:rPr>
          <w:t>G-5d</w:t>
        </w:r>
      </w:hyperlink>
      <w:r>
        <w:rPr>
          <w:sz w:val="18"/>
        </w:rPr>
        <w:t>.</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551" w:firstLine="720"/>
      </w:pPr>
      <w:r>
        <w:rPr/>
        <w:t>Figures 60 through 63 compare the 2019 and 2022 rates of disclosing sexual harassment experienced by faculty women, faculty men, staff women, and staff men to friends, family members, or intimate/romantic partners; work colleagues; or no one. The prevalence of disclosing sexual harassment did not change from 2019 to 2022. Respondents were able to endorse other sources to which they could have disclosed their sexual harassment experiences, but the estimates for those other sources lack statistical precision.</w:t>
      </w:r>
    </w:p>
    <w:p>
      <w:pPr>
        <w:pStyle w:val="Heading5"/>
        <w:spacing w:line="242" w:lineRule="auto" w:before="93"/>
        <w:ind w:left="1259" w:right="1575"/>
      </w:pPr>
      <w:r>
        <w:rPr/>
        <w:pict>
          <v:group style="position:absolute;margin-left:72.75pt;margin-top:31.475895pt;width:469.5pt;height:211.65pt;mso-position-horizontal-relative:page;mso-position-vertical-relative:paragraph;z-index:-251552768;mso-wrap-distance-left:0;mso-wrap-distance-right:0" coordorigin="1455,630" coordsize="9390,4233" alt="See Notes for information on an accessible version of this figure.">
            <v:shape style="position:absolute;left:1522;top:644;width:9308;height:4203" type="#_x0000_t75" alt="See Notes for information on an accessible version of this figure." stroked="false">
              <v:imagedata r:id="rId171" o:title=""/>
            </v:shape>
            <v:rect style="position:absolute;left:1462;top:637;width:9375;height:4218" filled="false" stroked="true" strokeweight=".75pt" strokecolor="#000000">
              <v:stroke dashstyle="solid"/>
            </v:rect>
            <w10:wrap type="topAndBottom"/>
          </v:group>
        </w:pict>
      </w:r>
      <w:r>
        <w:rPr/>
        <w:t>Figure 60. Comparison of Disclosure Rates for Sexual Harassment Incidents Experienced by Faculty Women During 2019–2020 and 2021–2022 Academic Years</w:t>
      </w:r>
    </w:p>
    <w:p>
      <w:pPr>
        <w:spacing w:before="39"/>
        <w:ind w:left="367" w:right="1481" w:hanging="188"/>
        <w:jc w:val="left"/>
        <w:rPr>
          <w:sz w:val="18"/>
        </w:rPr>
      </w:pPr>
      <w:r>
        <w:rPr>
          <w:sz w:val="18"/>
        </w:rPr>
        <w:t>Notes: * Statistically significant at p &lt; 0.05. ! Estimate is considered not statistically reliable because it is either based on fewer than 10 people or has a relative standard error greater than 30%. For an accessible version of the information shown in this figure, see </w:t>
      </w:r>
      <w:hyperlink r:id="rId172">
        <w:r>
          <w:rPr>
            <w:color w:val="1F419A"/>
            <w:sz w:val="18"/>
            <w:u w:val="single" w:color="1F419A"/>
          </w:rPr>
          <w:t>Appendix Table G-7a</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211.65pt;mso-position-horizontal-relative:page;mso-position-vertical-relative:paragraph;z-index:-251551744;mso-wrap-distance-left:0;mso-wrap-distance-right:0" coordorigin="1455,631" coordsize="9390,4233" alt="See Notes for information on an accessible version of this figure. ">
            <v:shape style="position:absolute;left:1522;top:645;width:9308;height:4203" type="#_x0000_t75" alt="See Notes for information on an accessible version of this figure. " stroked="false">
              <v:imagedata r:id="rId173" o:title=""/>
            </v:shape>
            <v:rect style="position:absolute;left:1462;top:638;width:9375;height:4218" filled="false" stroked="true" strokeweight=".75pt" strokecolor="#000000">
              <v:stroke dashstyle="solid"/>
            </v:rect>
            <w10:wrap type="topAndBottom"/>
          </v:group>
        </w:pict>
      </w:r>
      <w:r>
        <w:rPr/>
        <w:t>Figure 61. Comparison of Disclosure Rates for Sexual Harassment Incidents Experienced by Faculty Men During 2019–2020 and 2021–2022 Academic Years</w:t>
      </w:r>
    </w:p>
    <w:p>
      <w:pPr>
        <w:spacing w:before="39"/>
        <w:ind w:left="368" w:right="1765" w:hanging="189"/>
        <w:jc w:val="left"/>
        <w:rPr>
          <w:sz w:val="18"/>
        </w:rPr>
      </w:pPr>
      <w:r>
        <w:rPr>
          <w:sz w:val="18"/>
        </w:rPr>
        <w:t>Note: ! Estimate is considered not statistically reliable because it is either based on fewer than 10 people or has a relative standard error greater than 30%. For an accessible version of the information shown in this figure, see </w:t>
      </w:r>
      <w:hyperlink r:id="rId174">
        <w:r>
          <w:rPr>
            <w:color w:val="1F419A"/>
            <w:sz w:val="18"/>
            <w:u w:val="single" w:color="1F419A"/>
          </w:rPr>
          <w:t>Appendix Table G-7b</w:t>
        </w:r>
      </w:hyperlink>
      <w:r>
        <w:rPr>
          <w:sz w:val="18"/>
        </w:rPr>
        <w:t>.</w:t>
      </w:r>
    </w:p>
    <w:p>
      <w:pPr>
        <w:pStyle w:val="BodyText"/>
        <w:spacing w:before="1"/>
        <w:rPr>
          <w:sz w:val="27"/>
        </w:rPr>
      </w:pPr>
    </w:p>
    <w:p>
      <w:pPr>
        <w:pStyle w:val="Heading5"/>
        <w:spacing w:before="93"/>
        <w:ind w:right="1846"/>
      </w:pPr>
      <w:r>
        <w:rPr/>
        <w:pict>
          <v:group style="position:absolute;margin-left:72.75pt;margin-top:31.320883pt;width:469.5pt;height:211.75pt;mso-position-horizontal-relative:page;mso-position-vertical-relative:paragraph;z-index:-251550720;mso-wrap-distance-left:0;mso-wrap-distance-right:0" coordorigin="1455,626" coordsize="9390,4235" alt="See Notes for information on an accessible version of this figure. ">
            <v:shape style="position:absolute;left:1522;top:641;width:9308;height:4205" type="#_x0000_t75" alt="See Notes for information on an accessible version of this figure. " stroked="false">
              <v:imagedata r:id="rId175" o:title=""/>
            </v:shape>
            <v:rect style="position:absolute;left:1462;top:633;width:9375;height:4220" filled="false" stroked="true" strokeweight=".75pt" strokecolor="#000000">
              <v:stroke dashstyle="solid"/>
            </v:rect>
            <w10:wrap type="topAndBottom"/>
          </v:group>
        </w:pict>
      </w:r>
      <w:r>
        <w:rPr/>
        <w:t>Figure 62. Comparison of Disclosure Rates for Sexual Harassment Incidents Experienced by Staff Women During 2019–2020 and 2021–2022 Academic Years</w:t>
      </w:r>
    </w:p>
    <w:p>
      <w:pPr>
        <w:spacing w:before="37"/>
        <w:ind w:left="368" w:right="1765" w:hanging="189"/>
        <w:jc w:val="left"/>
        <w:rPr>
          <w:sz w:val="18"/>
        </w:rPr>
      </w:pPr>
      <w:r>
        <w:rPr>
          <w:sz w:val="18"/>
        </w:rPr>
        <w:t>Note: ! Estimate is considered not statistically reliable because it is either based on fewer than 10 people or has a relative standard error greater than 30%. For an accessible version of the information shown in this figure, see </w:t>
      </w:r>
      <w:hyperlink r:id="rId176">
        <w:r>
          <w:rPr>
            <w:color w:val="1F419A"/>
            <w:sz w:val="18"/>
            <w:u w:val="single" w:color="1F419A"/>
          </w:rPr>
          <w:t>Appendix Table G-7c</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846"/>
      </w:pPr>
      <w:r>
        <w:rPr/>
        <w:pict>
          <v:group style="position:absolute;margin-left:72.75pt;margin-top:31.525894pt;width:469.5pt;height:211.65pt;mso-position-horizontal-relative:page;mso-position-vertical-relative:paragraph;z-index:-251549696;mso-wrap-distance-left:0;mso-wrap-distance-right:0" coordorigin="1455,631" coordsize="9390,4233" alt="See Notes for information on an accessible version of this figure. ">
            <v:shape style="position:absolute;left:1522;top:645;width:9308;height:4203" type="#_x0000_t75" alt="See Notes for information on an accessible version of this figure. " stroked="false">
              <v:imagedata r:id="rId177" o:title=""/>
            </v:shape>
            <v:rect style="position:absolute;left:1462;top:638;width:9375;height:4218" filled="false" stroked="true" strokeweight=".75pt" strokecolor="#000000">
              <v:stroke dashstyle="solid"/>
            </v:rect>
            <w10:wrap type="topAndBottom"/>
          </v:group>
        </w:pict>
      </w:r>
      <w:r>
        <w:rPr/>
        <w:t>Figure 63. Comparison of Disclosure Rates for Sexual Harassment Incidents Experienced by Staff Men During 2019–2020 and 2021–2022 Academic Years</w:t>
      </w:r>
    </w:p>
    <w:p>
      <w:pPr>
        <w:spacing w:before="39"/>
        <w:ind w:left="367" w:right="1765" w:hanging="188"/>
        <w:jc w:val="left"/>
        <w:rPr>
          <w:sz w:val="18"/>
        </w:rPr>
      </w:pPr>
      <w:r>
        <w:rPr>
          <w:sz w:val="18"/>
        </w:rPr>
        <w:t>Note: ! Estimate is considered not statistically reliable because it is either based on fewer than 10 people or has a relative standard error greater than 30%. For an accessible version of the information shown in this figure, see </w:t>
      </w:r>
      <w:hyperlink r:id="rId178">
        <w:r>
          <w:rPr>
            <w:color w:val="1F419A"/>
            <w:sz w:val="18"/>
            <w:u w:val="single" w:color="1F419A"/>
          </w:rPr>
          <w:t>Appendix Table G-7d</w:t>
        </w:r>
      </w:hyperlink>
      <w:r>
        <w:rPr>
          <w:sz w:val="18"/>
        </w:rPr>
        <w:t>.</w:t>
      </w:r>
    </w:p>
    <w:p>
      <w:pPr>
        <w:pStyle w:val="BodyText"/>
      </w:pPr>
    </w:p>
    <w:p>
      <w:pPr>
        <w:pStyle w:val="BodyText"/>
        <w:spacing w:before="1"/>
        <w:rPr>
          <w:sz w:val="21"/>
        </w:rPr>
      </w:pPr>
    </w:p>
    <w:p>
      <w:pPr>
        <w:pStyle w:val="BodyText"/>
        <w:spacing w:line="333" w:lineRule="auto"/>
        <w:ind w:left="180" w:right="1754" w:firstLine="720"/>
      </w:pPr>
      <w:r>
        <w:rPr/>
        <w:t>Figure 64 compares the 2019 and 2022 standardized scores for undergraduate women on the following seven climate scales that were included in both the 2019 and 2022 surveys.</w:t>
      </w:r>
    </w:p>
    <w:p>
      <w:pPr>
        <w:pStyle w:val="ListParagraph"/>
        <w:numPr>
          <w:ilvl w:val="0"/>
          <w:numId w:val="12"/>
        </w:numPr>
        <w:tabs>
          <w:tab w:pos="1259" w:val="left" w:leader="none"/>
          <w:tab w:pos="1260" w:val="left" w:leader="none"/>
        </w:tabs>
        <w:spacing w:line="240" w:lineRule="auto" w:before="93" w:after="0"/>
        <w:ind w:left="1260" w:right="0" w:hanging="360"/>
        <w:jc w:val="left"/>
        <w:rPr>
          <w:sz w:val="20"/>
        </w:rPr>
      </w:pPr>
      <w:r>
        <w:rPr>
          <w:sz w:val="20"/>
        </w:rPr>
        <w:t>General School</w:t>
      </w:r>
      <w:r>
        <w:rPr>
          <w:spacing w:val="-12"/>
          <w:sz w:val="20"/>
        </w:rPr>
        <w:t> </w:t>
      </w:r>
      <w:r>
        <w:rPr>
          <w:sz w:val="20"/>
        </w:rPr>
        <w:t>Connectedness</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Perceptions of Inclusive</w:t>
      </w:r>
      <w:r>
        <w:rPr>
          <w:spacing w:val="-15"/>
          <w:sz w:val="20"/>
        </w:rPr>
        <w:t> </w:t>
      </w:r>
      <w:r>
        <w:rPr>
          <w:sz w:val="20"/>
        </w:rPr>
        <w:t>Climate</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General Perceptions of Highest Administrative</w:t>
      </w:r>
      <w:r>
        <w:rPr>
          <w:spacing w:val="-5"/>
          <w:sz w:val="20"/>
        </w:rPr>
        <w:t> </w:t>
      </w:r>
      <w:r>
        <w:rPr>
          <w:sz w:val="20"/>
        </w:rPr>
        <w:t>Leadership</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General Perceptions of Other University</w:t>
      </w:r>
      <w:r>
        <w:rPr>
          <w:spacing w:val="-1"/>
          <w:sz w:val="20"/>
        </w:rPr>
        <w:t> </w:t>
      </w:r>
      <w:r>
        <w:rPr>
          <w:sz w:val="20"/>
        </w:rPr>
        <w:t>Administration</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Perceptions of School Leadership Climate for Sexual Misconduct Prevention and</w:t>
      </w:r>
      <w:r>
        <w:rPr>
          <w:spacing w:val="-13"/>
          <w:sz w:val="20"/>
        </w:rPr>
        <w:t> </w:t>
      </w:r>
      <w:r>
        <w:rPr>
          <w:sz w:val="20"/>
        </w:rPr>
        <w:t>Response</w:t>
      </w:r>
    </w:p>
    <w:p>
      <w:pPr>
        <w:pStyle w:val="ListParagraph"/>
        <w:numPr>
          <w:ilvl w:val="0"/>
          <w:numId w:val="12"/>
        </w:numPr>
        <w:tabs>
          <w:tab w:pos="1259" w:val="left" w:leader="none"/>
          <w:tab w:pos="1260" w:val="left" w:leader="none"/>
        </w:tabs>
        <w:spacing w:line="242" w:lineRule="auto" w:before="78" w:after="0"/>
        <w:ind w:left="1260" w:right="2322" w:hanging="360"/>
        <w:jc w:val="left"/>
        <w:rPr>
          <w:sz w:val="20"/>
        </w:rPr>
      </w:pPr>
      <w:r>
        <w:rPr>
          <w:sz w:val="20"/>
        </w:rPr>
        <w:t>Perceptions of School Leadership Climate for Relationship Violence Prevention and Response</w:t>
      </w:r>
    </w:p>
    <w:p>
      <w:pPr>
        <w:pStyle w:val="ListParagraph"/>
        <w:numPr>
          <w:ilvl w:val="0"/>
          <w:numId w:val="12"/>
        </w:numPr>
        <w:tabs>
          <w:tab w:pos="1259" w:val="left" w:leader="none"/>
          <w:tab w:pos="1260" w:val="left" w:leader="none"/>
        </w:tabs>
        <w:spacing w:line="240" w:lineRule="auto" w:before="75" w:after="0"/>
        <w:ind w:left="1260" w:right="0" w:hanging="360"/>
        <w:jc w:val="left"/>
        <w:rPr>
          <w:sz w:val="20"/>
        </w:rPr>
      </w:pPr>
      <w:r>
        <w:rPr>
          <w:sz w:val="20"/>
        </w:rPr>
        <w:t>Awareness and Perceived Fairness of School Sexual Assault Policy and</w:t>
      </w:r>
      <w:r>
        <w:rPr>
          <w:spacing w:val="-11"/>
          <w:sz w:val="20"/>
        </w:rPr>
        <w:t> </w:t>
      </w:r>
      <w:r>
        <w:rPr>
          <w:sz w:val="20"/>
        </w:rPr>
        <w:t>Resources</w:t>
      </w:r>
    </w:p>
    <w:p>
      <w:pPr>
        <w:spacing w:after="0" w:line="240" w:lineRule="auto"/>
        <w:jc w:val="left"/>
        <w:rPr>
          <w:sz w:val="20"/>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185.5pt;mso-position-horizontal-relative:page;mso-position-vertical-relative:paragraph;z-index:-251548672;mso-wrap-distance-left:0;mso-wrap-distance-right:0" coordorigin="1455,631" coordsize="9390,3710" alt="See Notes for information on an accessible version of this figure.">
            <v:shape style="position:absolute;left:1522;top:645;width:9308;height:3680" type="#_x0000_t75" alt="See Notes for information on an accessible version of this figure." stroked="false">
              <v:imagedata r:id="rId179" o:title=""/>
            </v:shape>
            <v:rect style="position:absolute;left:1462;top:638;width:9375;height:3695" filled="false" stroked="true" strokeweight=".75pt" strokecolor="#000000">
              <v:stroke dashstyle="solid"/>
            </v:rect>
            <w10:wrap type="topAndBottom"/>
          </v:group>
        </w:pict>
      </w:r>
      <w:r>
        <w:rPr/>
        <w:t>Figure 64. Comparison of Standardized Climate Scale Scores for Undergraduate Women During 2019–2020 and 2021–2022 Academic Years</w:t>
      </w:r>
    </w:p>
    <w:p>
      <w:pPr>
        <w:spacing w:before="54"/>
        <w:ind w:left="368" w:right="1961" w:hanging="189"/>
        <w:jc w:val="left"/>
        <w:rPr>
          <w:sz w:val="18"/>
        </w:rPr>
      </w:pPr>
      <w:r>
        <w:rPr>
          <w:sz w:val="18"/>
        </w:rPr>
        <w:t>Note: * Statistically significant at p &lt; 0.05. For an accessible version of the information shown in this figure, see </w:t>
      </w:r>
      <w:hyperlink r:id="rId180">
        <w:r>
          <w:rPr>
            <w:color w:val="1F419A"/>
            <w:sz w:val="18"/>
            <w:u w:val="single" w:color="1F419A"/>
          </w:rPr>
          <w:t>Appendix Table G-8a</w:t>
        </w:r>
      </w:hyperlink>
      <w:r>
        <w:rPr>
          <w:sz w:val="18"/>
        </w:rPr>
        <w:t>.</w:t>
      </w:r>
    </w:p>
    <w:p>
      <w:pPr>
        <w:pStyle w:val="BodyText"/>
      </w:pPr>
    </w:p>
    <w:p>
      <w:pPr>
        <w:pStyle w:val="BodyText"/>
        <w:spacing w:before="8"/>
      </w:pPr>
    </w:p>
    <w:p>
      <w:pPr>
        <w:pStyle w:val="BodyText"/>
        <w:spacing w:line="333" w:lineRule="auto"/>
        <w:ind w:left="180" w:right="1733" w:firstLine="720"/>
      </w:pPr>
      <w:r>
        <w:rPr/>
        <w:t>The score for General School Connectedness decreased, which means it got worse; however, the scores for the following four scales increased or improved for undergraduate women from 2019 to 2022: Perceptions of Inclusive Climate, General Perceptions of Highest Administrative Leadership, Perceptions of School Leadership Climate for Sexual Misconduct Prevention and Response, and Perceptions of School Leadership Climate for Relationship Violence Prevention and Response.</w:t>
      </w:r>
    </w:p>
    <w:p>
      <w:pPr>
        <w:pStyle w:val="BodyText"/>
        <w:spacing w:line="333" w:lineRule="auto" w:before="161"/>
        <w:ind w:left="180" w:right="1434" w:firstLine="720"/>
      </w:pPr>
      <w:r>
        <w:rPr/>
        <w:t>Figure 65 compares the 2019 and 2022 standardized scores for undergraduate men on the seven climate scales. The scores for the following four scales increased or improved for undergraduate men from 2019 to 2022: Perceptions of Inclusive Climate, General Perceptions of Highest Administrative Leadership, Perceptions of School Leadership Climate for Sexual Misconduct Prevention and Response, and Perceptions of School Leadership Climate for Relationship Violence Prevention and</w:t>
      </w:r>
      <w:r>
        <w:rPr>
          <w:spacing w:val="-23"/>
        </w:rPr>
        <w:t> </w:t>
      </w:r>
      <w:r>
        <w:rPr/>
        <w:t>Response.</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185.6pt;mso-position-horizontal-relative:page;mso-position-vertical-relative:paragraph;z-index:-251547648;mso-wrap-distance-left:0;mso-wrap-distance-right:0" coordorigin="1455,631" coordsize="9390,3712" alt="See Notes for information on an accessible version of this figure.">
            <v:shape style="position:absolute;left:1522;top:645;width:9308;height:3682" type="#_x0000_t75" alt="See Notes for information on an accessible version of this figure." stroked="false">
              <v:imagedata r:id="rId181" o:title=""/>
            </v:shape>
            <v:rect style="position:absolute;left:1462;top:638;width:9375;height:3697" filled="false" stroked="true" strokeweight=".75pt" strokecolor="#000000">
              <v:stroke dashstyle="solid"/>
            </v:rect>
            <w10:wrap type="topAndBottom"/>
          </v:group>
        </w:pict>
      </w:r>
      <w:r>
        <w:rPr/>
        <w:t>Figure 65. Comparison of Standardized Climate Scale Scores for Undergraduate Men During 2019–2020 and 2021–2022 Academic Years</w:t>
      </w:r>
    </w:p>
    <w:p>
      <w:pPr>
        <w:spacing w:before="52"/>
        <w:ind w:left="368" w:right="1961" w:hanging="189"/>
        <w:jc w:val="left"/>
        <w:rPr>
          <w:sz w:val="18"/>
        </w:rPr>
      </w:pPr>
      <w:r>
        <w:rPr>
          <w:sz w:val="18"/>
        </w:rPr>
        <w:t>Note: * Statistically significant at p &lt; 0.05. For an accessible version of the information shown in this figure, see </w:t>
      </w:r>
      <w:hyperlink r:id="rId182">
        <w:r>
          <w:rPr>
            <w:color w:val="1F419A"/>
            <w:sz w:val="18"/>
            <w:u w:val="single" w:color="1F419A"/>
          </w:rPr>
          <w:t>Appendix Table G-8b</w:t>
        </w:r>
      </w:hyperlink>
      <w:r>
        <w:rPr>
          <w:sz w:val="18"/>
        </w:rPr>
        <w:t>.</w:t>
      </w:r>
    </w:p>
    <w:p>
      <w:pPr>
        <w:pStyle w:val="BodyText"/>
      </w:pPr>
    </w:p>
    <w:p>
      <w:pPr>
        <w:pStyle w:val="BodyText"/>
        <w:spacing w:before="8"/>
      </w:pPr>
    </w:p>
    <w:p>
      <w:pPr>
        <w:pStyle w:val="BodyText"/>
        <w:spacing w:line="333" w:lineRule="auto"/>
        <w:ind w:left="180" w:right="1757" w:firstLine="720"/>
        <w:jc w:val="both"/>
      </w:pPr>
      <w:r>
        <w:rPr/>
        <w:t>Figure 66 compares the 2019 and 2022 standardized scores for women graduate/professional students on the seven climate scales. With the exception of the General School Connectedness scale, which did not change, the scores for the other six scales increased or improved from 2019 to 2022.</w:t>
      </w:r>
    </w:p>
    <w:p>
      <w:pPr>
        <w:pStyle w:val="Heading5"/>
        <w:spacing w:line="242" w:lineRule="auto" w:before="93"/>
        <w:ind w:right="1623"/>
        <w:jc w:val="both"/>
      </w:pPr>
      <w:r>
        <w:rPr/>
        <w:pict>
          <v:group style="position:absolute;margin-left:72.75pt;margin-top:31.471882pt;width:469.5pt;height:185.5pt;mso-position-horizontal-relative:page;mso-position-vertical-relative:paragraph;z-index:-251546624;mso-wrap-distance-left:0;mso-wrap-distance-right:0" coordorigin="1455,629" coordsize="9390,3710" alt="See Notes for information on an accessible version of this figure.">
            <v:shape style="position:absolute;left:1522;top:644;width:9308;height:3680" type="#_x0000_t75" alt="See Notes for information on an accessible version of this figure." stroked="false">
              <v:imagedata r:id="rId183" o:title=""/>
            </v:shape>
            <v:rect style="position:absolute;left:1462;top:636;width:9375;height:3695" filled="false" stroked="true" strokeweight=".75pt" strokecolor="#000000">
              <v:stroke dashstyle="solid"/>
            </v:rect>
            <w10:wrap type="topAndBottom"/>
          </v:group>
        </w:pict>
      </w:r>
      <w:r>
        <w:rPr/>
        <w:t>Figure 66. Comparison of Standardized Climate Scale Scores for Graduate/Professional Women During 2019–2020 and 2021–2022 Academic Years</w:t>
      </w:r>
    </w:p>
    <w:p>
      <w:pPr>
        <w:spacing w:before="55"/>
        <w:ind w:left="368" w:right="1961" w:hanging="189"/>
        <w:jc w:val="left"/>
        <w:rPr>
          <w:sz w:val="18"/>
        </w:rPr>
      </w:pPr>
      <w:r>
        <w:rPr>
          <w:sz w:val="18"/>
        </w:rPr>
        <w:t>Note: * Statistically significant at p &lt; 0.05. For an accessible version of the information shown in this figure, see </w:t>
      </w:r>
      <w:hyperlink r:id="rId184">
        <w:r>
          <w:rPr>
            <w:color w:val="1F419A"/>
            <w:sz w:val="18"/>
            <w:u w:val="single" w:color="1F419A"/>
          </w:rPr>
          <w:t>Appendix Table G-8c</w:t>
        </w:r>
      </w:hyperlink>
      <w:r>
        <w:rPr>
          <w:sz w:val="18"/>
        </w:rPr>
        <w:t>.</w:t>
      </w:r>
    </w:p>
    <w:p>
      <w:pPr>
        <w:pStyle w:val="BodyText"/>
      </w:pPr>
    </w:p>
    <w:p>
      <w:pPr>
        <w:pStyle w:val="BodyText"/>
        <w:spacing w:before="7"/>
      </w:pPr>
    </w:p>
    <w:p>
      <w:pPr>
        <w:pStyle w:val="BodyText"/>
        <w:spacing w:line="333" w:lineRule="auto"/>
        <w:ind w:left="180" w:right="1442" w:firstLine="720"/>
      </w:pPr>
      <w:r>
        <w:rPr/>
        <w:t>Figure 67 compares the 2019 and 2022 standardized scores for men graduate/professional students on the seven climate scales. The scores for all seven scales increased or improved from 2019 to 2022.</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185.5pt;mso-position-horizontal-relative:page;mso-position-vertical-relative:paragraph;z-index:-251545600;mso-wrap-distance-left:0;mso-wrap-distance-right:0" coordorigin="1455,631" coordsize="9390,3710" alt="See Notes for information on an accessible version of this figure.">
            <v:shape style="position:absolute;left:1522;top:645;width:9308;height:3680" type="#_x0000_t75" alt="See Notes for information on an accessible version of this figure." stroked="false">
              <v:imagedata r:id="rId185" o:title=""/>
            </v:shape>
            <v:rect style="position:absolute;left:1462;top:638;width:9375;height:3695" filled="false" stroked="true" strokeweight=".75pt" strokecolor="#000000">
              <v:stroke dashstyle="solid"/>
            </v:rect>
            <w10:wrap type="topAndBottom"/>
          </v:group>
        </w:pict>
      </w:r>
      <w:r>
        <w:rPr/>
        <w:t>Figure 67. Comparison of Standardized Climate Scale Scores for Graduate/Professional Men During 2019–2020 and 2021–2022 Academic Years</w:t>
      </w:r>
    </w:p>
    <w:p>
      <w:pPr>
        <w:spacing w:before="54"/>
        <w:ind w:left="368" w:right="1961" w:hanging="189"/>
        <w:jc w:val="left"/>
        <w:rPr>
          <w:sz w:val="18"/>
        </w:rPr>
      </w:pPr>
      <w:r>
        <w:rPr>
          <w:sz w:val="18"/>
        </w:rPr>
        <w:t>Note: * Statistically significant at p &lt; 0.05. For an accessible version of the information shown in this figure, see </w:t>
      </w:r>
      <w:hyperlink r:id="rId186">
        <w:r>
          <w:rPr>
            <w:color w:val="1F419A"/>
            <w:sz w:val="18"/>
            <w:u w:val="single" w:color="1F419A"/>
          </w:rPr>
          <w:t>Appendix Table G-8d</w:t>
        </w:r>
      </w:hyperlink>
      <w:r>
        <w:rPr>
          <w:sz w:val="18"/>
        </w:rPr>
        <w:t>.</w:t>
      </w:r>
    </w:p>
    <w:p>
      <w:pPr>
        <w:pStyle w:val="BodyText"/>
      </w:pPr>
    </w:p>
    <w:p>
      <w:pPr>
        <w:pStyle w:val="BodyText"/>
        <w:spacing w:before="8"/>
      </w:pPr>
    </w:p>
    <w:p>
      <w:pPr>
        <w:pStyle w:val="BodyText"/>
        <w:spacing w:line="333" w:lineRule="auto"/>
        <w:ind w:left="180" w:right="1741" w:firstLine="720"/>
      </w:pPr>
      <w:r>
        <w:rPr/>
        <w:t>Figure 68 compares the 2019 and 2022 standardized scores for faculty women on the seven climate scales. The scores for the following five scales increased or improved from 2019 to 2022: Perceptions of Inclusive Climate, General Perceptions of Highest Administrative Leadership, General Perceptions of Other University Administration, Perceptions of School Leadership Climate for Sexual Misconduct Prevention and Response, and Perceptions of School Leadership Climate for Relationship Violence Prevention and Response.</w:t>
      </w:r>
    </w:p>
    <w:p>
      <w:pPr>
        <w:pStyle w:val="Heading5"/>
        <w:spacing w:line="242" w:lineRule="auto"/>
        <w:ind w:right="1575"/>
      </w:pPr>
      <w:r>
        <w:rPr/>
        <w:pict>
          <v:group style="position:absolute;margin-left:72.75pt;margin-top:31.521883pt;width:469.5pt;height:185.6pt;mso-position-horizontal-relative:page;mso-position-vertical-relative:paragraph;z-index:-251544576;mso-wrap-distance-left:0;mso-wrap-distance-right:0" coordorigin="1455,630" coordsize="9390,3712" alt="See Notes for information on an accessible version of this figure.">
            <v:shape style="position:absolute;left:1522;top:645;width:9308;height:3682" type="#_x0000_t75" alt="See Notes for information on an accessible version of this figure." stroked="false">
              <v:imagedata r:id="rId187" o:title=""/>
            </v:shape>
            <v:rect style="position:absolute;left:1462;top:637;width:9375;height:3697" filled="false" stroked="true" strokeweight=".75pt" strokecolor="#000000">
              <v:stroke dashstyle="solid"/>
            </v:rect>
            <w10:wrap type="topAndBottom"/>
          </v:group>
        </w:pict>
      </w:r>
      <w:r>
        <w:rPr/>
        <w:t>Figure 68. Comparison of Standardized Climate Scale Scores for Faculty Women During 2019– 2020 and 2021–2022 Academic Years</w:t>
      </w:r>
    </w:p>
    <w:p>
      <w:pPr>
        <w:spacing w:before="53"/>
        <w:ind w:left="368" w:right="1961" w:hanging="189"/>
        <w:jc w:val="left"/>
        <w:rPr>
          <w:sz w:val="18"/>
        </w:rPr>
      </w:pPr>
      <w:r>
        <w:rPr>
          <w:sz w:val="18"/>
        </w:rPr>
        <w:t>Note: * Statistically significant at p &lt; 0.05. For an accessible version of the information shown in this figure, see </w:t>
      </w:r>
      <w:hyperlink r:id="rId188">
        <w:r>
          <w:rPr>
            <w:color w:val="1F419A"/>
            <w:sz w:val="18"/>
            <w:u w:val="single" w:color="1F419A"/>
          </w:rPr>
          <w:t>Appendix Table G-8e</w:t>
        </w:r>
      </w:hyperlink>
      <w:r>
        <w:rPr>
          <w:sz w:val="18"/>
        </w:rPr>
        <w:t>.</w:t>
      </w:r>
    </w:p>
    <w:p>
      <w:pPr>
        <w:pStyle w:val="BodyText"/>
        <w:spacing w:before="6"/>
        <w:rPr>
          <w:sz w:val="26"/>
        </w:rPr>
      </w:pPr>
    </w:p>
    <w:p>
      <w:pPr>
        <w:pStyle w:val="BodyText"/>
        <w:spacing w:line="362" w:lineRule="auto" w:before="94"/>
        <w:ind w:left="180" w:right="1455" w:firstLine="720"/>
      </w:pPr>
      <w:r>
        <w:rPr/>
        <w:t>Figure 69 compares the 2019 and 2022 standardized scores for faculty men on the seven climate scales. The scores for the following three scales increased or improved from 2019 to 2022: General</w:t>
      </w:r>
    </w:p>
    <w:p>
      <w:pPr>
        <w:spacing w:after="0" w:line="362" w:lineRule="auto"/>
        <w:sectPr>
          <w:pgSz w:w="12240" w:h="15840"/>
          <w:pgMar w:header="0" w:footer="592" w:top="1120" w:bottom="780" w:left="1260" w:right="0"/>
        </w:sectPr>
      </w:pPr>
    </w:p>
    <w:p>
      <w:pPr>
        <w:pStyle w:val="BodyText"/>
        <w:spacing w:before="8"/>
        <w:rPr>
          <w:sz w:val="11"/>
        </w:rPr>
      </w:pPr>
    </w:p>
    <w:p>
      <w:pPr>
        <w:pStyle w:val="BodyText"/>
        <w:spacing w:line="360" w:lineRule="auto" w:before="94"/>
        <w:ind w:left="180" w:right="1619"/>
      </w:pPr>
      <w:r>
        <w:rPr/>
        <w:t>Perceptions of Highest Administrative Leadership, Perceptions of School Leadership Climate for Sexual Misconduct Prevention and Response, and Perceptions of School Leadership Climate for Relationship Violence Prevention and Response.</w:t>
      </w:r>
    </w:p>
    <w:p>
      <w:pPr>
        <w:pStyle w:val="Heading5"/>
        <w:spacing w:line="242" w:lineRule="auto" w:before="1"/>
        <w:ind w:right="1575"/>
      </w:pPr>
      <w:r>
        <w:rPr/>
        <w:pict>
          <v:group style="position:absolute;margin-left:72.75pt;margin-top:26.821907pt;width:469.5pt;height:185.5pt;mso-position-horizontal-relative:page;mso-position-vertical-relative:paragraph;z-index:-251543552;mso-wrap-distance-left:0;mso-wrap-distance-right:0" coordorigin="1455,536" coordsize="9390,3710" alt="See Notes for information on an accessible version of this figure.">
            <v:shape style="position:absolute;left:1522;top:551;width:9308;height:3680" type="#_x0000_t75" alt="See Notes for information on an accessible version of this figure." stroked="false">
              <v:imagedata r:id="rId189" o:title=""/>
            </v:shape>
            <v:rect style="position:absolute;left:1462;top:543;width:9375;height:3695" filled="false" stroked="true" strokeweight=".75pt" strokecolor="#000000">
              <v:stroke dashstyle="solid"/>
            </v:rect>
            <w10:wrap type="topAndBottom"/>
          </v:group>
        </w:pict>
      </w:r>
      <w:r>
        <w:rPr/>
        <w:t>Figure 69. Comparison of Standardized Climate Scale Scores for Faculty Men During 2019–2020 and 2021–2022 Academic Years</w:t>
      </w:r>
    </w:p>
    <w:p>
      <w:pPr>
        <w:spacing w:before="52"/>
        <w:ind w:left="368" w:right="1961" w:hanging="189"/>
        <w:jc w:val="left"/>
        <w:rPr>
          <w:sz w:val="18"/>
        </w:rPr>
      </w:pPr>
      <w:r>
        <w:rPr>
          <w:sz w:val="18"/>
        </w:rPr>
        <w:t>Note: * Statistically significant at p &lt; 0.05. For an accessible version of the information shown in this figure, see </w:t>
      </w:r>
      <w:hyperlink r:id="rId190">
        <w:r>
          <w:rPr>
            <w:color w:val="1F419A"/>
            <w:sz w:val="18"/>
            <w:u w:val="single" w:color="1F419A"/>
          </w:rPr>
          <w:t>Appendix Table G-8f</w:t>
        </w:r>
      </w:hyperlink>
      <w:r>
        <w:rPr>
          <w:sz w:val="18"/>
        </w:rPr>
        <w:t>.</w:t>
      </w:r>
    </w:p>
    <w:p>
      <w:pPr>
        <w:pStyle w:val="BodyText"/>
      </w:pPr>
    </w:p>
    <w:p>
      <w:pPr>
        <w:pStyle w:val="BodyText"/>
        <w:spacing w:before="11"/>
      </w:pPr>
    </w:p>
    <w:p>
      <w:pPr>
        <w:pStyle w:val="BodyText"/>
        <w:spacing w:line="333" w:lineRule="auto"/>
        <w:ind w:left="180" w:right="1446" w:firstLine="720"/>
      </w:pPr>
      <w:r>
        <w:rPr/>
        <w:t>Figure 70 compares the 2019 and 2022 standardized scores for women staff on the seven climate scales. With the exception of the General School Connectedness scale, which did not change, the scores for the other six scales increased or improved from 2019 to</w:t>
      </w:r>
      <w:r>
        <w:rPr>
          <w:spacing w:val="-6"/>
        </w:rPr>
        <w:t> </w:t>
      </w:r>
      <w:r>
        <w:rPr/>
        <w:t>2022.</w:t>
      </w:r>
    </w:p>
    <w:p>
      <w:pPr>
        <w:pStyle w:val="Heading5"/>
        <w:spacing w:line="242" w:lineRule="auto" w:before="93"/>
        <w:ind w:right="1575"/>
      </w:pPr>
      <w:r>
        <w:rPr/>
        <w:pict>
          <v:group style="position:absolute;margin-left:72.75pt;margin-top:31.417894pt;width:469.5pt;height:185.75pt;mso-position-horizontal-relative:page;mso-position-vertical-relative:paragraph;z-index:-251542528;mso-wrap-distance-left:0;mso-wrap-distance-right:0" coordorigin="1455,628" coordsize="9390,3715" alt="See Notes for information on an accessible version of this figure.">
            <v:shape style="position:absolute;left:1522;top:643;width:9308;height:3685" type="#_x0000_t75" alt="See Notes for information on an accessible version of this figure." stroked="false">
              <v:imagedata r:id="rId191" o:title=""/>
            </v:shape>
            <v:rect style="position:absolute;left:1462;top:635;width:9375;height:3700" filled="false" stroked="true" strokeweight=".75pt" strokecolor="#000000">
              <v:stroke dashstyle="solid"/>
            </v:rect>
            <w10:wrap type="topAndBottom"/>
          </v:group>
        </w:pict>
      </w:r>
      <w:r>
        <w:rPr/>
        <w:t>Figure 70. Comparison of Standardized Climate Scale Scores for Staff Women During 2019–2020 and 2021–2022 Academic Years</w:t>
      </w:r>
    </w:p>
    <w:p>
      <w:pPr>
        <w:spacing w:before="47"/>
        <w:ind w:left="368" w:right="1961" w:hanging="189"/>
        <w:jc w:val="left"/>
        <w:rPr>
          <w:sz w:val="18"/>
        </w:rPr>
      </w:pPr>
      <w:r>
        <w:rPr>
          <w:sz w:val="18"/>
        </w:rPr>
        <w:t>Note: * Statistically significant at p &lt; 0.05. For an accessible version of the information shown in this figure, see </w:t>
      </w:r>
      <w:hyperlink r:id="rId190">
        <w:r>
          <w:rPr>
            <w:color w:val="1F419A"/>
            <w:sz w:val="18"/>
            <w:u w:val="single" w:color="1F419A"/>
          </w:rPr>
          <w:t>Appendix Table G-8g</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BodyText"/>
        <w:spacing w:line="362" w:lineRule="auto" w:before="94"/>
        <w:ind w:left="180" w:right="1655" w:firstLine="720"/>
      </w:pPr>
      <w:r>
        <w:rPr/>
        <w:t>Figure 71 compares the 2019 and 2022 standardized scores for men staff on the seven climate scales. The scores for all seven scales increased or improved from 2019 to 2022.</w:t>
      </w:r>
    </w:p>
    <w:p>
      <w:pPr>
        <w:pStyle w:val="Heading5"/>
        <w:spacing w:line="237" w:lineRule="auto" w:before="0"/>
        <w:ind w:right="1464"/>
      </w:pPr>
      <w:r>
        <w:rPr/>
        <w:pict>
          <v:group style="position:absolute;margin-left:72.75pt;margin-top:26.629059pt;width:469.5pt;height:185.75pt;mso-position-horizontal-relative:page;mso-position-vertical-relative:paragraph;z-index:-251541504;mso-wrap-distance-left:0;mso-wrap-distance-right:0" coordorigin="1455,533" coordsize="9390,3715" alt="See Notes for information on an accessible version of this figure.">
            <v:shape style="position:absolute;left:1522;top:547;width:9308;height:3685" type="#_x0000_t75" alt="See Notes for information on an accessible version of this figure." stroked="false">
              <v:imagedata r:id="rId192" o:title=""/>
            </v:shape>
            <v:rect style="position:absolute;left:1462;top:540;width:9375;height:3700" filled="false" stroked="true" strokeweight=".75pt" strokecolor="#000000">
              <v:stroke dashstyle="solid"/>
            </v:rect>
            <w10:wrap type="topAndBottom"/>
          </v:group>
        </w:pict>
      </w:r>
      <w:r>
        <w:rPr/>
        <w:t>Figure 71. Comparison of Standardized Climate Scale Scores for Staff Men During 2019–2020 and 2021–2022 Academic Years</w:t>
      </w:r>
    </w:p>
    <w:p>
      <w:pPr>
        <w:spacing w:before="164"/>
        <w:ind w:left="368" w:right="1961" w:hanging="189"/>
        <w:jc w:val="left"/>
        <w:rPr>
          <w:sz w:val="18"/>
        </w:rPr>
      </w:pPr>
      <w:r>
        <w:rPr>
          <w:sz w:val="18"/>
        </w:rPr>
        <w:t>Note: * Statistically significant at p &lt; 0.05. For an accessible version of the information shown in this figure, see </w:t>
      </w:r>
      <w:hyperlink r:id="rId193">
        <w:r>
          <w:rPr>
            <w:color w:val="1F419A"/>
            <w:sz w:val="18"/>
            <w:u w:val="single" w:color="1F419A"/>
          </w:rPr>
          <w:t>Appendix Table G-8h</w:t>
        </w:r>
      </w:hyperlink>
      <w:r>
        <w:rPr>
          <w:sz w:val="18"/>
        </w:rPr>
        <w:t>.</w:t>
      </w:r>
    </w:p>
    <w:p>
      <w:pPr>
        <w:pStyle w:val="BodyText"/>
      </w:pPr>
    </w:p>
    <w:p>
      <w:pPr>
        <w:pStyle w:val="BodyText"/>
        <w:spacing w:before="11"/>
      </w:pPr>
    </w:p>
    <w:p>
      <w:pPr>
        <w:pStyle w:val="BodyText"/>
        <w:spacing w:line="333" w:lineRule="auto"/>
        <w:ind w:left="180" w:right="1609" w:firstLine="720"/>
      </w:pPr>
      <w:r>
        <w:rPr/>
        <w:t>Figure 72 compares the percentage of undergraduate women who were “very aware” or “somewhat aware” of various offices or resources that are charged with helping address RVSM at MSU. The nine MSU offices and resources asked about are as follows:</w:t>
      </w:r>
    </w:p>
    <w:p>
      <w:pPr>
        <w:pStyle w:val="ListParagraph"/>
        <w:numPr>
          <w:ilvl w:val="0"/>
          <w:numId w:val="12"/>
        </w:numPr>
        <w:tabs>
          <w:tab w:pos="1259" w:val="left" w:leader="none"/>
          <w:tab w:pos="1260" w:val="left" w:leader="none"/>
        </w:tabs>
        <w:spacing w:line="240" w:lineRule="auto" w:before="93" w:after="0"/>
        <w:ind w:left="1260" w:right="0" w:hanging="360"/>
        <w:jc w:val="left"/>
        <w:rPr>
          <w:sz w:val="20"/>
        </w:rPr>
      </w:pPr>
      <w:r>
        <w:rPr>
          <w:sz w:val="20"/>
        </w:rPr>
        <w:t>MSU Sexual Assault Program (2019) / MSU Center for Survivors</w:t>
      </w:r>
      <w:r>
        <w:rPr>
          <w:spacing w:val="-4"/>
          <w:sz w:val="20"/>
        </w:rPr>
        <w:t> </w:t>
      </w:r>
      <w:r>
        <w:rPr>
          <w:sz w:val="20"/>
        </w:rPr>
        <w:t>(2022)</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MSU Crisis</w:t>
      </w:r>
      <w:r>
        <w:rPr>
          <w:spacing w:val="-5"/>
          <w:sz w:val="20"/>
        </w:rPr>
        <w:t> </w:t>
      </w:r>
      <w:r>
        <w:rPr>
          <w:sz w:val="20"/>
        </w:rPr>
        <w:t>Chat</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MSU Safe</w:t>
      </w:r>
      <w:r>
        <w:rPr>
          <w:spacing w:val="-5"/>
          <w:sz w:val="20"/>
        </w:rPr>
        <w:t> </w:t>
      </w:r>
      <w:r>
        <w:rPr>
          <w:sz w:val="20"/>
        </w:rPr>
        <w:t>Place</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MSU OIE</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MSU Prevention, Outreach &amp; Education</w:t>
      </w:r>
      <w:r>
        <w:rPr>
          <w:spacing w:val="-1"/>
          <w:sz w:val="20"/>
        </w:rPr>
        <w:t> </w:t>
      </w:r>
      <w:r>
        <w:rPr>
          <w:sz w:val="20"/>
        </w:rPr>
        <w:t>Department</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MSU Office for Civil Rights &amp; Title</w:t>
      </w:r>
      <w:r>
        <w:rPr>
          <w:spacing w:val="-5"/>
          <w:sz w:val="20"/>
        </w:rPr>
        <w:t> </w:t>
      </w:r>
      <w:r>
        <w:rPr>
          <w:sz w:val="20"/>
        </w:rPr>
        <w:t>IX</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MSU Office of University</w:t>
      </w:r>
      <w:r>
        <w:rPr>
          <w:spacing w:val="-4"/>
          <w:sz w:val="20"/>
        </w:rPr>
        <w:t> </w:t>
      </w:r>
      <w:r>
        <w:rPr>
          <w:sz w:val="20"/>
        </w:rPr>
        <w:t>Ombudsperson</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MSU Safe</w:t>
      </w:r>
      <w:r>
        <w:rPr>
          <w:spacing w:val="-1"/>
          <w:sz w:val="20"/>
        </w:rPr>
        <w:t> </w:t>
      </w:r>
      <w:r>
        <w:rPr>
          <w:sz w:val="20"/>
        </w:rPr>
        <w:t>Ride</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End Violent Encounters</w:t>
      </w:r>
    </w:p>
    <w:p>
      <w:pPr>
        <w:pStyle w:val="BodyText"/>
        <w:spacing w:line="333" w:lineRule="auto" w:before="146"/>
        <w:ind w:left="180" w:right="1787" w:firstLine="720"/>
      </w:pPr>
      <w:r>
        <w:rPr/>
        <w:t>The results are quite mixed in that awareness of a few offices and resources has increased significantly since 2019, whereas awareness of a few other offices and resources has decreased significantly since 2019. The results are similarly mixed for undergraduate men (Figure 73). All groups surveyed indicated being less aware of the MSU Sexual Assault Program (2019)/MSU Center for Survivors (2022) in 2022.</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66.199997pt;margin-top:30.879894pt;width:479.6pt;height:233.8pt;mso-position-horizontal-relative:page;mso-position-vertical-relative:paragraph;z-index:-251540480;mso-wrap-distance-left:0;mso-wrap-distance-right:0" coordorigin="1324,618" coordsize="9592,4676">
            <v:line style="position:absolute" from="1332,622" to="10908,622" stroked="true" strokeweight=".4pt" strokecolor="#000000">
              <v:stroke dashstyle="solid"/>
            </v:line>
            <v:line style="position:absolute" from="1332,5290" to="10908,5290" stroked="true" strokeweight=".401pt" strokecolor="#000000">
              <v:stroke dashstyle="solid"/>
            </v:line>
            <v:line style="position:absolute" from="1328,618" to="1328,5294" stroked="true" strokeweight=".4pt" strokecolor="#000000">
              <v:stroke dashstyle="solid"/>
            </v:line>
            <v:line style="position:absolute" from="10912,618" to="10912,5294" stroked="true" strokeweight=".4pt" strokecolor="#000000">
              <v:stroke dashstyle="solid"/>
            </v:line>
            <v:shape style="position:absolute;left:1911;top:645;width:8889;height:4608" type="#_x0000_t75" alt="See Notes for information on an accessible version of this figure." stroked="false">
              <v:imagedata r:id="rId194" o:title=""/>
            </v:shape>
            <w10:wrap type="topAndBottom"/>
          </v:group>
        </w:pict>
      </w:r>
      <w:r>
        <w:rPr/>
        <w:t>Figure 72. Comparison of Undergraduate Women’s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195">
        <w:r>
          <w:rPr>
            <w:color w:val="1F419A"/>
            <w:sz w:val="18"/>
            <w:u w:val="single" w:color="1F419A"/>
          </w:rPr>
          <w:t>Appendix Table G-9a</w:t>
        </w:r>
      </w:hyperlink>
      <w:r>
        <w:rPr>
          <w:sz w:val="18"/>
        </w:rPr>
        <w:t>.</w:t>
      </w:r>
    </w:p>
    <w:p>
      <w:pPr>
        <w:pStyle w:val="BodyText"/>
        <w:spacing w:before="11"/>
        <w:rPr>
          <w:sz w:val="26"/>
        </w:rPr>
      </w:pPr>
    </w:p>
    <w:p>
      <w:pPr>
        <w:pStyle w:val="Heading5"/>
        <w:spacing w:before="93"/>
        <w:ind w:right="1575"/>
      </w:pPr>
      <w:r>
        <w:rPr/>
        <w:pict>
          <v:group style="position:absolute;margin-left:66.199997pt;margin-top:30.829876pt;width:479.6pt;height:233.8pt;mso-position-horizontal-relative:page;mso-position-vertical-relative:paragraph;z-index:-251539456;mso-wrap-distance-left:0;mso-wrap-distance-right:0" coordorigin="1324,617" coordsize="9592,4676">
            <v:line style="position:absolute" from="1332,621" to="10908,621" stroked="true" strokeweight=".4pt" strokecolor="#000000">
              <v:stroke dashstyle="solid"/>
            </v:line>
            <v:line style="position:absolute" from="1332,5289" to="10908,5289" stroked="true" strokeweight=".4pt" strokecolor="#000000">
              <v:stroke dashstyle="solid"/>
            </v:line>
            <v:line style="position:absolute" from="1328,617" to="1328,5293" stroked="true" strokeweight=".4pt" strokecolor="#000000">
              <v:stroke dashstyle="solid"/>
            </v:line>
            <v:line style="position:absolute" from="10912,617" to="10912,5293" stroked="true" strokeweight=".4pt" strokecolor="#000000">
              <v:stroke dashstyle="solid"/>
            </v:line>
            <v:shape style="position:absolute;left:1910;top:642;width:8890;height:4606" type="#_x0000_t75" alt="See Notes for information on an accessible version of this figure." stroked="false">
              <v:imagedata r:id="rId196" o:title=""/>
            </v:shape>
            <w10:wrap type="topAndBottom"/>
          </v:group>
        </w:pict>
      </w:r>
      <w:r>
        <w:rPr/>
        <w:t>Figure 73. Comparison of Undergraduate 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197">
        <w:r>
          <w:rPr>
            <w:color w:val="1F419A"/>
            <w:sz w:val="18"/>
            <w:u w:val="single" w:color="1F419A"/>
          </w:rPr>
          <w:t>Appendix Table G-9b</w:t>
        </w:r>
      </w:hyperlink>
      <w:r>
        <w:rPr>
          <w:sz w:val="18"/>
        </w:rPr>
        <w:t>.</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79" w:right="1421" w:firstLine="720"/>
      </w:pPr>
      <w:r>
        <w:rPr/>
        <w:t>Figures 74 and 75 compare the percentage of graduate/professional women and men students, respectively, who were “very aware” or “somewhat aware” of various offices or resources that are charged with helping address RVSM at MSU. In 2022, both groups seem to be more aware of MSU Crisis Chat.</w:t>
      </w:r>
    </w:p>
    <w:p>
      <w:pPr>
        <w:pStyle w:val="Heading5"/>
        <w:spacing w:line="242" w:lineRule="auto" w:before="92"/>
        <w:ind w:left="1259" w:right="1575"/>
      </w:pPr>
      <w:r>
        <w:rPr/>
        <w:pict>
          <v:group style="position:absolute;margin-left:66.199997pt;margin-top:30.778894pt;width:479.6pt;height:233.85pt;mso-position-horizontal-relative:page;mso-position-vertical-relative:paragraph;z-index:-251538432;mso-wrap-distance-left:0;mso-wrap-distance-right:0" coordorigin="1324,616" coordsize="9592,4677">
            <v:line style="position:absolute" from="1332,620" to="10908,620" stroked="true" strokeweight=".401pt" strokecolor="#000000">
              <v:stroke dashstyle="solid"/>
            </v:line>
            <v:line style="position:absolute" from="1332,5288" to="10908,5288" stroked="true" strokeweight=".4pt" strokecolor="#000000">
              <v:stroke dashstyle="solid"/>
            </v:line>
            <v:line style="position:absolute" from="1328,616" to="1328,5292" stroked="true" strokeweight=".4pt" strokecolor="#000000">
              <v:stroke dashstyle="solid"/>
            </v:line>
            <v:line style="position:absolute" from="10912,616" to="10912,5292" stroked="true" strokeweight=".4pt" strokecolor="#000000">
              <v:stroke dashstyle="solid"/>
            </v:line>
            <v:shape style="position:absolute;left:1910;top:643;width:8890;height:4606" type="#_x0000_t75" alt="See Notes for information on an accessible version of this figure." stroked="false">
              <v:imagedata r:id="rId198" o:title=""/>
            </v:shape>
            <w10:wrap type="topAndBottom"/>
          </v:group>
        </w:pict>
      </w:r>
      <w:r>
        <w:rPr/>
        <w:t>Figure 74. Comparison of Graduate/Professional Women’s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199">
        <w:r>
          <w:rPr>
            <w:color w:val="1F419A"/>
            <w:sz w:val="18"/>
            <w:u w:val="single" w:color="1F419A"/>
          </w:rPr>
          <w:t>Appendix Table G-9c</w:t>
        </w:r>
      </w:hyperlink>
      <w:r>
        <w:rPr>
          <w:sz w:val="18"/>
        </w:rPr>
        <w:t>.</w:t>
      </w:r>
    </w:p>
    <w:p>
      <w:pPr>
        <w:pStyle w:val="BodyText"/>
        <w:spacing w:before="11"/>
        <w:rPr>
          <w:sz w:val="26"/>
        </w:rPr>
      </w:pPr>
    </w:p>
    <w:p>
      <w:pPr>
        <w:pStyle w:val="Heading5"/>
        <w:spacing w:before="93"/>
        <w:ind w:right="1575"/>
      </w:pPr>
      <w:r>
        <w:rPr/>
        <w:pict>
          <v:group style="position:absolute;margin-left:66.199997pt;margin-top:30.829876pt;width:479.6pt;height:233.8pt;mso-position-horizontal-relative:page;mso-position-vertical-relative:paragraph;z-index:-251537408;mso-wrap-distance-left:0;mso-wrap-distance-right:0" coordorigin="1324,617" coordsize="9592,4676">
            <v:line style="position:absolute" from="1332,621" to="10908,621" stroked="true" strokeweight=".4pt" strokecolor="#000000">
              <v:stroke dashstyle="solid"/>
            </v:line>
            <v:line style="position:absolute" from="1332,5289" to="10908,5289" stroked="true" strokeweight=".4pt" strokecolor="#000000">
              <v:stroke dashstyle="solid"/>
            </v:line>
            <v:line style="position:absolute" from="1328,617" to="1328,5293" stroked="true" strokeweight=".4pt" strokecolor="#000000">
              <v:stroke dashstyle="solid"/>
            </v:line>
            <v:line style="position:absolute" from="10912,617" to="10912,5293" stroked="true" strokeweight=".4pt" strokecolor="#000000">
              <v:stroke dashstyle="solid"/>
            </v:line>
            <v:shape style="position:absolute;left:1911;top:642;width:8889;height:4608" type="#_x0000_t75" alt="See Notes for information on an accessible version of this figure." stroked="false">
              <v:imagedata r:id="rId200" o:title=""/>
            </v:shape>
            <w10:wrap type="topAndBottom"/>
          </v:group>
        </w:pict>
      </w:r>
      <w:r>
        <w:rPr/>
        <w:t>Figure 75. Comparison of Graduate/Professional 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201">
        <w:r>
          <w:rPr>
            <w:color w:val="1F419A"/>
            <w:sz w:val="18"/>
            <w:u w:val="single" w:color="1F419A"/>
          </w:rPr>
          <w:t>Appendix Table G-9d</w:t>
        </w:r>
      </w:hyperlink>
      <w:r>
        <w:rPr>
          <w:sz w:val="18"/>
        </w:rPr>
        <w:t>.</w:t>
      </w:r>
    </w:p>
    <w:p>
      <w:pPr>
        <w:spacing w:after="0"/>
        <w:jc w:val="left"/>
        <w:rPr>
          <w:sz w:val="18"/>
        </w:rPr>
        <w:sectPr>
          <w:pgSz w:w="12240" w:h="15840"/>
          <w:pgMar w:header="0" w:footer="592" w:top="1120" w:bottom="780" w:left="1260" w:right="0"/>
        </w:sectPr>
      </w:pPr>
    </w:p>
    <w:p>
      <w:pPr>
        <w:pStyle w:val="BodyText"/>
        <w:spacing w:before="7"/>
        <w:rPr>
          <w:sz w:val="17"/>
        </w:rPr>
      </w:pPr>
    </w:p>
    <w:p>
      <w:pPr>
        <w:pStyle w:val="BodyText"/>
        <w:spacing w:line="333" w:lineRule="auto" w:before="94"/>
        <w:ind w:left="179" w:right="1544" w:firstLine="720"/>
      </w:pPr>
      <w:r>
        <w:rPr/>
        <w:t>Figures 76 and 77 compare the percentage of faculty women and men, respectively, who were “very aware” or “somewhat aware” of various offices or resources that are charged with helping address RVSM at MSU. In 2022, both groups seem to be less aware of the MSU Sexual Assault Program (2019)/MSU Center for Survivors (2022). Faculty women became more aware of the MSU Office for Civil Rights &amp; Title IX, and faculty men became less aware of the MSU Prevention, Outreach &amp; Education Department.</w:t>
      </w:r>
    </w:p>
    <w:p>
      <w:pPr>
        <w:pStyle w:val="Heading5"/>
        <w:spacing w:line="242" w:lineRule="auto" w:before="93"/>
        <w:ind w:right="1575"/>
      </w:pPr>
      <w:r>
        <w:rPr/>
        <w:pict>
          <v:group style="position:absolute;margin-left:66.199997pt;margin-top:30.829895pt;width:479.6pt;height:233.8pt;mso-position-horizontal-relative:page;mso-position-vertical-relative:paragraph;z-index:-251536384;mso-wrap-distance-left:0;mso-wrap-distance-right:0" coordorigin="1324,617" coordsize="9592,4676">
            <v:line style="position:absolute" from="1332,621" to="10908,621" stroked="true" strokeweight=".4pt" strokecolor="#000000">
              <v:stroke dashstyle="solid"/>
            </v:line>
            <v:line style="position:absolute" from="1332,5289" to="10908,5289" stroked="true" strokeweight=".4pt" strokecolor="#000000">
              <v:stroke dashstyle="solid"/>
            </v:line>
            <v:line style="position:absolute" from="1328,617" to="1328,5293" stroked="true" strokeweight=".4pt" strokecolor="#000000">
              <v:stroke dashstyle="solid"/>
            </v:line>
            <v:line style="position:absolute" from="10912,617" to="10912,5293" stroked="true" strokeweight=".4pt" strokecolor="#000000">
              <v:stroke dashstyle="solid"/>
            </v:line>
            <v:shape style="position:absolute;left:1910;top:644;width:8890;height:4606" type="#_x0000_t75" alt="See Notes for information on an accessible version of this figure." stroked="false">
              <v:imagedata r:id="rId202" o:title=""/>
            </v:shape>
            <w10:wrap type="topAndBottom"/>
          </v:group>
        </w:pict>
      </w:r>
      <w:r>
        <w:rPr/>
        <w:t>Figure 76. Comparison of Faculty Women’s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203">
        <w:r>
          <w:rPr>
            <w:color w:val="1F419A"/>
            <w:sz w:val="18"/>
            <w:u w:val="single" w:color="1F419A"/>
          </w:rPr>
          <w:t>Appendix Table G-9e</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left="1259" w:right="1575"/>
      </w:pPr>
      <w:r>
        <w:rPr/>
        <w:pict>
          <v:group style="position:absolute;margin-left:66.199997pt;margin-top:30.879894pt;width:479.6pt;height:233.8pt;mso-position-horizontal-relative:page;mso-position-vertical-relative:paragraph;z-index:-251535360;mso-wrap-distance-left:0;mso-wrap-distance-right:0" coordorigin="1324,618" coordsize="9592,4676">
            <v:line style="position:absolute" from="1332,622" to="10908,622" stroked="true" strokeweight=".4pt" strokecolor="#000000">
              <v:stroke dashstyle="solid"/>
            </v:line>
            <v:line style="position:absolute" from="1332,5290" to="10908,5290" stroked="true" strokeweight=".401pt" strokecolor="#000000">
              <v:stroke dashstyle="solid"/>
            </v:line>
            <v:line style="position:absolute" from="1328,618" to="1328,5294" stroked="true" strokeweight=".4pt" strokecolor="#000000">
              <v:stroke dashstyle="solid"/>
            </v:line>
            <v:line style="position:absolute" from="10912,618" to="10912,5294" stroked="true" strokeweight=".4pt" strokecolor="#000000">
              <v:stroke dashstyle="solid"/>
            </v:line>
            <v:shape style="position:absolute;left:1910;top:645;width:8890;height:4606" type="#_x0000_t75" alt="See Notes for information on an accessible version of this figure." stroked="false">
              <v:imagedata r:id="rId204" o:title=""/>
            </v:shape>
            <w10:wrap type="topAndBottom"/>
          </v:group>
        </w:pict>
      </w:r>
      <w:r>
        <w:rPr/>
        <w:t>Figure 77. Comparison of Faculty 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205">
        <w:r>
          <w:rPr>
            <w:color w:val="1F419A"/>
            <w:sz w:val="18"/>
            <w:u w:val="single" w:color="1F419A"/>
          </w:rPr>
          <w:t>Appendix Table G-9f</w:t>
        </w:r>
      </w:hyperlink>
      <w:r>
        <w:rPr>
          <w:sz w:val="18"/>
        </w:rPr>
        <w:t>.</w:t>
      </w:r>
    </w:p>
    <w:p>
      <w:pPr>
        <w:pStyle w:val="BodyText"/>
        <w:spacing w:before="4"/>
        <w:rPr>
          <w:sz w:val="29"/>
        </w:rPr>
      </w:pPr>
    </w:p>
    <w:p>
      <w:pPr>
        <w:pStyle w:val="BodyText"/>
        <w:spacing w:line="333" w:lineRule="auto" w:before="94"/>
        <w:ind w:left="179" w:right="1621" w:firstLine="720"/>
      </w:pPr>
      <w:r>
        <w:rPr/>
        <w:t>Figures 78 and 79 compare the percentage of staff women and men, respectively, who were “very aware” or “somewhat aware” of various offices or resources that are charged with helping address RVSM at MSU. In 2022, staff women indicated less awareness of the MSU Sexual Assault Program (2019)/MSU Center for Survivors (2022), no change in their awareness of MSU Safe Place, and more awareness of the remaining offices and resources. Staff men conveyed being less aware of the MSU Sexual Assault Program (2019)/MSU Center for Survivors (2022) and more aware of MSU Safe Ride.</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66.199997pt;margin-top:30.879894pt;width:479.6pt;height:233.8pt;mso-position-horizontal-relative:page;mso-position-vertical-relative:paragraph;z-index:-251534336;mso-wrap-distance-left:0;mso-wrap-distance-right:0" coordorigin="1324,618" coordsize="9592,4676">
            <v:line style="position:absolute" from="1332,622" to="10908,622" stroked="true" strokeweight=".4pt" strokecolor="#000000">
              <v:stroke dashstyle="solid"/>
            </v:line>
            <v:line style="position:absolute" from="1332,5290" to="10908,5290" stroked="true" strokeweight=".401pt" strokecolor="#000000">
              <v:stroke dashstyle="solid"/>
            </v:line>
            <v:line style="position:absolute" from="1328,618" to="1328,5294" stroked="true" strokeweight=".4pt" strokecolor="#000000">
              <v:stroke dashstyle="solid"/>
            </v:line>
            <v:line style="position:absolute" from="10912,618" to="10912,5294" stroked="true" strokeweight=".4pt" strokecolor="#000000">
              <v:stroke dashstyle="solid"/>
            </v:line>
            <v:shape style="position:absolute;left:1911;top:645;width:8889;height:4608" type="#_x0000_t75" alt="See Notes for information on an accessible version of this figure." stroked="false">
              <v:imagedata r:id="rId206" o:title=""/>
            </v:shape>
            <w10:wrap type="topAndBottom"/>
          </v:group>
        </w:pict>
      </w:r>
      <w:r>
        <w:rPr/>
        <w:t>Figure 78. Comparison of Staff Women’s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207">
        <w:r>
          <w:rPr>
            <w:color w:val="1F419A"/>
            <w:sz w:val="18"/>
            <w:u w:val="single" w:color="1F419A"/>
          </w:rPr>
          <w:t>Appendix Table G-9g</w:t>
        </w:r>
      </w:hyperlink>
      <w:r>
        <w:rPr>
          <w:sz w:val="18"/>
        </w:rPr>
        <w:t>.</w:t>
      </w:r>
    </w:p>
    <w:p>
      <w:pPr>
        <w:pStyle w:val="BodyText"/>
        <w:spacing w:before="5"/>
        <w:rPr>
          <w:sz w:val="23"/>
        </w:rPr>
      </w:pPr>
    </w:p>
    <w:p>
      <w:pPr>
        <w:pStyle w:val="Heading5"/>
        <w:ind w:right="1575"/>
      </w:pPr>
      <w:r>
        <w:rPr/>
        <w:pict>
          <v:group style="position:absolute;margin-left:66.199997pt;margin-top:30.879877pt;width:479.6pt;height:233.8pt;mso-position-horizontal-relative:page;mso-position-vertical-relative:paragraph;z-index:-251533312;mso-wrap-distance-left:0;mso-wrap-distance-right:0" coordorigin="1324,618" coordsize="9592,4676">
            <v:line style="position:absolute" from="1332,622" to="10908,622" stroked="true" strokeweight=".4pt" strokecolor="#000000">
              <v:stroke dashstyle="solid"/>
            </v:line>
            <v:line style="position:absolute" from="1332,5290" to="10908,5290" stroked="true" strokeweight=".4pt" strokecolor="#000000">
              <v:stroke dashstyle="solid"/>
            </v:line>
            <v:line style="position:absolute" from="1328,618" to="1328,5294" stroked="true" strokeweight=".4pt" strokecolor="#000000">
              <v:stroke dashstyle="solid"/>
            </v:line>
            <v:line style="position:absolute" from="10912,618" to="10912,5294" stroked="true" strokeweight=".4pt" strokecolor="#000000">
              <v:stroke dashstyle="solid"/>
            </v:line>
            <v:shape style="position:absolute;left:1910;top:643;width:8890;height:4606" type="#_x0000_t75" alt="See Notes for information on an accessible version of this figure." stroked="false">
              <v:imagedata r:id="rId208" o:title=""/>
            </v:shape>
            <w10:wrap type="topAndBottom"/>
          </v:group>
        </w:pict>
      </w:r>
      <w:r>
        <w:rPr/>
        <w:t>Figure 79. Comparison of Staff Men’s Awareness of Various MSU Offices and Resources During 2019–2020 and 2021–2022 Academic Years</w:t>
      </w:r>
    </w:p>
    <w:p>
      <w:pPr>
        <w:spacing w:before="26"/>
        <w:ind w:left="368" w:right="1961" w:hanging="189"/>
        <w:jc w:val="left"/>
        <w:rPr>
          <w:sz w:val="18"/>
        </w:rPr>
      </w:pPr>
      <w:r>
        <w:rPr>
          <w:sz w:val="18"/>
        </w:rPr>
        <w:t>Note: * Statistically significant at p &lt; 0.05. For an accessible version of the information shown in this figure, see </w:t>
      </w:r>
      <w:hyperlink r:id="rId209">
        <w:r>
          <w:rPr>
            <w:color w:val="1F419A"/>
            <w:sz w:val="18"/>
            <w:u w:val="single" w:color="1F419A"/>
          </w:rPr>
          <w:t>Appendix Table G-9h</w:t>
        </w:r>
      </w:hyperlink>
      <w:r>
        <w:rPr>
          <w:sz w:val="18"/>
        </w:rPr>
        <w:t>.</w:t>
      </w:r>
    </w:p>
    <w:p>
      <w:pPr>
        <w:pStyle w:val="BodyText"/>
      </w:pPr>
    </w:p>
    <w:p>
      <w:pPr>
        <w:pStyle w:val="BodyText"/>
        <w:spacing w:before="7"/>
      </w:pPr>
    </w:p>
    <w:p>
      <w:pPr>
        <w:pStyle w:val="BodyText"/>
        <w:spacing w:line="333" w:lineRule="auto"/>
        <w:ind w:left="179" w:right="1489" w:firstLine="720"/>
      </w:pPr>
      <w:r>
        <w:rPr/>
        <w:t>Figure 80 compares the percentage of undergraduate women who indicated receiving training on various topics in 2019 and 2022. The eight training programs or topics asked about are as follows:</w:t>
      </w:r>
    </w:p>
    <w:p>
      <w:pPr>
        <w:spacing w:after="0" w:line="333" w:lineRule="auto"/>
        <w:sectPr>
          <w:pgSz w:w="12240" w:h="15840"/>
          <w:pgMar w:header="0" w:footer="592" w:top="1120" w:bottom="780" w:left="1260" w:right="0"/>
        </w:sectPr>
      </w:pPr>
    </w:p>
    <w:p>
      <w:pPr>
        <w:pStyle w:val="BodyText"/>
        <w:spacing w:before="8"/>
        <w:rPr>
          <w:sz w:val="11"/>
        </w:rPr>
      </w:pPr>
    </w:p>
    <w:p>
      <w:pPr>
        <w:pStyle w:val="ListParagraph"/>
        <w:numPr>
          <w:ilvl w:val="0"/>
          <w:numId w:val="12"/>
        </w:numPr>
        <w:tabs>
          <w:tab w:pos="1259" w:val="left" w:leader="none"/>
          <w:tab w:pos="1260" w:val="left" w:leader="none"/>
        </w:tabs>
        <w:spacing w:line="240" w:lineRule="auto" w:before="94" w:after="0"/>
        <w:ind w:left="1260" w:right="0" w:hanging="360"/>
        <w:jc w:val="left"/>
        <w:rPr>
          <w:sz w:val="20"/>
        </w:rPr>
      </w:pPr>
      <w:r>
        <w:rPr>
          <w:sz w:val="20"/>
        </w:rPr>
        <w:t>Definitions of sexual assault and</w:t>
      </w:r>
      <w:r>
        <w:rPr>
          <w:spacing w:val="-21"/>
          <w:sz w:val="20"/>
        </w:rPr>
        <w:t> </w:t>
      </w:r>
      <w:r>
        <w:rPr>
          <w:sz w:val="20"/>
        </w:rPr>
        <w:t>harassment</w:t>
      </w:r>
    </w:p>
    <w:p>
      <w:pPr>
        <w:pStyle w:val="ListParagraph"/>
        <w:numPr>
          <w:ilvl w:val="0"/>
          <w:numId w:val="12"/>
        </w:numPr>
        <w:tabs>
          <w:tab w:pos="1259" w:val="left" w:leader="none"/>
          <w:tab w:pos="1260" w:val="left" w:leader="none"/>
        </w:tabs>
        <w:spacing w:line="240" w:lineRule="auto" w:before="82" w:after="0"/>
        <w:ind w:left="1260" w:right="0" w:hanging="361"/>
        <w:jc w:val="left"/>
        <w:rPr>
          <w:sz w:val="20"/>
        </w:rPr>
      </w:pPr>
      <w:r>
        <w:rPr>
          <w:sz w:val="20"/>
        </w:rPr>
        <w:t>Definition of "consent" and how it is</w:t>
      </w:r>
      <w:r>
        <w:rPr>
          <w:spacing w:val="-20"/>
          <w:sz w:val="20"/>
        </w:rPr>
        <w:t> </w:t>
      </w:r>
      <w:r>
        <w:rPr>
          <w:sz w:val="20"/>
        </w:rPr>
        <w:t>obtained</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MSU's RVSM policy</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How to report RVSM</w:t>
      </w:r>
    </w:p>
    <w:p>
      <w:pPr>
        <w:pStyle w:val="ListParagraph"/>
        <w:numPr>
          <w:ilvl w:val="0"/>
          <w:numId w:val="12"/>
        </w:numPr>
        <w:tabs>
          <w:tab w:pos="1259" w:val="left" w:leader="none"/>
          <w:tab w:pos="1260" w:val="left" w:leader="none"/>
        </w:tabs>
        <w:spacing w:line="240" w:lineRule="auto" w:before="78" w:after="0"/>
        <w:ind w:left="1260" w:right="0" w:hanging="361"/>
        <w:jc w:val="left"/>
        <w:rPr>
          <w:sz w:val="20"/>
        </w:rPr>
      </w:pPr>
      <w:r>
        <w:rPr>
          <w:sz w:val="20"/>
        </w:rPr>
        <w:t>Who on campus is required to report sexual misconduct to campus</w:t>
      </w:r>
      <w:r>
        <w:rPr>
          <w:spacing w:val="-8"/>
          <w:sz w:val="20"/>
        </w:rPr>
        <w:t> </w:t>
      </w:r>
      <w:r>
        <w:rPr>
          <w:sz w:val="20"/>
        </w:rPr>
        <w:t>authorities</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Services for survivors of sexual assault</w:t>
      </w:r>
    </w:p>
    <w:p>
      <w:pPr>
        <w:pStyle w:val="ListParagraph"/>
        <w:numPr>
          <w:ilvl w:val="0"/>
          <w:numId w:val="12"/>
        </w:numPr>
        <w:tabs>
          <w:tab w:pos="1259" w:val="left" w:leader="none"/>
          <w:tab w:pos="1260" w:val="left" w:leader="none"/>
        </w:tabs>
        <w:spacing w:line="240" w:lineRule="auto" w:before="78" w:after="0"/>
        <w:ind w:left="1260" w:right="0" w:hanging="360"/>
        <w:jc w:val="left"/>
        <w:rPr>
          <w:sz w:val="20"/>
        </w:rPr>
      </w:pPr>
      <w:r>
        <w:rPr>
          <w:sz w:val="20"/>
        </w:rPr>
        <w:t>Other strategies for preventing sexual</w:t>
      </w:r>
      <w:r>
        <w:rPr>
          <w:spacing w:val="-6"/>
          <w:sz w:val="20"/>
        </w:rPr>
        <w:t> </w:t>
      </w:r>
      <w:r>
        <w:rPr>
          <w:sz w:val="20"/>
        </w:rPr>
        <w:t>assault</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Bystander intervention</w:t>
      </w:r>
    </w:p>
    <w:p>
      <w:pPr>
        <w:pStyle w:val="Heading5"/>
        <w:spacing w:line="242" w:lineRule="auto" w:before="78"/>
        <w:ind w:right="1575"/>
      </w:pPr>
      <w:r>
        <w:rPr/>
        <w:pict>
          <v:group style="position:absolute;margin-left:72.75pt;margin-top:30.717896pt;width:469.5pt;height:211.65pt;mso-position-horizontal-relative:page;mso-position-vertical-relative:paragraph;z-index:-251532288;mso-wrap-distance-left:0;mso-wrap-distance-right:0" coordorigin="1455,614" coordsize="9390,4233">
            <v:shape style="position:absolute;left:1626;top:629;width:9203;height:4203" type="#_x0000_t75" alt="See Notes for information on an accessible version of this figure." stroked="false">
              <v:imagedata r:id="rId210" o:title=""/>
            </v:shape>
            <v:rect style="position:absolute;left:1462;top:621;width:9375;height:4218" filled="false" stroked="true" strokeweight=".75pt" strokecolor="#000000">
              <v:stroke dashstyle="solid"/>
            </v:rect>
            <w10:wrap type="topAndBottom"/>
          </v:group>
        </w:pict>
      </w:r>
      <w:r>
        <w:rPr/>
        <w:t>Figure 80. Comparison of the Percentage of Undergraduate Women Who Received Training on Various Topics During 2019–2020 and 2021–2022 Academic Years</w:t>
      </w:r>
    </w:p>
    <w:p>
      <w:pPr>
        <w:spacing w:before="40"/>
        <w:ind w:left="368" w:right="1961" w:hanging="189"/>
        <w:jc w:val="left"/>
        <w:rPr>
          <w:sz w:val="18"/>
        </w:rPr>
      </w:pPr>
      <w:r>
        <w:rPr>
          <w:sz w:val="18"/>
        </w:rPr>
        <w:t>Note: * Statistically significant at p &lt; 0.05. For an accessible version of the information shown in this figure, see </w:t>
      </w:r>
      <w:hyperlink r:id="rId211">
        <w:r>
          <w:rPr>
            <w:color w:val="1F419A"/>
            <w:sz w:val="18"/>
            <w:u w:val="single" w:color="1F419A"/>
          </w:rPr>
          <w:t>Appendix Table G-10a</w:t>
        </w:r>
      </w:hyperlink>
      <w:r>
        <w:rPr>
          <w:sz w:val="18"/>
        </w:rPr>
        <w:t>.</w:t>
      </w:r>
    </w:p>
    <w:p>
      <w:pPr>
        <w:pStyle w:val="BodyText"/>
      </w:pPr>
    </w:p>
    <w:p>
      <w:pPr>
        <w:pStyle w:val="BodyText"/>
        <w:spacing w:before="11"/>
      </w:pPr>
    </w:p>
    <w:p>
      <w:pPr>
        <w:pStyle w:val="BodyText"/>
        <w:spacing w:line="333" w:lineRule="auto"/>
        <w:ind w:left="179" w:right="1432" w:firstLine="720"/>
      </w:pPr>
      <w:r>
        <w:rPr/>
        <w:t>In 2022, more undergraduate women indicated receiving training on definitions of sexual assault and harassment, how to report RVSM, services for survivors of sexual assault, and bystander intervention than in 2019.</w:t>
      </w:r>
    </w:p>
    <w:p>
      <w:pPr>
        <w:pStyle w:val="BodyText"/>
        <w:spacing w:line="333" w:lineRule="auto" w:before="161"/>
        <w:ind w:left="180" w:right="2744" w:firstLine="720"/>
      </w:pPr>
      <w:r>
        <w:rPr/>
        <w:t>No significant changes in the receipt of training from 2019 to 2022 are indicated for undergraduate men (Figure 81).</w:t>
      </w:r>
    </w:p>
    <w:p>
      <w:pPr>
        <w:pStyle w:val="BodyText"/>
        <w:spacing w:line="333" w:lineRule="auto" w:before="161"/>
        <w:ind w:left="180" w:right="1551" w:firstLine="720"/>
      </w:pPr>
      <w:r>
        <w:rPr/>
        <w:t>Figures 82 and 83 compare the percentage of graduate/professional women and men students, respectively, who indicated receiving training on various topics in 2019 and 2022. In 2022, more graduate/professional women students indicated receiving training in services for survivors of sexual assault and in other strategies for preventing sexual assault, and both graduate/professional women and men students indicated an increase in the rate of receiving training on bystander intervention.</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211.65pt;mso-position-horizontal-relative:page;mso-position-vertical-relative:paragraph;z-index:-251531264;mso-wrap-distance-left:0;mso-wrap-distance-right:0" coordorigin="1455,631" coordsize="9390,4233">
            <v:shape style="position:absolute;left:1574;top:645;width:9256;height:4203" type="#_x0000_t75" alt="See Notes for information on an accessible version of this figure. " stroked="false">
              <v:imagedata r:id="rId212" o:title=""/>
            </v:shape>
            <v:rect style="position:absolute;left:1462;top:638;width:9375;height:4218" filled="false" stroked="true" strokeweight=".75pt" strokecolor="#000000">
              <v:stroke dashstyle="solid"/>
            </v:rect>
            <w10:wrap type="topAndBottom"/>
          </v:group>
        </w:pict>
      </w:r>
      <w:r>
        <w:rPr/>
        <w:t>Figure 81. Comparison of the Percentage of Undergraduate Men Who Received Training on Various Topics During 2019–2020 and 2021–2022 Academic Years</w:t>
      </w:r>
    </w:p>
    <w:p>
      <w:pPr>
        <w:spacing w:before="39"/>
        <w:ind w:left="180" w:right="0" w:firstLine="0"/>
        <w:jc w:val="left"/>
        <w:rPr>
          <w:sz w:val="18"/>
        </w:rPr>
      </w:pPr>
      <w:r>
        <w:rPr>
          <w:sz w:val="18"/>
        </w:rPr>
        <w:t>Note: For an accessible version of the information shown in this figure, see </w:t>
      </w:r>
      <w:hyperlink r:id="rId213">
        <w:r>
          <w:rPr>
            <w:color w:val="1F419A"/>
            <w:sz w:val="18"/>
            <w:u w:val="single" w:color="1F419A"/>
          </w:rPr>
          <w:t>Appendix Table G-10b</w:t>
        </w:r>
      </w:hyperlink>
      <w:r>
        <w:rPr>
          <w:sz w:val="18"/>
        </w:rPr>
        <w:t>.</w:t>
      </w:r>
    </w:p>
    <w:p>
      <w:pPr>
        <w:pStyle w:val="BodyText"/>
        <w:spacing w:before="10"/>
        <w:rPr>
          <w:sz w:val="26"/>
        </w:rPr>
      </w:pPr>
    </w:p>
    <w:p>
      <w:pPr>
        <w:pStyle w:val="Heading5"/>
        <w:spacing w:line="242" w:lineRule="auto"/>
        <w:ind w:right="1575"/>
      </w:pPr>
      <w:r>
        <w:rPr/>
        <w:pict>
          <v:group style="position:absolute;margin-left:72.75pt;margin-top:31.47287pt;width:469.5pt;height:211.75pt;mso-position-horizontal-relative:page;mso-position-vertical-relative:paragraph;z-index:-251530240;mso-wrap-distance-left:0;mso-wrap-distance-right:0" coordorigin="1455,629" coordsize="9390,4235">
            <v:shape style="position:absolute;left:1574;top:644;width:9256;height:4205" type="#_x0000_t75" alt="See Notes for information on an accessible version of this figure." stroked="false">
              <v:imagedata r:id="rId214" o:title=""/>
            </v:shape>
            <v:rect style="position:absolute;left:1462;top:636;width:9375;height:4220" filled="false" stroked="true" strokeweight=".75pt" strokecolor="#000000">
              <v:stroke dashstyle="solid"/>
            </v:rect>
            <w10:wrap type="topAndBottom"/>
          </v:group>
        </w:pict>
      </w:r>
      <w:r>
        <w:rPr/>
        <w:t>Figure 82. Comparison of the Percentage of Graduate/Professional Women Who Received Training on Various Topics During 2019–2020 and 2021–2022 Academic Years</w:t>
      </w:r>
    </w:p>
    <w:p>
      <w:pPr>
        <w:spacing w:before="39"/>
        <w:ind w:left="368" w:right="1961" w:hanging="189"/>
        <w:jc w:val="left"/>
        <w:rPr>
          <w:sz w:val="18"/>
        </w:rPr>
      </w:pPr>
      <w:r>
        <w:rPr>
          <w:sz w:val="18"/>
        </w:rPr>
        <w:t>Note: * Statistically significant at p &lt; 0.05. For an accessible version of the information shown in this figure, see </w:t>
      </w:r>
      <w:hyperlink r:id="rId215">
        <w:r>
          <w:rPr>
            <w:color w:val="1F419A"/>
            <w:sz w:val="18"/>
            <w:u w:val="single" w:color="1F419A"/>
          </w:rPr>
          <w:t>Appendix Table G-10c</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211.65pt;mso-position-horizontal-relative:page;mso-position-vertical-relative:paragraph;z-index:-251529216;mso-wrap-distance-left:0;mso-wrap-distance-right:0" coordorigin="1455,631" coordsize="9390,4233">
            <v:shape style="position:absolute;left:1626;top:645;width:9203;height:4203" type="#_x0000_t75" alt="See Notes for information on an accessible version of this figure." stroked="false">
              <v:imagedata r:id="rId216" o:title=""/>
            </v:shape>
            <v:rect style="position:absolute;left:1462;top:638;width:9375;height:4218" filled="false" stroked="true" strokeweight=".75pt" strokecolor="#000000">
              <v:stroke dashstyle="solid"/>
            </v:rect>
            <w10:wrap type="topAndBottom"/>
          </v:group>
        </w:pict>
      </w:r>
      <w:r>
        <w:rPr/>
        <w:t>Figure 83. Comparison of the Percentage of Graduate/Professional Men Who Received Training on Various Topics During 2019–2020 and 2021–2022 Academic Years</w:t>
      </w:r>
    </w:p>
    <w:p>
      <w:pPr>
        <w:spacing w:before="39"/>
        <w:ind w:left="368" w:right="1961" w:hanging="189"/>
        <w:jc w:val="left"/>
        <w:rPr>
          <w:sz w:val="18"/>
        </w:rPr>
      </w:pPr>
      <w:r>
        <w:rPr>
          <w:sz w:val="18"/>
        </w:rPr>
        <w:t>Note: * Statistically significant at p &lt; 0.05. For an accessible version of the information shown in this figure, see </w:t>
      </w:r>
      <w:hyperlink r:id="rId217">
        <w:r>
          <w:rPr>
            <w:color w:val="1F419A"/>
            <w:sz w:val="18"/>
            <w:u w:val="single" w:color="1F419A"/>
          </w:rPr>
          <w:t>Appendix Table G-10d</w:t>
        </w:r>
      </w:hyperlink>
      <w:r>
        <w:rPr>
          <w:sz w:val="18"/>
        </w:rPr>
        <w:t>.</w:t>
      </w:r>
    </w:p>
    <w:p>
      <w:pPr>
        <w:pStyle w:val="BodyText"/>
      </w:pPr>
    </w:p>
    <w:p>
      <w:pPr>
        <w:pStyle w:val="BodyText"/>
        <w:rPr>
          <w:sz w:val="21"/>
        </w:rPr>
      </w:pPr>
    </w:p>
    <w:p>
      <w:pPr>
        <w:pStyle w:val="BodyText"/>
        <w:spacing w:line="333" w:lineRule="auto"/>
        <w:ind w:left="180" w:right="1574" w:firstLine="720"/>
      </w:pPr>
      <w:r>
        <w:rPr/>
        <w:t>Faculty and staff were asked about receiving training on seven training programs or topics (i.e., faculty and staff were not asked about bystander intervention training). Figure 84 compares the percentage of women faculty who indicated receiving training on various topics in 2019 and 2022. In 2022, there was no change in the proportion of women faculty who received training on the definitions of sexual assault and harassment; however, women faculty indicated increases in the receipt of training in the six remaining training programs/topics. No changes in the receipt of training from 2019 to 2022 are indicated for faculty men (Figure 85).</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left="1259" w:right="1575"/>
      </w:pPr>
      <w:r>
        <w:rPr/>
        <w:pict>
          <v:group style="position:absolute;margin-left:72.75pt;margin-top:31.525894pt;width:469.5pt;height:211.65pt;mso-position-horizontal-relative:page;mso-position-vertical-relative:paragraph;z-index:-251528192;mso-wrap-distance-left:0;mso-wrap-distance-right:0" coordorigin="1455,631" coordsize="9390,4233">
            <v:shape style="position:absolute;left:1574;top:645;width:9256;height:4203" type="#_x0000_t75" alt="See Notes for information on an accessible version of this figure." stroked="false">
              <v:imagedata r:id="rId218" o:title=""/>
            </v:shape>
            <v:rect style="position:absolute;left:1462;top:638;width:9375;height:4218" filled="false" stroked="true" strokeweight=".75pt" strokecolor="#000000">
              <v:stroke dashstyle="solid"/>
            </v:rect>
            <w10:wrap type="topAndBottom"/>
          </v:group>
        </w:pict>
      </w:r>
      <w:r>
        <w:rPr/>
        <w:t>Figure 84. Comparison of the Percentage of Faculty Women Who Received Training on Various Topics During 2019–2020 and 2021–2022 Academic Years</w:t>
      </w:r>
    </w:p>
    <w:p>
      <w:pPr>
        <w:spacing w:before="39"/>
        <w:ind w:left="368" w:right="1961" w:hanging="189"/>
        <w:jc w:val="left"/>
        <w:rPr>
          <w:sz w:val="18"/>
        </w:rPr>
      </w:pPr>
      <w:r>
        <w:rPr>
          <w:sz w:val="18"/>
        </w:rPr>
        <w:t>Note: * Statistically significant at p &lt; 0.05. For an accessible version of the information shown in this figure, see </w:t>
      </w:r>
      <w:hyperlink r:id="rId219">
        <w:r>
          <w:rPr>
            <w:color w:val="1F419A"/>
            <w:sz w:val="18"/>
            <w:u w:val="single" w:color="1F419A"/>
          </w:rPr>
          <w:t>Appendix Table G-10e</w:t>
        </w:r>
      </w:hyperlink>
      <w:r>
        <w:rPr>
          <w:sz w:val="18"/>
        </w:rPr>
        <w:t>.</w:t>
      </w:r>
    </w:p>
    <w:p>
      <w:pPr>
        <w:pStyle w:val="BodyText"/>
        <w:rPr>
          <w:sz w:val="27"/>
        </w:rPr>
      </w:pPr>
    </w:p>
    <w:p>
      <w:pPr>
        <w:pStyle w:val="Heading5"/>
        <w:spacing w:before="93"/>
        <w:ind w:right="1575"/>
      </w:pPr>
      <w:r>
        <w:rPr/>
        <w:pict>
          <v:group style="position:absolute;margin-left:72.75pt;margin-top:31.371876pt;width:469.5pt;height:211.65pt;mso-position-horizontal-relative:page;mso-position-vertical-relative:paragraph;z-index:-251527168;mso-wrap-distance-left:0;mso-wrap-distance-right:0" coordorigin="1455,627" coordsize="9390,4233">
            <v:shape style="position:absolute;left:1626;top:642;width:9203;height:4203" type="#_x0000_t75" alt="See Notes for information on an accessible version of this figure. " stroked="false">
              <v:imagedata r:id="rId220" o:title=""/>
            </v:shape>
            <v:rect style="position:absolute;left:1462;top:634;width:9375;height:4218" filled="false" stroked="true" strokeweight=".75pt" strokecolor="#000000">
              <v:stroke dashstyle="solid"/>
            </v:rect>
            <w10:wrap type="topAndBottom"/>
          </v:group>
        </w:pict>
      </w:r>
      <w:r>
        <w:rPr/>
        <w:t>Figure 85. Comparison of the Percentage of Faculty Men Who Received Training on Various Topics During 2019–2020 and 2021–2022 Academic Years</w:t>
      </w:r>
    </w:p>
    <w:p>
      <w:pPr>
        <w:spacing w:before="42"/>
        <w:ind w:left="180" w:right="0" w:firstLine="0"/>
        <w:jc w:val="left"/>
        <w:rPr>
          <w:sz w:val="18"/>
        </w:rPr>
      </w:pPr>
      <w:r>
        <w:rPr>
          <w:sz w:val="18"/>
        </w:rPr>
        <w:t>Note: For an accessible version of the information shown in this figure, see </w:t>
      </w:r>
      <w:hyperlink r:id="rId221">
        <w:r>
          <w:rPr>
            <w:color w:val="1F419A"/>
            <w:sz w:val="18"/>
            <w:u w:val="single" w:color="1F419A"/>
          </w:rPr>
          <w:t>Appendix Table G-10f</w:t>
        </w:r>
      </w:hyperlink>
      <w:r>
        <w:rPr>
          <w:sz w:val="18"/>
        </w:rPr>
        <w:t>.</w:t>
      </w:r>
    </w:p>
    <w:p>
      <w:pPr>
        <w:pStyle w:val="BodyText"/>
      </w:pPr>
    </w:p>
    <w:p>
      <w:pPr>
        <w:pStyle w:val="BodyText"/>
        <w:spacing w:before="10"/>
      </w:pPr>
    </w:p>
    <w:p>
      <w:pPr>
        <w:pStyle w:val="BodyText"/>
        <w:spacing w:line="333" w:lineRule="auto"/>
        <w:ind w:left="180" w:right="1538" w:firstLine="720"/>
      </w:pPr>
      <w:r>
        <w:rPr/>
        <w:t>Staff women indicated increases in receipt of training from 2019 to 2022 on all seven programs/topics (Figure 86), and staff men indicated increases in receipt of training from 2019 to 2022 (Figure 87) on the following four programs/topics: MSU's RVSM policy, how to report RVSM, services for survivors of sexual assault, and other strategies for preventing sexual assault.</w:t>
      </w:r>
    </w:p>
    <w:p>
      <w:pPr>
        <w:spacing w:after="0" w:line="333" w:lineRule="auto"/>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211.65pt;mso-position-horizontal-relative:page;mso-position-vertical-relative:paragraph;z-index:-251526144;mso-wrap-distance-left:0;mso-wrap-distance-right:0" coordorigin="1455,631" coordsize="9390,4233">
            <v:shape style="position:absolute;left:1626;top:645;width:9203;height:4203" type="#_x0000_t75" alt="See Notes for information on an accessible version of this figure." stroked="false">
              <v:imagedata r:id="rId222" o:title=""/>
            </v:shape>
            <v:rect style="position:absolute;left:1462;top:638;width:9375;height:4218" filled="false" stroked="true" strokeweight=".75pt" strokecolor="#000000">
              <v:stroke dashstyle="solid"/>
            </v:rect>
            <w10:wrap type="topAndBottom"/>
          </v:group>
        </w:pict>
      </w:r>
      <w:r>
        <w:rPr/>
        <w:t>Figure 86. Comparison of the Percentage of Staff Women Who Received Training on Various Topics During 2019–2020 and 2021–2022 Academic Years</w:t>
      </w:r>
    </w:p>
    <w:p>
      <w:pPr>
        <w:spacing w:before="39"/>
        <w:ind w:left="368" w:right="1961" w:hanging="189"/>
        <w:jc w:val="left"/>
        <w:rPr>
          <w:sz w:val="18"/>
        </w:rPr>
      </w:pPr>
      <w:r>
        <w:rPr>
          <w:sz w:val="18"/>
        </w:rPr>
        <w:t>Note: * Statistically significant at p &lt; 0.05. For an accessible version of the information shown in this figure, see </w:t>
      </w:r>
      <w:hyperlink r:id="rId223">
        <w:r>
          <w:rPr>
            <w:color w:val="1F419A"/>
            <w:sz w:val="18"/>
            <w:u w:val="single" w:color="1F419A"/>
          </w:rPr>
          <w:t>Appendix Table G-10g</w:t>
        </w:r>
      </w:hyperlink>
      <w:r>
        <w:rPr>
          <w:sz w:val="18"/>
        </w:rPr>
        <w:t>.</w:t>
      </w:r>
    </w:p>
    <w:p>
      <w:pPr>
        <w:pStyle w:val="BodyText"/>
        <w:rPr>
          <w:sz w:val="27"/>
        </w:rPr>
      </w:pPr>
    </w:p>
    <w:p>
      <w:pPr>
        <w:pStyle w:val="Heading5"/>
        <w:spacing w:before="93"/>
        <w:ind w:right="1575"/>
      </w:pPr>
      <w:r>
        <w:rPr/>
        <w:pict>
          <v:group style="position:absolute;margin-left:72.75pt;margin-top:31.371876pt;width:469.5pt;height:211.65pt;mso-position-horizontal-relative:page;mso-position-vertical-relative:paragraph;z-index:-251525120;mso-wrap-distance-left:0;mso-wrap-distance-right:0" coordorigin="1455,627" coordsize="9390,4233">
            <v:shape style="position:absolute;left:1574;top:642;width:9256;height:4203" type="#_x0000_t75" alt="See Notes for information on an accessible version of this figure." stroked="false">
              <v:imagedata r:id="rId224" o:title=""/>
            </v:shape>
            <v:rect style="position:absolute;left:1462;top:634;width:9375;height:4218" filled="false" stroked="true" strokeweight=".75pt" strokecolor="#000000">
              <v:stroke dashstyle="solid"/>
            </v:rect>
            <w10:wrap type="topAndBottom"/>
          </v:group>
        </w:pict>
      </w:r>
      <w:r>
        <w:rPr/>
        <w:t>Figure 87. Comparison of the Percentage of Staff Men Who Received Training on Various Topics During 2019–2020 and 2021–2022 Academic Years</w:t>
      </w:r>
    </w:p>
    <w:p>
      <w:pPr>
        <w:spacing w:before="42"/>
        <w:ind w:left="368" w:right="1961" w:hanging="189"/>
        <w:jc w:val="left"/>
        <w:rPr>
          <w:sz w:val="18"/>
        </w:rPr>
      </w:pPr>
      <w:r>
        <w:rPr>
          <w:sz w:val="18"/>
        </w:rPr>
        <w:t>Note: * Statistically significant at p &lt; 0.05. For an accessible version of the information shown in this figure, see </w:t>
      </w:r>
      <w:hyperlink r:id="rId225">
        <w:r>
          <w:rPr>
            <w:color w:val="1F419A"/>
            <w:sz w:val="18"/>
            <w:u w:val="single" w:color="1F419A"/>
          </w:rPr>
          <w:t>Appendix Table G-10h</w:t>
        </w:r>
      </w:hyperlink>
      <w:r>
        <w:rPr>
          <w:sz w:val="18"/>
        </w:rPr>
        <w:t>.</w:t>
      </w:r>
    </w:p>
    <w:p>
      <w:pPr>
        <w:pStyle w:val="BodyText"/>
      </w:pPr>
    </w:p>
    <w:p>
      <w:pPr>
        <w:pStyle w:val="BodyText"/>
        <w:spacing w:before="7"/>
      </w:pPr>
    </w:p>
    <w:p>
      <w:pPr>
        <w:pStyle w:val="BodyText"/>
        <w:spacing w:line="333" w:lineRule="auto"/>
        <w:ind w:left="179" w:right="1466" w:firstLine="720"/>
      </w:pPr>
      <w:r>
        <w:rPr/>
        <w:t>Figures 88 and 89 compare the percentage of undergraduate women and men, respectively, who participated in specific MSU training programs in 2019 and 2022. The four specific training programs asked about are as follows:</w:t>
      </w:r>
    </w:p>
    <w:p>
      <w:pPr>
        <w:pStyle w:val="ListParagraph"/>
        <w:numPr>
          <w:ilvl w:val="0"/>
          <w:numId w:val="12"/>
        </w:numPr>
        <w:tabs>
          <w:tab w:pos="1259" w:val="left" w:leader="none"/>
          <w:tab w:pos="1260" w:val="left" w:leader="none"/>
        </w:tabs>
        <w:spacing w:line="240" w:lineRule="auto" w:before="93" w:after="0"/>
        <w:ind w:left="1260" w:right="0" w:hanging="360"/>
        <w:jc w:val="left"/>
        <w:rPr>
          <w:sz w:val="20"/>
        </w:rPr>
      </w:pPr>
      <w:r>
        <w:rPr>
          <w:sz w:val="20"/>
        </w:rPr>
        <w:t>SARV Prevention</w:t>
      </w:r>
      <w:r>
        <w:rPr>
          <w:spacing w:val="-1"/>
          <w:sz w:val="20"/>
        </w:rPr>
        <w:t> </w:t>
      </w:r>
      <w:r>
        <w:rPr>
          <w:sz w:val="20"/>
        </w:rPr>
        <w:t>Program</w:t>
      </w:r>
    </w:p>
    <w:p>
      <w:pPr>
        <w:pStyle w:val="ListParagraph"/>
        <w:numPr>
          <w:ilvl w:val="0"/>
          <w:numId w:val="12"/>
        </w:numPr>
        <w:tabs>
          <w:tab w:pos="1259" w:val="left" w:leader="none"/>
          <w:tab w:pos="1260" w:val="left" w:leader="none"/>
        </w:tabs>
        <w:spacing w:line="240" w:lineRule="auto" w:before="82" w:after="0"/>
        <w:ind w:left="1260" w:right="0" w:hanging="360"/>
        <w:jc w:val="left"/>
        <w:rPr>
          <w:sz w:val="20"/>
        </w:rPr>
      </w:pPr>
      <w:r>
        <w:rPr>
          <w:sz w:val="20"/>
        </w:rPr>
        <w:t>Greeks Take the</w:t>
      </w:r>
      <w:r>
        <w:rPr>
          <w:spacing w:val="-3"/>
          <w:sz w:val="20"/>
        </w:rPr>
        <w:t> </w:t>
      </w:r>
      <w:r>
        <w:rPr>
          <w:sz w:val="20"/>
        </w:rPr>
        <w:t>Lead</w:t>
      </w:r>
    </w:p>
    <w:p>
      <w:pPr>
        <w:spacing w:after="0" w:line="240" w:lineRule="auto"/>
        <w:jc w:val="left"/>
        <w:rPr>
          <w:sz w:val="20"/>
        </w:rPr>
        <w:sectPr>
          <w:pgSz w:w="12240" w:h="15840"/>
          <w:pgMar w:header="0" w:footer="592" w:top="1120" w:bottom="780" w:left="1260" w:right="0"/>
        </w:sectPr>
      </w:pPr>
    </w:p>
    <w:p>
      <w:pPr>
        <w:pStyle w:val="BodyText"/>
        <w:spacing w:before="8"/>
        <w:rPr>
          <w:sz w:val="11"/>
        </w:rPr>
      </w:pPr>
    </w:p>
    <w:p>
      <w:pPr>
        <w:pStyle w:val="ListParagraph"/>
        <w:numPr>
          <w:ilvl w:val="0"/>
          <w:numId w:val="12"/>
        </w:numPr>
        <w:tabs>
          <w:tab w:pos="1259" w:val="left" w:leader="none"/>
          <w:tab w:pos="1260" w:val="left" w:leader="none"/>
        </w:tabs>
        <w:spacing w:line="240" w:lineRule="auto" w:before="94" w:after="0"/>
        <w:ind w:left="1260" w:right="0" w:hanging="360"/>
        <w:jc w:val="left"/>
        <w:rPr>
          <w:sz w:val="20"/>
        </w:rPr>
      </w:pPr>
      <w:r>
        <w:rPr>
          <w:sz w:val="20"/>
        </w:rPr>
        <w:t>Bystander Network</w:t>
      </w:r>
    </w:p>
    <w:p>
      <w:pPr>
        <w:pStyle w:val="ListParagraph"/>
        <w:numPr>
          <w:ilvl w:val="0"/>
          <w:numId w:val="12"/>
        </w:numPr>
        <w:tabs>
          <w:tab w:pos="1259" w:val="left" w:leader="none"/>
          <w:tab w:pos="1260" w:val="left" w:leader="none"/>
        </w:tabs>
        <w:spacing w:line="240" w:lineRule="auto" w:before="82" w:after="0"/>
        <w:ind w:left="1260" w:right="0" w:hanging="361"/>
        <w:jc w:val="left"/>
        <w:rPr>
          <w:sz w:val="20"/>
        </w:rPr>
      </w:pPr>
      <w:r>
        <w:rPr>
          <w:sz w:val="20"/>
        </w:rPr>
        <w:t>Online training about</w:t>
      </w:r>
      <w:r>
        <w:rPr>
          <w:spacing w:val="1"/>
          <w:sz w:val="20"/>
        </w:rPr>
        <w:t> </w:t>
      </w:r>
      <w:r>
        <w:rPr>
          <w:sz w:val="20"/>
        </w:rPr>
        <w:t>RVSM</w:t>
      </w:r>
    </w:p>
    <w:p>
      <w:pPr>
        <w:pStyle w:val="BodyText"/>
        <w:spacing w:before="7"/>
      </w:pPr>
    </w:p>
    <w:p>
      <w:pPr>
        <w:pStyle w:val="Heading5"/>
        <w:spacing w:line="242" w:lineRule="auto" w:before="1"/>
        <w:ind w:right="1575"/>
      </w:pPr>
      <w:r>
        <w:rPr/>
        <w:pict>
          <v:group style="position:absolute;margin-left:72.75pt;margin-top:26.873896pt;width:469.5pt;height:119.8pt;mso-position-horizontal-relative:page;mso-position-vertical-relative:paragraph;z-index:-251524096;mso-wrap-distance-left:0;mso-wrap-distance-right:0" coordorigin="1455,537" coordsize="9390,2396">
            <v:shape style="position:absolute;left:1941;top:552;width:8889;height:2366" type="#_x0000_t75" alt="See Notes for information on an accessible version of this figure." stroked="false">
              <v:imagedata r:id="rId226" o:title=""/>
            </v:shape>
            <v:rect style="position:absolute;left:1462;top:544;width:9375;height:2381" filled="false" stroked="true" strokeweight=".75pt" strokecolor="#000000">
              <v:stroke dashstyle="solid"/>
            </v:rect>
            <w10:wrap type="topAndBottom"/>
          </v:group>
        </w:pict>
      </w:r>
      <w:r>
        <w:rPr/>
        <w:t>Figure 88. Comparison of the Percentage of Undergraduate Women Who Received Specific Trainings During 2019–2020 and 2021–2022 Academic Years</w:t>
      </w:r>
    </w:p>
    <w:p>
      <w:pPr>
        <w:spacing w:before="48"/>
        <w:ind w:left="368" w:right="1961" w:hanging="189"/>
        <w:jc w:val="left"/>
        <w:rPr>
          <w:sz w:val="18"/>
        </w:rPr>
      </w:pPr>
      <w:r>
        <w:rPr>
          <w:sz w:val="18"/>
        </w:rPr>
        <w:t>Note: * Statistically significant at p &lt; 0.05. For an accessible version of the information shown in this figure, see </w:t>
      </w:r>
      <w:hyperlink r:id="rId227">
        <w:r>
          <w:rPr>
            <w:color w:val="1F419A"/>
            <w:sz w:val="18"/>
            <w:u w:val="single" w:color="1F419A"/>
          </w:rPr>
          <w:t>Appendix Table G-11a</w:t>
        </w:r>
      </w:hyperlink>
      <w:r>
        <w:rPr>
          <w:sz w:val="18"/>
        </w:rPr>
        <w:t>.</w:t>
      </w:r>
    </w:p>
    <w:p>
      <w:pPr>
        <w:pStyle w:val="BodyText"/>
        <w:spacing w:before="7"/>
        <w:rPr>
          <w:sz w:val="26"/>
        </w:rPr>
      </w:pPr>
    </w:p>
    <w:p>
      <w:pPr>
        <w:pStyle w:val="Heading5"/>
        <w:spacing w:line="242" w:lineRule="auto"/>
        <w:ind w:left="1259" w:right="1464"/>
      </w:pPr>
      <w:r>
        <w:rPr/>
        <w:pict>
          <v:group style="position:absolute;margin-left:72.75pt;margin-top:31.519882pt;width:469.5pt;height:119.75pt;mso-position-horizontal-relative:page;mso-position-vertical-relative:paragraph;z-index:-251523072;mso-wrap-distance-left:0;mso-wrap-distance-right:0" coordorigin="1455,630" coordsize="9390,2395">
            <v:shape style="position:absolute;left:1940;top:645;width:8890;height:2365" type="#_x0000_t75" alt="See Notes for information on an accessible version of this figure." stroked="false">
              <v:imagedata r:id="rId228" o:title=""/>
            </v:shape>
            <v:rect style="position:absolute;left:1462;top:637;width:9375;height:2380" filled="false" stroked="true" strokeweight=".75pt" strokecolor="#000000">
              <v:stroke dashstyle="solid"/>
            </v:rect>
            <w10:wrap type="topAndBottom"/>
          </v:group>
        </w:pict>
      </w:r>
      <w:r>
        <w:rPr/>
        <w:t>Figure 89. Comparison of the Percentage of Undergraduate Men Who Received Specific Trainings During 2019–2020 and 2021–2022 Academic Years</w:t>
      </w:r>
    </w:p>
    <w:p>
      <w:pPr>
        <w:spacing w:before="50"/>
        <w:ind w:left="368" w:right="1961" w:hanging="189"/>
        <w:jc w:val="left"/>
        <w:rPr>
          <w:sz w:val="18"/>
        </w:rPr>
      </w:pPr>
      <w:r>
        <w:rPr>
          <w:sz w:val="18"/>
        </w:rPr>
        <w:t>Note: * Statistically significant at p &lt; 0.05. For an accessible version of the information shown in this figure, see </w:t>
      </w:r>
      <w:hyperlink r:id="rId229">
        <w:r>
          <w:rPr>
            <w:color w:val="1F419A"/>
            <w:sz w:val="18"/>
            <w:u w:val="single" w:color="1F419A"/>
          </w:rPr>
          <w:t>Appendix Table G-11b</w:t>
        </w:r>
      </w:hyperlink>
      <w:r>
        <w:rPr>
          <w:sz w:val="18"/>
        </w:rPr>
        <w:t>.</w:t>
      </w:r>
    </w:p>
    <w:p>
      <w:pPr>
        <w:pStyle w:val="BodyText"/>
      </w:pPr>
    </w:p>
    <w:p>
      <w:pPr>
        <w:pStyle w:val="BodyText"/>
        <w:spacing w:before="7"/>
      </w:pPr>
    </w:p>
    <w:p>
      <w:pPr>
        <w:pStyle w:val="BodyText"/>
        <w:spacing w:line="333" w:lineRule="auto"/>
        <w:ind w:left="179" w:right="1464" w:firstLine="720"/>
      </w:pPr>
      <w:r>
        <w:rPr/>
        <w:t>In 2022, undergraduate women and men indicated a decrease in participation in the SARV Prevention Program and an increase in participation in the online training about RVSM.</w:t>
      </w:r>
      <w:r>
        <w:rPr>
          <w:position w:val="5"/>
          <w:sz w:val="12"/>
        </w:rPr>
        <w:t>38 </w:t>
      </w:r>
      <w:r>
        <w:rPr/>
        <w:t>Undergraduate women also indicated an increase in participation in Greeks Take the Lead and Bystander Network.</w:t>
      </w:r>
    </w:p>
    <w:p>
      <w:pPr>
        <w:pStyle w:val="BodyText"/>
        <w:spacing w:line="333" w:lineRule="auto" w:before="161"/>
        <w:ind w:left="180" w:right="1590" w:firstLine="720"/>
        <w:jc w:val="both"/>
      </w:pPr>
      <w:r>
        <w:rPr/>
        <w:t>Figures 90 and 91 compare the percentage of graduate/professional women and men students, respectively, who participated in MSU training programs in 2019 and 2022. The training programs asked about are as follows:</w:t>
      </w:r>
    </w:p>
    <w:p>
      <w:pPr>
        <w:pStyle w:val="ListParagraph"/>
        <w:numPr>
          <w:ilvl w:val="0"/>
          <w:numId w:val="12"/>
        </w:numPr>
        <w:tabs>
          <w:tab w:pos="1260" w:val="left" w:leader="none"/>
        </w:tabs>
        <w:spacing w:line="240" w:lineRule="auto" w:before="93" w:after="0"/>
        <w:ind w:left="1260" w:right="0" w:hanging="361"/>
        <w:jc w:val="both"/>
        <w:rPr>
          <w:sz w:val="20"/>
        </w:rPr>
      </w:pPr>
      <w:r>
        <w:rPr>
          <w:sz w:val="20"/>
        </w:rPr>
        <w:t>Online training about</w:t>
      </w:r>
      <w:r>
        <w:rPr>
          <w:spacing w:val="1"/>
          <w:sz w:val="20"/>
        </w:rPr>
        <w:t> </w:t>
      </w:r>
      <w:r>
        <w:rPr>
          <w:sz w:val="20"/>
        </w:rPr>
        <w:t>RVSM</w:t>
      </w:r>
    </w:p>
    <w:p>
      <w:pPr>
        <w:pStyle w:val="ListParagraph"/>
        <w:numPr>
          <w:ilvl w:val="0"/>
          <w:numId w:val="12"/>
        </w:numPr>
        <w:tabs>
          <w:tab w:pos="1260" w:val="left" w:leader="none"/>
        </w:tabs>
        <w:spacing w:line="240" w:lineRule="auto" w:before="82" w:after="0"/>
        <w:ind w:left="1260" w:right="0" w:hanging="360"/>
        <w:jc w:val="both"/>
        <w:rPr>
          <w:sz w:val="20"/>
        </w:rPr>
      </w:pPr>
      <w:r>
        <w:rPr>
          <w:sz w:val="20"/>
        </w:rPr>
        <w:t>In-person training on MSU's RVSM policy</w:t>
      </w:r>
    </w:p>
    <w:p>
      <w:pPr>
        <w:pStyle w:val="BodyText"/>
      </w:pPr>
    </w:p>
    <w:p>
      <w:pPr>
        <w:pStyle w:val="BodyText"/>
      </w:pPr>
    </w:p>
    <w:p>
      <w:pPr>
        <w:pStyle w:val="BodyText"/>
      </w:pPr>
    </w:p>
    <w:p>
      <w:pPr>
        <w:pStyle w:val="BodyText"/>
        <w:spacing w:before="8"/>
        <w:rPr>
          <w:sz w:val="16"/>
        </w:rPr>
      </w:pPr>
      <w:r>
        <w:rPr/>
        <w:pict>
          <v:shape style="position:absolute;margin-left:72pt;margin-top:11.791739pt;width:144pt;height:.1pt;mso-position-horizontal-relative:page;mso-position-vertical-relative:paragraph;z-index:-251522048;mso-wrap-distance-left:0;mso-wrap-distance-right:0" coordorigin="1440,236" coordsize="2880,0" path="m1440,236l4320,236e" filled="false" stroked="true" strokeweight=".4pt" strokecolor="#000000">
            <v:path arrowok="t"/>
            <v:stroke dashstyle="solid"/>
            <w10:wrap type="topAndBottom"/>
          </v:shape>
        </w:pict>
      </w:r>
    </w:p>
    <w:p>
      <w:pPr>
        <w:spacing w:line="240" w:lineRule="auto" w:before="54"/>
        <w:ind w:left="451" w:right="1464" w:hanging="272"/>
        <w:jc w:val="left"/>
        <w:rPr>
          <w:sz w:val="18"/>
        </w:rPr>
      </w:pPr>
      <w:r>
        <w:rPr>
          <w:position w:val="5"/>
          <w:sz w:val="12"/>
        </w:rPr>
        <w:t>38 </w:t>
      </w:r>
      <w:r>
        <w:rPr>
          <w:sz w:val="18"/>
        </w:rPr>
        <w:t>It should be noted, however, that in response to COVID multiple trainings were transitioned from being in person to being live but online via Zoom. For this reason, any indications that participation in some in-person trainings decreased and that online training increased should be interpreted with caution, as the online trainings may still have been given live but also online via Zoom.</w:t>
      </w:r>
    </w:p>
    <w:p>
      <w:pPr>
        <w:spacing w:after="0" w:line="240" w:lineRule="auto"/>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77.8pt;mso-position-horizontal-relative:page;mso-position-vertical-relative:paragraph;z-index:-251521024;mso-wrap-distance-left:0;mso-wrap-distance-right:0" coordorigin="1455,631" coordsize="9390,1556">
            <v:shape style="position:absolute;left:1888;top:645;width:8942;height:1526" type="#_x0000_t75" alt="See Notes for information on an accessible version of this figure." stroked="false">
              <v:imagedata r:id="rId230" o:title=""/>
            </v:shape>
            <v:rect style="position:absolute;left:1462;top:638;width:9375;height:1541" filled="false" stroked="true" strokeweight=".75pt" strokecolor="#000000">
              <v:stroke dashstyle="solid"/>
            </v:rect>
            <w10:wrap type="topAndBottom"/>
          </v:group>
        </w:pict>
      </w:r>
      <w:r>
        <w:rPr/>
        <w:t>Figure 90. Comparison of the Percentage of Graduate/Professional Women Who Received Trainings During 2019–2020 and 2021–2022 Academic Years</w:t>
      </w:r>
    </w:p>
    <w:p>
      <w:pPr>
        <w:spacing w:before="48"/>
        <w:ind w:left="368" w:right="1961" w:hanging="189"/>
        <w:jc w:val="left"/>
        <w:rPr>
          <w:sz w:val="18"/>
        </w:rPr>
      </w:pPr>
      <w:r>
        <w:rPr>
          <w:sz w:val="18"/>
        </w:rPr>
        <w:t>Note: * Statistically significant at p &lt; 0.05. For an accessible version of the information shown in this figure, see </w:t>
      </w:r>
      <w:hyperlink r:id="rId231">
        <w:r>
          <w:rPr>
            <w:color w:val="1F419A"/>
            <w:sz w:val="18"/>
            <w:u w:val="single" w:color="1F419A"/>
          </w:rPr>
          <w:t>Appendix Table G-12a</w:t>
        </w:r>
      </w:hyperlink>
      <w:r>
        <w:rPr>
          <w:sz w:val="18"/>
        </w:rPr>
        <w:t>.</w:t>
      </w:r>
    </w:p>
    <w:p>
      <w:pPr>
        <w:pStyle w:val="BodyText"/>
        <w:spacing w:before="7"/>
        <w:rPr>
          <w:sz w:val="26"/>
        </w:rPr>
      </w:pPr>
    </w:p>
    <w:p>
      <w:pPr>
        <w:pStyle w:val="Heading5"/>
        <w:spacing w:line="242" w:lineRule="auto"/>
        <w:ind w:right="1575"/>
      </w:pPr>
      <w:r>
        <w:rPr/>
        <w:pict>
          <v:group style="position:absolute;margin-left:72.75pt;margin-top:31.521883pt;width:469.5pt;height:77.8pt;mso-position-horizontal-relative:page;mso-position-vertical-relative:paragraph;z-index:-251520000;mso-wrap-distance-left:0;mso-wrap-distance-right:0" coordorigin="1455,630" coordsize="9390,1556">
            <v:shape style="position:absolute;left:1888;top:645;width:8942;height:1526" type="#_x0000_t75" alt="See Notes for information on an accessible version of this figure. " stroked="false">
              <v:imagedata r:id="rId232" o:title=""/>
            </v:shape>
            <v:rect style="position:absolute;left:1462;top:637;width:9375;height:1541" filled="false" stroked="true" strokeweight=".75pt" strokecolor="#000000">
              <v:stroke dashstyle="solid"/>
            </v:rect>
            <w10:wrap type="topAndBottom"/>
          </v:group>
        </w:pict>
      </w:r>
      <w:r>
        <w:rPr/>
        <w:t>Figure 91. Comparison of the Percentage of Graduate/Professional Men Who Received Trainings During 2019–2020 and 2021–2022 Academic Years</w:t>
      </w:r>
    </w:p>
    <w:p>
      <w:pPr>
        <w:spacing w:before="49"/>
        <w:ind w:left="180" w:right="0" w:firstLine="0"/>
        <w:jc w:val="left"/>
        <w:rPr>
          <w:sz w:val="18"/>
        </w:rPr>
      </w:pPr>
      <w:r>
        <w:rPr>
          <w:sz w:val="18"/>
        </w:rPr>
        <w:t>Note: For an accessible version of the information shown in this figure, see </w:t>
      </w:r>
      <w:hyperlink r:id="rId233">
        <w:r>
          <w:rPr>
            <w:color w:val="1F419A"/>
            <w:sz w:val="18"/>
            <w:u w:val="single" w:color="1F419A"/>
          </w:rPr>
          <w:t>Appendix Table G-12b</w:t>
        </w:r>
      </w:hyperlink>
      <w:r>
        <w:rPr>
          <w:sz w:val="18"/>
        </w:rPr>
        <w:t>.</w:t>
      </w:r>
    </w:p>
    <w:p>
      <w:pPr>
        <w:pStyle w:val="BodyText"/>
      </w:pPr>
    </w:p>
    <w:p>
      <w:pPr>
        <w:pStyle w:val="BodyText"/>
        <w:spacing w:before="10"/>
      </w:pPr>
    </w:p>
    <w:p>
      <w:pPr>
        <w:pStyle w:val="BodyText"/>
        <w:spacing w:line="333" w:lineRule="auto"/>
        <w:ind w:left="179" w:right="1822" w:firstLine="720"/>
      </w:pPr>
      <w:r>
        <w:rPr/>
        <w:t>In 2022, the only significant change is that graduate/professional women students indicated a decrease in participation in the online training about RVSM.</w:t>
      </w:r>
    </w:p>
    <w:p>
      <w:pPr>
        <w:pStyle w:val="BodyText"/>
        <w:spacing w:line="333" w:lineRule="auto" w:before="160"/>
        <w:ind w:left="179" w:right="1556" w:firstLine="720"/>
      </w:pPr>
      <w:r>
        <w:rPr/>
        <w:t>Figures 92 through 95 compare the percentage of faculty women, faculty men, staff women, and staff men, respectively, who participated in MSU training programs in 2019 and 2022. The training programs asked about are as follows:</w:t>
      </w:r>
    </w:p>
    <w:p>
      <w:pPr>
        <w:pStyle w:val="ListParagraph"/>
        <w:numPr>
          <w:ilvl w:val="0"/>
          <w:numId w:val="12"/>
        </w:numPr>
        <w:tabs>
          <w:tab w:pos="1259" w:val="left" w:leader="none"/>
          <w:tab w:pos="1260" w:val="left" w:leader="none"/>
        </w:tabs>
        <w:spacing w:line="240" w:lineRule="auto" w:before="93" w:after="0"/>
        <w:ind w:left="1260" w:right="0" w:hanging="361"/>
        <w:jc w:val="left"/>
        <w:rPr>
          <w:sz w:val="20"/>
        </w:rPr>
      </w:pPr>
      <w:r>
        <w:rPr>
          <w:sz w:val="20"/>
        </w:rPr>
        <w:t>Online training about</w:t>
      </w:r>
      <w:r>
        <w:rPr>
          <w:spacing w:val="1"/>
          <w:sz w:val="20"/>
        </w:rPr>
        <w:t> </w:t>
      </w:r>
      <w:r>
        <w:rPr>
          <w:sz w:val="20"/>
        </w:rPr>
        <w:t>RVSM</w:t>
      </w:r>
    </w:p>
    <w:p>
      <w:pPr>
        <w:pStyle w:val="ListParagraph"/>
        <w:numPr>
          <w:ilvl w:val="0"/>
          <w:numId w:val="12"/>
        </w:numPr>
        <w:tabs>
          <w:tab w:pos="1259" w:val="left" w:leader="none"/>
          <w:tab w:pos="1260" w:val="left" w:leader="none"/>
        </w:tabs>
        <w:spacing w:line="240" w:lineRule="auto" w:before="78" w:after="0"/>
        <w:ind w:left="1260" w:right="0" w:hanging="361"/>
        <w:jc w:val="left"/>
        <w:rPr>
          <w:sz w:val="20"/>
        </w:rPr>
      </w:pPr>
      <w:r>
        <w:rPr>
          <w:sz w:val="20"/>
        </w:rPr>
        <w:t>In-person training on MSU's RVSM policy</w:t>
      </w:r>
    </w:p>
    <w:p>
      <w:pPr>
        <w:pStyle w:val="ListParagraph"/>
        <w:numPr>
          <w:ilvl w:val="0"/>
          <w:numId w:val="12"/>
        </w:numPr>
        <w:tabs>
          <w:tab w:pos="1259" w:val="left" w:leader="none"/>
          <w:tab w:pos="1260" w:val="left" w:leader="none"/>
        </w:tabs>
        <w:spacing w:line="240" w:lineRule="auto" w:before="82" w:after="0"/>
        <w:ind w:left="1260" w:right="0" w:hanging="361"/>
        <w:jc w:val="left"/>
        <w:rPr>
          <w:sz w:val="20"/>
        </w:rPr>
      </w:pPr>
      <w:r>
        <w:rPr>
          <w:sz w:val="20"/>
        </w:rPr>
        <w:t>Other in-person</w:t>
      </w:r>
      <w:r>
        <w:rPr>
          <w:spacing w:val="1"/>
          <w:sz w:val="20"/>
        </w:rPr>
        <w:t> </w:t>
      </w:r>
      <w:r>
        <w:rPr>
          <w:sz w:val="20"/>
        </w:rPr>
        <w:t>training</w:t>
      </w:r>
    </w:p>
    <w:p>
      <w:pPr>
        <w:pStyle w:val="BodyText"/>
        <w:spacing w:before="8"/>
      </w:pPr>
    </w:p>
    <w:p>
      <w:pPr>
        <w:pStyle w:val="Heading5"/>
        <w:spacing w:line="242" w:lineRule="auto" w:before="1"/>
        <w:ind w:left="1259" w:right="1575"/>
      </w:pPr>
      <w:r>
        <w:rPr/>
        <w:pict>
          <v:group style="position:absolute;margin-left:72.75pt;margin-top:26.816889pt;width:469.5pt;height:99.65pt;mso-position-horizontal-relative:page;mso-position-vertical-relative:paragraph;z-index:-251518976;mso-wrap-distance-left:0;mso-wrap-distance-right:0" coordorigin="1455,536" coordsize="9390,1993">
            <v:shape style="position:absolute;left:1888;top:551;width:8942;height:1963" type="#_x0000_t75" alt="See Notes for information on an accessible version of this figure." stroked="false">
              <v:imagedata r:id="rId234" o:title=""/>
            </v:shape>
            <v:rect style="position:absolute;left:1462;top:543;width:9375;height:1978" filled="false" stroked="true" strokeweight=".75pt" strokecolor="#000000">
              <v:stroke dashstyle="solid"/>
            </v:rect>
            <w10:wrap type="topAndBottom"/>
          </v:group>
        </w:pict>
      </w:r>
      <w:r>
        <w:rPr/>
        <w:t>Figure 92. Comparison of the Percentage of Faculty Women Who Received Trainings During 2019–2020 and 2021–2022 Academic Years</w:t>
      </w:r>
    </w:p>
    <w:p>
      <w:pPr>
        <w:spacing w:before="29"/>
        <w:ind w:left="368" w:right="1961" w:hanging="189"/>
        <w:jc w:val="left"/>
        <w:rPr>
          <w:sz w:val="18"/>
        </w:rPr>
      </w:pPr>
      <w:r>
        <w:rPr>
          <w:sz w:val="18"/>
        </w:rPr>
        <w:t>Note: * Statistically significant at p &lt; 0.05. For an accessible version of the information shown in this figure, see </w:t>
      </w:r>
      <w:hyperlink r:id="rId235">
        <w:r>
          <w:rPr>
            <w:color w:val="1F419A"/>
            <w:sz w:val="18"/>
            <w:u w:val="single" w:color="1F419A"/>
          </w:rPr>
          <w:t>Appendix Table G-13a</w:t>
        </w:r>
      </w:hyperlink>
      <w:r>
        <w:rPr>
          <w:sz w:val="18"/>
        </w:rPr>
        <w:t>.</w:t>
      </w:r>
    </w:p>
    <w:p>
      <w:pPr>
        <w:spacing w:after="0"/>
        <w:jc w:val="left"/>
        <w:rPr>
          <w:sz w:val="18"/>
        </w:rPr>
        <w:sectPr>
          <w:pgSz w:w="12240" w:h="15840"/>
          <w:pgMar w:header="0" w:footer="592" w:top="1120" w:bottom="780" w:left="1260" w:right="0"/>
        </w:sectPr>
      </w:pPr>
    </w:p>
    <w:p>
      <w:pPr>
        <w:pStyle w:val="BodyText"/>
        <w:spacing w:before="8"/>
        <w:rPr>
          <w:sz w:val="11"/>
        </w:rPr>
      </w:pPr>
    </w:p>
    <w:p>
      <w:pPr>
        <w:pStyle w:val="Heading5"/>
        <w:spacing w:line="242" w:lineRule="auto"/>
        <w:ind w:right="1575"/>
      </w:pPr>
      <w:r>
        <w:rPr/>
        <w:pict>
          <v:group style="position:absolute;margin-left:72.75pt;margin-top:31.525894pt;width:469.5pt;height:99.6pt;mso-position-horizontal-relative:page;mso-position-vertical-relative:paragraph;z-index:-251517952;mso-wrap-distance-left:0;mso-wrap-distance-right:0" coordorigin="1455,631" coordsize="9390,1992">
            <v:shape style="position:absolute;left:1888;top:645;width:8942;height:1962" type="#_x0000_t75" alt="See Notes for information on an accessible version of this figure." stroked="false">
              <v:imagedata r:id="rId236" o:title=""/>
            </v:shape>
            <v:rect style="position:absolute;left:1462;top:638;width:9375;height:1977" filled="false" stroked="true" strokeweight=".75pt" strokecolor="#000000">
              <v:stroke dashstyle="solid"/>
            </v:rect>
            <w10:wrap type="topAndBottom"/>
          </v:group>
        </w:pict>
      </w:r>
      <w:r>
        <w:rPr/>
        <w:t>Figure 93. Comparison of the Percentage of Faculty Men Who Received Trainings During 2019– 2020 and 2021–2022 Academic Years</w:t>
      </w:r>
    </w:p>
    <w:p>
      <w:pPr>
        <w:spacing w:before="32"/>
        <w:ind w:left="368" w:right="1961" w:hanging="189"/>
        <w:jc w:val="left"/>
        <w:rPr>
          <w:sz w:val="18"/>
        </w:rPr>
      </w:pPr>
      <w:r>
        <w:rPr>
          <w:sz w:val="18"/>
        </w:rPr>
        <w:t>Note: * Statistically significant at p &lt; 0.05. For an accessible version of the information shown in this figure, see </w:t>
      </w:r>
      <w:hyperlink r:id="rId237">
        <w:r>
          <w:rPr>
            <w:color w:val="1F419A"/>
            <w:sz w:val="18"/>
            <w:u w:val="single" w:color="1F419A"/>
          </w:rPr>
          <w:t>Appendix Table G-13b</w:t>
        </w:r>
      </w:hyperlink>
      <w:r>
        <w:rPr>
          <w:sz w:val="18"/>
        </w:rPr>
        <w:t>.</w:t>
      </w:r>
    </w:p>
    <w:p>
      <w:pPr>
        <w:pStyle w:val="BodyText"/>
        <w:spacing w:before="7"/>
        <w:rPr>
          <w:sz w:val="26"/>
        </w:rPr>
      </w:pPr>
    </w:p>
    <w:p>
      <w:pPr>
        <w:pStyle w:val="Heading5"/>
        <w:spacing w:line="242" w:lineRule="auto"/>
        <w:ind w:left="1259" w:right="1575"/>
      </w:pPr>
      <w:r>
        <w:rPr/>
        <w:pict>
          <v:group style="position:absolute;margin-left:72.75pt;margin-top:31.521883pt;width:469.5pt;height:99.6pt;mso-position-horizontal-relative:page;mso-position-vertical-relative:paragraph;z-index:-251516928;mso-wrap-distance-left:0;mso-wrap-distance-right:0" coordorigin="1455,630" coordsize="9390,1992">
            <v:shape style="position:absolute;left:1888;top:645;width:8942;height:1962" type="#_x0000_t75" alt="See Notes for information on an accessible version of this figure." stroked="false">
              <v:imagedata r:id="rId238" o:title=""/>
            </v:shape>
            <v:rect style="position:absolute;left:1462;top:637;width:9375;height:1977" filled="false" stroked="true" strokeweight=".75pt" strokecolor="#000000">
              <v:stroke dashstyle="solid"/>
            </v:rect>
            <w10:wrap type="topAndBottom"/>
          </v:group>
        </w:pict>
      </w:r>
      <w:r>
        <w:rPr/>
        <w:t>Figure 94. Comparison of the Percentage of Staff Women Who Received Trainings During 2019– 2020 and 2021–2022 Academic Years</w:t>
      </w:r>
    </w:p>
    <w:p>
      <w:pPr>
        <w:spacing w:before="33"/>
        <w:ind w:left="368" w:right="1961" w:hanging="189"/>
        <w:jc w:val="left"/>
        <w:rPr>
          <w:sz w:val="18"/>
        </w:rPr>
      </w:pPr>
      <w:r>
        <w:rPr>
          <w:sz w:val="18"/>
        </w:rPr>
        <w:t>Note: * Statistically significant at p &lt; 0.05. For an accessible version of the information shown in this figure, see </w:t>
      </w:r>
      <w:hyperlink r:id="rId239">
        <w:r>
          <w:rPr>
            <w:color w:val="1F419A"/>
            <w:sz w:val="18"/>
            <w:u w:val="single" w:color="1F419A"/>
          </w:rPr>
          <w:t>Appendix Table G-13c</w:t>
        </w:r>
      </w:hyperlink>
      <w:r>
        <w:rPr>
          <w:sz w:val="18"/>
        </w:rPr>
        <w:t>.</w:t>
      </w:r>
    </w:p>
    <w:p>
      <w:pPr>
        <w:pStyle w:val="BodyText"/>
        <w:spacing w:before="6"/>
        <w:rPr>
          <w:sz w:val="26"/>
        </w:rPr>
      </w:pPr>
    </w:p>
    <w:p>
      <w:pPr>
        <w:pStyle w:val="Heading5"/>
        <w:spacing w:line="242" w:lineRule="auto"/>
        <w:ind w:right="1464"/>
      </w:pPr>
      <w:r>
        <w:rPr/>
        <w:pict>
          <v:group style="position:absolute;margin-left:72.75pt;margin-top:31.518871pt;width:469.5pt;height:99.85pt;mso-position-horizontal-relative:page;mso-position-vertical-relative:paragraph;z-index:-251515904;mso-wrap-distance-left:0;mso-wrap-distance-right:0" coordorigin="1455,630" coordsize="9390,1997">
            <v:shape style="position:absolute;left:1888;top:645;width:8942;height:1967" type="#_x0000_t75" alt="See Notes for information on an accessible version of this figure. " stroked="false">
              <v:imagedata r:id="rId240" o:title=""/>
            </v:shape>
            <v:rect style="position:absolute;left:1462;top:637;width:9375;height:1982" filled="false" stroked="true" strokeweight=".75pt" strokecolor="#000000">
              <v:stroke dashstyle="solid"/>
            </v:rect>
            <w10:wrap type="topAndBottom"/>
          </v:group>
        </w:pict>
      </w:r>
      <w:r>
        <w:rPr/>
        <w:t>Figure 95. Comparison of the Percentage of Staff Men Who Received Trainings During 2019–2020 and 2021–2022 Academic Years</w:t>
      </w:r>
    </w:p>
    <w:p>
      <w:pPr>
        <w:spacing w:before="56"/>
        <w:ind w:left="180" w:right="0" w:firstLine="0"/>
        <w:jc w:val="left"/>
        <w:rPr>
          <w:sz w:val="18"/>
        </w:rPr>
      </w:pPr>
      <w:r>
        <w:rPr>
          <w:sz w:val="18"/>
        </w:rPr>
        <w:t>For an accessible version of the information shown in this figure, see </w:t>
      </w:r>
      <w:hyperlink r:id="rId241">
        <w:r>
          <w:rPr>
            <w:color w:val="1F419A"/>
            <w:sz w:val="18"/>
            <w:u w:val="single" w:color="1F419A"/>
          </w:rPr>
          <w:t>Appendix Table G-13d</w:t>
        </w:r>
      </w:hyperlink>
      <w:r>
        <w:rPr>
          <w:sz w:val="18"/>
        </w:rPr>
        <w:t>.</w:t>
      </w:r>
    </w:p>
    <w:p>
      <w:pPr>
        <w:pStyle w:val="BodyText"/>
      </w:pPr>
    </w:p>
    <w:p>
      <w:pPr>
        <w:pStyle w:val="BodyText"/>
        <w:spacing w:before="10"/>
      </w:pPr>
    </w:p>
    <w:p>
      <w:pPr>
        <w:pStyle w:val="BodyText"/>
        <w:spacing w:line="333" w:lineRule="auto"/>
        <w:ind w:left="179" w:right="1500" w:firstLine="720"/>
      </w:pPr>
      <w:r>
        <w:rPr/>
        <w:t>In 2022, faculty women and men indicated a decrease in participation in the in-person training on MSU's RVSM policy, and staff women indicated an increase in participation in the online training about RVSM. As noted in Chapter 4, this change might have been due to the conversion of multiple in-person trainings to live, online trainings via Zoom because of COVID.</w:t>
      </w:r>
    </w:p>
    <w:p>
      <w:pPr>
        <w:pStyle w:val="BodyText"/>
        <w:spacing w:line="333" w:lineRule="auto" w:before="161"/>
        <w:ind w:left="179" w:right="1531" w:firstLine="720"/>
      </w:pPr>
      <w:r>
        <w:rPr/>
        <w:t>This chapter includes many comparisons between the 2019 and 2022 Know More @ MSU Campus Survey results; however, many more comparisons are possible. For example, a reader who is interested in making more specific comparisons for particular groups can do so by using data and results in this report and comparing them to comparable data and results in the 2019 Know More @ MSU</w:t>
      </w:r>
    </w:p>
    <w:p>
      <w:pPr>
        <w:spacing w:after="0" w:line="333" w:lineRule="auto"/>
        <w:sectPr>
          <w:pgSz w:w="12240" w:h="15840"/>
          <w:pgMar w:header="0" w:footer="592" w:top="1120" w:bottom="780" w:left="1260" w:right="0"/>
        </w:sectPr>
      </w:pPr>
    </w:p>
    <w:p>
      <w:pPr>
        <w:pStyle w:val="BodyText"/>
        <w:spacing w:before="7"/>
        <w:rPr>
          <w:sz w:val="17"/>
        </w:rPr>
      </w:pPr>
    </w:p>
    <w:p>
      <w:pPr>
        <w:pStyle w:val="BodyText"/>
        <w:spacing w:line="333" w:lineRule="auto" w:before="94"/>
        <w:ind w:left="180" w:right="1494"/>
      </w:pPr>
      <w:r>
        <w:rPr/>
        <w:t>Campus Survey Final Report</w:t>
      </w:r>
      <w:r>
        <w:rPr>
          <w:position w:val="5"/>
          <w:sz w:val="12"/>
        </w:rPr>
        <w:t>39 </w:t>
      </w:r>
      <w:r>
        <w:rPr/>
        <w:t>and the accompanying appendices.</w:t>
      </w:r>
      <w:r>
        <w:rPr>
          <w:position w:val="5"/>
          <w:sz w:val="12"/>
        </w:rPr>
        <w:t>40 </w:t>
      </w:r>
      <w:r>
        <w:rPr/>
        <w:t>For example, by reviewing the 2019 report and the associated and linked appendix tables, it is clear that 72.3% of undergraduate women who were involved in Greek life experienced sexual harassment during the 2018–2019 academic year, and the 95% confidence interval on that prevalence estimate ranges from 69.6% to 74.8%. By reviewing this report (2022) and the associated and linked appendix tables, we know that 64.3% of undergraduate women who were involved in Greek life experienced sexual harassment during the 2021–2022 academic year, and the 95% confidence interval on that prevalence estimate ranges from 61.0% to 67.5%. Since the 2019 and 2022 confidence intervals on the sexual harassment prevalence estimates being compared do not overlap, it can be concluded that undergraduate women who were involved in Greek life were less likely to experience sexual harassment during the 2021–2022 academic year than during the 2018–2019 academic year.</w:t>
      </w:r>
    </w:p>
    <w:p>
      <w:pPr>
        <w:pStyle w:val="BodyText"/>
        <w:spacing w:line="333" w:lineRule="auto" w:before="163"/>
        <w:ind w:left="180" w:right="1428" w:firstLine="720"/>
      </w:pPr>
      <w:r>
        <w:rPr/>
        <w:t>Overall, quite a few significant changes occurred from 2019 to 2022 at MSU, as indicated by statistically significant differences in the 2019 and 2022 Know More @ MSU Campus Survey results. Both undergraduate and graduate/professional students experienced a decrease in the prevalence of multiple types of victimization. Similarly, MSU faculty and staff experienced decreases in the prevalence of workplace incivility and workplace sexual harassment. In addition, from 2019 to 2022, a number of improvements occurred in terms of the climate or culture on campus, and there were considerable increases in awareness of offices and resources charged with addressing RVSM at MSU and in the participation in related trainings. The one area in which change was not detected was in the prevalence of disclosing victimization experiences to different groups, such as roommates, friends, and family; any MSU or off-campus office/organization; an MSU office; or an off-campus organization.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1"/>
        </w:rPr>
      </w:pPr>
      <w:r>
        <w:rPr/>
        <w:pict>
          <v:shape style="position:absolute;margin-left:72pt;margin-top:8.783789pt;width:144pt;height:.1pt;mso-position-horizontal-relative:page;mso-position-vertical-relative:paragraph;z-index:-251514880;mso-wrap-distance-left:0;mso-wrap-distance-right:0" coordorigin="1440,176" coordsize="2880,0" path="m1440,176l4320,176e" filled="false" stroked="true" strokeweight=".4pt" strokecolor="#000000">
            <v:path arrowok="t"/>
            <v:stroke dashstyle="solid"/>
            <w10:wrap type="topAndBottom"/>
          </v:shape>
        </w:pict>
      </w:r>
    </w:p>
    <w:p>
      <w:pPr>
        <w:spacing w:before="54"/>
        <w:ind w:left="193" w:right="0" w:firstLine="0"/>
        <w:jc w:val="left"/>
        <w:rPr>
          <w:sz w:val="18"/>
        </w:rPr>
      </w:pPr>
      <w:r>
        <w:rPr>
          <w:position w:val="4"/>
          <w:sz w:val="12"/>
        </w:rPr>
        <w:t>39 </w:t>
      </w:r>
      <w:r>
        <w:rPr>
          <w:sz w:val="18"/>
        </w:rPr>
        <w:t>Lindquist, C., Krebs, C., Witwer, A., Berzofsky, M., Lee, P., Zimmermann, S., &amp; Smith, A. (2019, November).</w:t>
      </w:r>
    </w:p>
    <w:p>
      <w:pPr>
        <w:spacing w:before="1"/>
        <w:ind w:left="452" w:right="3274" w:hanging="1"/>
        <w:jc w:val="left"/>
        <w:rPr>
          <w:sz w:val="18"/>
        </w:rPr>
      </w:pPr>
      <w:r>
        <w:rPr>
          <w:i/>
          <w:sz w:val="18"/>
        </w:rPr>
        <w:t>Findings from the KNOW MORE@MSU campus climate survey</w:t>
      </w:r>
      <w:r>
        <w:rPr>
          <w:sz w:val="18"/>
        </w:rPr>
        <w:t>. Michigan State University. </w:t>
      </w:r>
      <w:hyperlink r:id="rId242">
        <w:r>
          <w:rPr>
            <w:color w:val="1F419A"/>
            <w:spacing w:val="-1"/>
            <w:sz w:val="18"/>
            <w:u w:val="single" w:color="1F419A"/>
          </w:rPr>
          <w:t>https://civilrights.msu.edu/_assets/documents/MSUreport.pdf</w:t>
        </w:r>
        <w:r>
          <w:rPr>
            <w:color w:val="1F419A"/>
            <w:spacing w:val="-1"/>
            <w:sz w:val="18"/>
          </w:rPr>
          <w:t> </w:t>
        </w:r>
        <w:r>
          <w:rPr>
            <w:color w:val="1F419A"/>
            <w:spacing w:val="-7"/>
            <w:sz w:val="18"/>
          </w:rPr>
        </w:r>
      </w:hyperlink>
      <w:r>
        <w:rPr>
          <w:color w:val="1F419A"/>
          <w:spacing w:val="-7"/>
          <w:sz w:val="18"/>
        </w:rPr>
        <w:drawing>
          <wp:inline distT="0" distB="0" distL="0" distR="0">
            <wp:extent cx="100329" cy="100329"/>
            <wp:effectExtent l="0" t="0" r="0" b="0"/>
            <wp:docPr id="17" name="image5.png"/>
            <wp:cNvGraphicFramePr>
              <a:graphicFrameLocks noChangeAspect="1"/>
            </wp:cNvGraphicFramePr>
            <a:graphic>
              <a:graphicData uri="http://schemas.openxmlformats.org/drawingml/2006/picture">
                <pic:pic>
                  <pic:nvPicPr>
                    <pic:cNvPr id="18"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line="205" w:lineRule="exact" w:before="2"/>
        <w:ind w:left="193" w:right="0" w:firstLine="0"/>
        <w:jc w:val="left"/>
        <w:rPr>
          <w:sz w:val="18"/>
        </w:rPr>
      </w:pPr>
      <w:r>
        <w:rPr>
          <w:position w:val="4"/>
          <w:sz w:val="12"/>
        </w:rPr>
        <w:t>40 </w:t>
      </w:r>
      <w:r>
        <w:rPr>
          <w:sz w:val="18"/>
        </w:rPr>
        <w:t>Lindquist, C., Krebs, C., Witwer, A., Berzofsky, M., Lee, P., Zimmermann, S., &amp; Smith, A. (2019, November).</w:t>
      </w:r>
    </w:p>
    <w:p>
      <w:pPr>
        <w:spacing w:line="242" w:lineRule="auto" w:before="0"/>
        <w:ind w:left="452" w:right="2232" w:firstLine="0"/>
        <w:jc w:val="left"/>
        <w:rPr>
          <w:sz w:val="18"/>
        </w:rPr>
      </w:pPr>
      <w:r>
        <w:rPr>
          <w:i/>
          <w:sz w:val="18"/>
        </w:rPr>
        <w:t>Findings from the KNOW MORE@MSU campus climate survey: Appendices</w:t>
      </w:r>
      <w:r>
        <w:rPr>
          <w:sz w:val="18"/>
        </w:rPr>
        <w:t>. Michigan State University. </w:t>
      </w:r>
      <w:hyperlink r:id="rId243">
        <w:r>
          <w:rPr>
            <w:color w:val="1F419A"/>
            <w:spacing w:val="-1"/>
            <w:sz w:val="18"/>
            <w:u w:val="single" w:color="1F419A"/>
          </w:rPr>
          <w:t>https://civilrights.msu.edu/_assets/documents/MSUreportApps.pdf</w:t>
        </w:r>
        <w:r>
          <w:rPr>
            <w:color w:val="1F419A"/>
            <w:spacing w:val="-1"/>
            <w:sz w:val="18"/>
          </w:rPr>
          <w:t> </w:t>
        </w:r>
        <w:r>
          <w:rPr>
            <w:color w:val="1F419A"/>
            <w:spacing w:val="-4"/>
            <w:sz w:val="18"/>
          </w:rPr>
        </w:r>
      </w:hyperlink>
      <w:r>
        <w:rPr>
          <w:color w:val="1F419A"/>
          <w:spacing w:val="-4"/>
          <w:sz w:val="18"/>
        </w:rPr>
        <w:drawing>
          <wp:inline distT="0" distB="0" distL="0" distR="0">
            <wp:extent cx="100329" cy="100329"/>
            <wp:effectExtent l="0" t="0" r="0" b="0"/>
            <wp:docPr id="19" name="image5.png"/>
            <wp:cNvGraphicFramePr>
              <a:graphicFrameLocks noChangeAspect="1"/>
            </wp:cNvGraphicFramePr>
            <a:graphic>
              <a:graphicData uri="http://schemas.openxmlformats.org/drawingml/2006/picture">
                <pic:pic>
                  <pic:nvPicPr>
                    <pic:cNvPr id="20" name="image5.png"/>
                    <pic:cNvPicPr/>
                  </pic:nvPicPr>
                  <pic:blipFill>
                    <a:blip r:embed="rId17" cstate="print"/>
                    <a:stretch>
                      <a:fillRect/>
                    </a:stretch>
                  </pic:blipFill>
                  <pic:spPr>
                    <a:xfrm>
                      <a:off x="0" y="0"/>
                      <a:ext cx="100329" cy="100329"/>
                    </a:xfrm>
                    <a:prstGeom prst="rect">
                      <a:avLst/>
                    </a:prstGeom>
                  </pic:spPr>
                </pic:pic>
              </a:graphicData>
            </a:graphic>
          </wp:inline>
        </w:drawing>
      </w:r>
    </w:p>
    <w:p>
      <w:pPr>
        <w:spacing w:after="0" w:line="242" w:lineRule="auto"/>
        <w:jc w:val="left"/>
        <w:rPr>
          <w:sz w:val="18"/>
        </w:rPr>
        <w:sectPr>
          <w:pgSz w:w="12240" w:h="15840"/>
          <w:pgMar w:header="0" w:footer="592" w:top="1120" w:bottom="780" w:left="1260" w:right="0"/>
        </w:sectPr>
      </w:pPr>
    </w:p>
    <w:p>
      <w:pPr>
        <w:pStyle w:val="Heading2"/>
        <w:numPr>
          <w:ilvl w:val="0"/>
          <w:numId w:val="4"/>
        </w:numPr>
        <w:tabs>
          <w:tab w:pos="1043" w:val="left" w:leader="none"/>
          <w:tab w:pos="1044" w:val="left" w:leader="none"/>
        </w:tabs>
        <w:spacing w:line="240" w:lineRule="auto" w:before="78" w:after="0"/>
        <w:ind w:left="1043" w:right="0" w:hanging="864"/>
        <w:jc w:val="left"/>
      </w:pPr>
      <w:r>
        <w:rPr/>
        <w:pict>
          <v:group style="position:absolute;margin-left:0pt;margin-top:757pt;width:612pt;height:.4pt;mso-position-horizontal-relative:page;mso-position-vertical-relative:page;z-index:251802624" coordorigin="0,15140" coordsize="12240,8">
            <v:line style="position:absolute" from="0,15144" to="1348,15144" stroked="true" strokeweight=".4pt" strokecolor="#09357d">
              <v:stroke dashstyle="solid"/>
            </v:line>
            <v:rect style="position:absolute;left:1348;top:15140;width:8;height:8" filled="true" fillcolor="#09357d" stroked="false">
              <v:fill type="solid"/>
            </v:rect>
            <v:line style="position:absolute" from="1356,15144" to="8460,15144" stroked="true" strokeweight=".4pt" strokecolor="#09357d">
              <v:stroke dashstyle="solid"/>
            </v:line>
            <v:rect style="position:absolute;left:8460;top:15140;width:8;height:8" filled="true" fillcolor="#09357d" stroked="false">
              <v:fill type="solid"/>
            </v:rect>
            <v:line style="position:absolute" from="8468,15144" to="9720,15144" stroked="true" strokeweight=".4pt" strokecolor="#09357d">
              <v:stroke dashstyle="solid"/>
            </v:line>
            <v:rect style="position:absolute;left:9720;top:15140;width:8;height:8" filled="true" fillcolor="#09357d" stroked="false">
              <v:fill type="solid"/>
            </v:rect>
            <v:line style="position:absolute" from="9728,15144" to="10892,15144" stroked="true" strokeweight=".4pt" strokecolor="#09357d">
              <v:stroke dashstyle="solid"/>
            </v:line>
            <v:rect style="position:absolute;left:10892;top:15140;width:9;height:8" filled="true" fillcolor="#0f52c1" stroked="false">
              <v:fill type="solid"/>
            </v:rect>
            <v:line style="position:absolute" from="10900,15144" to="12240,15144" stroked="true" strokeweight=".4pt" strokecolor="#0f52c1">
              <v:stroke dashstyle="solid"/>
            </v:line>
            <w10:wrap type="none"/>
          </v:group>
        </w:pict>
      </w:r>
      <w:bookmarkStart w:name="6. Conclusions" w:id="59"/>
      <w:bookmarkEnd w:id="59"/>
      <w:r>
        <w:rPr>
          <w:b w:val="0"/>
        </w:rPr>
      </w:r>
      <w:bookmarkStart w:name="6. Conclusions" w:id="60"/>
      <w:bookmarkEnd w:id="60"/>
      <w:r>
        <w:rPr>
          <w:color w:val="09357D"/>
        </w:rPr>
        <w:t>Conc</w:t>
      </w:r>
      <w:r>
        <w:rPr>
          <w:color w:val="09357D"/>
        </w:rPr>
        <w:t>lusions</w:t>
      </w:r>
    </w:p>
    <w:p>
      <w:pPr>
        <w:pStyle w:val="BodyText"/>
        <w:spacing w:line="333" w:lineRule="auto" w:before="228"/>
        <w:ind w:left="179" w:right="1454" w:firstLine="720"/>
      </w:pPr>
      <w:r>
        <w:rPr/>
        <w:t>Data from the 2022 Know More @ MSU Campus Survey provide a breadth of information that the MSU community can use to enhance its RVSM policies, prevention programming, and services to survivors, as well as to target specific areas of the campus climate and culture for potential improvements. In addition, comparisons between the 2019 and 2022 results enable MSU to document whether and how things have changed in the past 3 years. The results in Chapter 5 indicate that the prevalence of several types of victimization has decreased, most measures of climate and culture have improved, and awareness of various trainings and policies has increased. As noted previously, the time period covered by the 2022 survey includes times in which university operations were affected by the COVID-19 pandemic. We are unable to identify exactly how these unprecedented conditions may have influenced the results of this survey, though </w:t>
      </w:r>
      <w:r>
        <w:rPr>
          <w:spacing w:val="-3"/>
        </w:rPr>
        <w:t>we </w:t>
      </w:r>
      <w:r>
        <w:rPr/>
        <w:t>do believe it is important contextual</w:t>
      </w:r>
      <w:r>
        <w:rPr>
          <w:spacing w:val="-18"/>
        </w:rPr>
        <w:t> </w:t>
      </w:r>
      <w:r>
        <w:rPr/>
        <w:t>information.</w:t>
      </w:r>
    </w:p>
    <w:p>
      <w:pPr>
        <w:pStyle w:val="BodyText"/>
        <w:spacing w:line="333" w:lineRule="auto" w:before="163"/>
        <w:ind w:left="179" w:right="1476" w:firstLine="720"/>
      </w:pPr>
      <w:r>
        <w:rPr/>
        <w:t>The 2022 survey identified multiple strengths, including high awareness of MSU-specific resources and programs related to RVSM. Certain aspects of climate, particularly trust in the upper administration at MSU, remain relatively low and likely need sustained effort to improve—but results on this measure have improved since 2019. Additional research focused on cisgender women faculty; cisgender women graduate and professional students; cisgender women undergraduates; and transgender and/or nonbinary students, faculty, and staff may be necessary to understand the perceptions and experiences of these members of the MSU community, who provided the lowest campus climate ratings, and to identify and address areas in need of improvement.</w:t>
      </w:r>
    </w:p>
    <w:p>
      <w:pPr>
        <w:pStyle w:val="BodyText"/>
        <w:spacing w:line="333" w:lineRule="auto" w:before="163"/>
        <w:ind w:left="180" w:right="1463" w:firstLine="720"/>
      </w:pPr>
      <w:r>
        <w:rPr/>
        <w:t>A positive note is that the survey demonstrated fairly good reach and awareness of MSU’s training efforts about RVSM, showing that sizeable proportions of students, faculty, and staff have been trained in many key topics and recalled participating in MSU-specific programs. However, survey results also suggest that some improvements in the school’s training efforts are warranted, particularly more interactive approaches (or other improvements to increasing the utility of the online training) and efforts to ensure that all members of the MSU community engage with and remember completing required training.</w:t>
      </w:r>
    </w:p>
    <w:p>
      <w:pPr>
        <w:pStyle w:val="BodyText"/>
        <w:spacing w:line="333" w:lineRule="auto" w:before="162"/>
        <w:ind w:left="179" w:right="1430" w:firstLine="720"/>
      </w:pPr>
      <w:r>
        <w:rPr/>
        <w:t>The survey was also useful in documenting the extent and nature of numerous forms of RVSM that MSU undergraduate, graduate, and professional students experienced. Sexual harassment was quite prevalent among all student populations; the high rates suggest the need for prevention programming targeting the specific behaviors that students experienced with some frequency. It is important to note, however, that the prevalence of sexual harassment has declined significantly since 2019. Rates of sexual assault, student disclosure, and help-seeking from an MSU office or resource in the aftermath of a sexual assault incident have not changed significantly since 2019; however, the rates of disclosure at MSU, especially for rape incidents, were already fairly high compared to those at other universities. Generally, higher rates of disclosure are considered a good sign because they indicate that more survivors are reaching out, learning about their options, and getting connected to other services. MSU, therefore, has the opportunity to directly support many of the MSU students who experience sexual assault in a given year (in contrast to schools with very low rates of student disclosure to a school office, where the vast majority of incidents never come to the school’s attention). Rape incidents clearly affected survivors in</w:t>
      </w:r>
    </w:p>
    <w:p>
      <w:pPr>
        <w:pStyle w:val="BodyText"/>
      </w:pPr>
    </w:p>
    <w:p>
      <w:pPr>
        <w:pStyle w:val="BodyText"/>
      </w:pPr>
    </w:p>
    <w:p>
      <w:pPr>
        <w:pStyle w:val="BodyText"/>
      </w:pPr>
    </w:p>
    <w:p>
      <w:pPr>
        <w:pStyle w:val="BodyText"/>
        <w:spacing w:before="5"/>
        <w:rPr>
          <w:sz w:val="21"/>
        </w:rPr>
      </w:pPr>
    </w:p>
    <w:p>
      <w:pPr>
        <w:tabs>
          <w:tab w:pos="8547" w:val="left" w:leader="none"/>
        </w:tabs>
        <w:spacing w:before="149"/>
        <w:ind w:left="175" w:right="0" w:firstLine="0"/>
        <w:jc w:val="left"/>
        <w:rPr>
          <w:rFonts w:ascii="Arial Narrow"/>
          <w:b/>
          <w:sz w:val="16"/>
        </w:rPr>
      </w:pPr>
      <w:r>
        <w:rPr/>
        <w:pict>
          <v:shape style="position:absolute;margin-left:544.599976pt;margin-top:2.746093pt;width:67.4pt;height:16pt;mso-position-horizontal-relative:page;mso-position-vertical-relative:paragraph;z-index:251803648" type="#_x0000_t202" filled="true" fillcolor="#09357d" stroked="false">
            <v:textbox inset="0,0,0,0">
              <w:txbxContent>
                <w:p>
                  <w:pPr>
                    <w:pStyle w:val="BodyText"/>
                    <w:spacing w:before="44"/>
                    <w:ind w:left="83"/>
                    <w:rPr>
                      <w:rFonts w:ascii="Arial Narrow"/>
                    </w:rPr>
                  </w:pPr>
                  <w:r>
                    <w:rPr>
                      <w:rFonts w:ascii="Arial Narrow"/>
                      <w:color w:val="FFFFFF"/>
                    </w:rPr>
                    <w:t>97</w:t>
                  </w:r>
                </w:p>
              </w:txbxContent>
            </v:textbox>
            <v:fill type="solid"/>
            <w10:wrap type="none"/>
          </v:shape>
        </w:pict>
      </w:r>
      <w:r>
        <w:rPr>
          <w:rFonts w:ascii="Arial Narrow"/>
          <w:b/>
          <w:color w:val="09357D"/>
          <w:sz w:val="16"/>
        </w:rPr>
        <w:t>Findings from the Know More @ MSU</w:t>
      </w:r>
      <w:r>
        <w:rPr>
          <w:rFonts w:ascii="Arial Narrow"/>
          <w:b/>
          <w:color w:val="09357D"/>
          <w:spacing w:val="-22"/>
          <w:sz w:val="16"/>
        </w:rPr>
        <w:t> </w:t>
      </w:r>
      <w:r>
        <w:rPr>
          <w:rFonts w:ascii="Arial Narrow"/>
          <w:b/>
          <w:color w:val="09357D"/>
          <w:sz w:val="16"/>
        </w:rPr>
        <w:t>Campus Survey</w:t>
        <w:tab/>
        <w:t>November</w:t>
      </w:r>
      <w:r>
        <w:rPr>
          <w:rFonts w:ascii="Arial Narrow"/>
          <w:b/>
          <w:color w:val="09357D"/>
          <w:spacing w:val="-1"/>
          <w:sz w:val="16"/>
        </w:rPr>
        <w:t> </w:t>
      </w:r>
      <w:r>
        <w:rPr>
          <w:rFonts w:ascii="Arial Narrow"/>
          <w:b/>
          <w:color w:val="09357D"/>
          <w:sz w:val="16"/>
        </w:rPr>
        <w:t>2022</w:t>
      </w:r>
    </w:p>
    <w:p>
      <w:pPr>
        <w:spacing w:after="0"/>
        <w:jc w:val="left"/>
        <w:rPr>
          <w:rFonts w:ascii="Arial Narrow"/>
          <w:sz w:val="16"/>
        </w:rPr>
        <w:sectPr>
          <w:headerReference w:type="default" r:id="rId244"/>
          <w:footerReference w:type="default" r:id="rId245"/>
          <w:pgSz w:w="12240" w:h="15840"/>
          <w:pgMar w:header="0" w:footer="0" w:top="1120" w:bottom="0" w:left="1260" w:right="0"/>
        </w:sectPr>
      </w:pPr>
    </w:p>
    <w:p>
      <w:pPr>
        <w:pStyle w:val="BodyText"/>
        <w:spacing w:before="7"/>
        <w:rPr>
          <w:rFonts w:ascii="Arial Narrow"/>
          <w:b/>
          <w:sz w:val="17"/>
        </w:rPr>
      </w:pPr>
      <w:r>
        <w:rPr/>
        <w:pict>
          <v:group style="position:absolute;margin-left:0pt;margin-top:748.400024pt;width:612pt;height:.4pt;mso-position-horizontal-relative:page;mso-position-vertical-relative:page;z-index:251804672" coordorigin="0,14968" coordsize="12240,8">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68;width:9;height:8" filled="true" fillcolor="#0f52c1" stroked="false">
              <v:fill type="solid"/>
            </v:rect>
            <v:line style="position:absolute" from="10900,14972" to="12240,14972" stroked="true" strokeweight=".4pt" strokecolor="#0f52c1">
              <v:stroke dashstyle="solid"/>
            </v:line>
            <w10:wrap type="none"/>
          </v:group>
        </w:pict>
      </w:r>
    </w:p>
    <w:p>
      <w:pPr>
        <w:pStyle w:val="BodyText"/>
        <w:spacing w:line="333" w:lineRule="auto" w:before="94"/>
        <w:ind w:left="180" w:right="1630"/>
      </w:pPr>
      <w:r>
        <w:rPr/>
        <w:t>many ways, which suggests an important role for MSU offices and programs in supporting students to mitigate some of the negative impacts of these incidents. On the other hand, with fairly high disclosure rates, the resources and response protocols must be in place to ensure that MSU’s responses to survivors are appropriate and beneficial. The majority of survivors perceived that the support they received from MSU was helpful, but faculty and staff identified a number of needed improvements, including more timeliness and transparency/information sharing during investigations, more consistency in the application of policies, and more counseling resources for students.</w:t>
      </w:r>
    </w:p>
    <w:p>
      <w:pPr>
        <w:pStyle w:val="BodyText"/>
        <w:spacing w:line="333" w:lineRule="auto" w:before="162"/>
        <w:ind w:left="180" w:right="1478" w:firstLine="720"/>
      </w:pPr>
      <w:r>
        <w:rPr/>
        <w:t>Among faculty and staff, workplace incivility was fairly common (the majority of all faculty and staff had experienced at least some workplace incivility; cisgender women faculty and staff indicated experiencing more incivility than cisgender men), but the prevalence of workplace incivility has decreased significantly since 2019. Work-related sexual harassment was fairly common as well, but the prevalence of sexual harassment has also declined since 2019. The rates of workplace incivility and work-related sexual harassment are consistent with comments made by faculty and staff in the open-ended responses (the need for a holistic effort to address gender and racial discrimination and create a more inclusive, respectful environment at MSU), but the significant decreases in the prevalence of these behaviors indicate that things are moving in the right direction at</w:t>
      </w:r>
      <w:r>
        <w:rPr>
          <w:spacing w:val="-5"/>
        </w:rPr>
        <w:t> </w:t>
      </w:r>
      <w:r>
        <w:rPr/>
        <w:t>MSU.</w:t>
      </w:r>
    </w:p>
    <w:p>
      <w:pPr>
        <w:pStyle w:val="BodyText"/>
        <w:spacing w:line="333" w:lineRule="auto" w:before="163"/>
        <w:ind w:left="180" w:right="1552" w:firstLine="720"/>
      </w:pPr>
      <w:r>
        <w:rPr/>
        <w:t>Finally, the disproportionate victimization of students, faculty, and staff who have a documented or diagnosed disability and/or who are gay, lesbian, bisexual, pansexual, or queer suggests the potential need for additional or new prevention programming to help these subgroups, along with efforts to ensure that MSU’s support services and survivor responses are tailored and appropriate. Similarly, the experiences of transgender and/or nonbinary students, faculty, and staff merit further attention to ensure that responses provided by MSU offices and programs are appropriate.</w:t>
      </w:r>
    </w:p>
    <w:p>
      <w:pPr>
        <w:pStyle w:val="BodyText"/>
        <w:spacing w:line="333" w:lineRule="auto" w:before="162"/>
        <w:ind w:left="179" w:right="1634" w:firstLine="720"/>
      </w:pPr>
      <w:r>
        <w:rPr/>
        <w:t>MSU will be delving into and using the findings presented in this report to inform its effort to continually improve the MSU campus; MSU’s related policies and procedures; and the environment and culture for all students, faculty, staff, and visitors. The MSU community has faced challenges related to RVSM, and the </w:t>
      </w:r>
      <w:hyperlink r:id="rId30">
        <w:r>
          <w:rPr>
            <w:color w:val="1F419A"/>
            <w:u w:val="single" w:color="1F419A"/>
          </w:rPr>
          <w:t>2019</w:t>
        </w:r>
        <w:r>
          <w:rPr>
            <w:color w:val="1F419A"/>
          </w:rPr>
          <w:t> </w:t>
        </w:r>
      </w:hyperlink>
      <w:r>
        <w:rPr/>
        <w:t>and 2022 Know More @ MSU Campus Survey efforts are informing MSU’s </w:t>
      </w:r>
      <w:hyperlink r:id="rId31">
        <w:r>
          <w:rPr>
            <w:color w:val="1F419A"/>
            <w:u w:val="single" w:color="1F419A"/>
          </w:rPr>
          <w:t>RVSM</w:t>
        </w:r>
      </w:hyperlink>
      <w:r>
        <w:rPr>
          <w:color w:val="1F419A"/>
        </w:rPr>
        <w:t> </w:t>
      </w:r>
      <w:hyperlink r:id="rId31">
        <w:r>
          <w:rPr>
            <w:color w:val="1F419A"/>
            <w:u w:val="single" w:color="1F419A"/>
          </w:rPr>
          <w:t>Strategic Plan</w:t>
        </w:r>
        <w:r>
          <w:rPr>
            <w:color w:val="1F419A"/>
          </w:rPr>
          <w:t> </w:t>
        </w:r>
      </w:hyperlink>
      <w:r>
        <w:rPr/>
        <w:t>and its related initiatives, which include expanding trauma-informed services; building a trauma-informed culture; strengthening RVSM policy violation, sanction, and discipline processes; assessing resources and support for respondents; strengthening RVSM prevention programming; creating respectful work environments; and promoting accountability. Those interested in tracking progress on the strategic plan can monitor this </w:t>
      </w:r>
      <w:hyperlink r:id="rId32">
        <w:r>
          <w:rPr>
            <w:color w:val="1F419A"/>
            <w:u w:val="single" w:color="1F419A"/>
          </w:rPr>
          <w:t>dashboard</w:t>
        </w:r>
      </w:hyperlink>
      <w:r>
        <w:rPr/>
        <w:t>. The </w:t>
      </w:r>
      <w:hyperlink r:id="rId30">
        <w:r>
          <w:rPr>
            <w:color w:val="1F419A"/>
            <w:u w:val="single" w:color="1F419A"/>
          </w:rPr>
          <w:t>2019</w:t>
        </w:r>
        <w:r>
          <w:rPr>
            <w:color w:val="1F419A"/>
          </w:rPr>
          <w:t> </w:t>
        </w:r>
      </w:hyperlink>
      <w:r>
        <w:rPr/>
        <w:t>and 2022 Know More @ MSU Campus Survey efforts reflect MSU’s interest in transparency and recognition of the importance of collecting and using valid data as a means of assessing progress toward our ambitious and laudable mission to improve MSU for everyone.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7"/>
        </w:rPr>
      </w:pPr>
    </w:p>
    <w:p>
      <w:pPr>
        <w:tabs>
          <w:tab w:pos="8547" w:val="left" w:leader="none"/>
        </w:tabs>
        <w:spacing w:before="145"/>
        <w:ind w:left="175" w:right="0" w:firstLine="0"/>
        <w:jc w:val="left"/>
        <w:rPr>
          <w:rFonts w:ascii="Arial Narrow"/>
          <w:b/>
          <w:sz w:val="16"/>
        </w:rPr>
      </w:pPr>
      <w:r>
        <w:rPr/>
        <w:pict>
          <v:shape style="position:absolute;margin-left:544.599976pt;margin-top:2.546094pt;width:67.4pt;height:16pt;mso-position-horizontal-relative:page;mso-position-vertical-relative:paragraph;z-index:251805696" type="#_x0000_t202" filled="true" fillcolor="#09357d" stroked="false">
            <v:textbox inset="0,0,0,0">
              <w:txbxContent>
                <w:p>
                  <w:pPr>
                    <w:pStyle w:val="BodyText"/>
                    <w:spacing w:before="48"/>
                    <w:ind w:left="83"/>
                    <w:rPr>
                      <w:rFonts w:ascii="Arial Narrow"/>
                    </w:rPr>
                  </w:pPr>
                  <w:r>
                    <w:rPr>
                      <w:rFonts w:ascii="Arial Narrow"/>
                      <w:color w:val="FFFFFF"/>
                    </w:rPr>
                    <w:t>98</w:t>
                  </w:r>
                </w:p>
              </w:txbxContent>
            </v:textbox>
            <v:fill type="solid"/>
            <w10:wrap type="none"/>
          </v:shape>
        </w:pict>
      </w:r>
      <w:r>
        <w:rPr>
          <w:rFonts w:ascii="Arial Narrow"/>
          <w:b/>
          <w:color w:val="09357D"/>
          <w:sz w:val="16"/>
        </w:rPr>
        <w:t>Findings from the Know More @ MSU</w:t>
      </w:r>
      <w:r>
        <w:rPr>
          <w:rFonts w:ascii="Arial Narrow"/>
          <w:b/>
          <w:color w:val="09357D"/>
          <w:spacing w:val="-22"/>
          <w:sz w:val="16"/>
        </w:rPr>
        <w:t> </w:t>
      </w:r>
      <w:r>
        <w:rPr>
          <w:rFonts w:ascii="Arial Narrow"/>
          <w:b/>
          <w:color w:val="09357D"/>
          <w:sz w:val="16"/>
        </w:rPr>
        <w:t>Campus Survey</w:t>
        <w:tab/>
        <w:t>November</w:t>
      </w:r>
      <w:r>
        <w:rPr>
          <w:rFonts w:ascii="Arial Narrow"/>
          <w:b/>
          <w:color w:val="09357D"/>
          <w:spacing w:val="-1"/>
          <w:sz w:val="16"/>
        </w:rPr>
        <w:t> </w:t>
      </w:r>
      <w:r>
        <w:rPr>
          <w:rFonts w:ascii="Arial Narrow"/>
          <w:b/>
          <w:color w:val="09357D"/>
          <w:sz w:val="16"/>
        </w:rPr>
        <w:t>2022</w:t>
      </w:r>
    </w:p>
    <w:sectPr>
      <w:headerReference w:type="default" r:id="rId246"/>
      <w:footerReference w:type="default" r:id="rId247"/>
      <w:pgSz w:w="12240" w:h="15840"/>
      <w:pgMar w:header="0" w:footer="0" w:top="1120" w:bottom="280" w:left="12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Narrow">
    <w:altName w:val="Arial Narrow"/>
    <w:charset w:val="0"/>
    <w:family w:val="swiss"/>
    <w:pitch w:val="variable"/>
  </w:font>
  <w:font w:name="Calibri">
    <w:altName w:val="Calibri"/>
    <w:charset w:val="0"/>
    <w:family w:val="swiss"/>
    <w:pitch w:val="variable"/>
  </w:font>
  <w:font w:name="Verdana">
    <w:altName w:val="Verdana"/>
    <w:charset w:val="0"/>
    <w:family w:val="swiss"/>
    <w:pitch w:val="variable"/>
  </w:font>
  <w:font w:name="Courier New">
    <w:altName w:val="Courier New"/>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101568"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64pt;height:13.5pt;mso-position-horizontal-relative:page;mso-position-vertical-relative:page;z-index:-261100544"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rFonts w:ascii="Arial Narrow"/>
                    <w:color w:val="FFFFFF"/>
                    <w:position w:val="1"/>
                    <w:sz w:val="20"/>
                  </w:rPr>
                  <w:t>ii</w:t>
                </w:r>
              </w:p>
            </w:txbxContent>
          </v:textbox>
          <w10:wrap type="none"/>
        </v:shape>
      </w:pict>
    </w:r>
    <w:r>
      <w:rPr/>
      <w:pict>
        <v:shape style="position:absolute;margin-left:70.800003pt;margin-top:752.515625pt;width:170.5pt;height:11.2pt;mso-position-horizontal-relative:page;mso-position-vertical-relative:page;z-index:-261099520"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50368"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71.6pt;height:13.5pt;mso-position-horizontal-relative:page;mso-position-vertical-relative:page;z-index:-261049344"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fldChar w:fldCharType="begin"/>
                </w:r>
                <w:r>
                  <w:rPr>
                    <w:rFonts w:ascii="Arial Narrow"/>
                    <w:color w:val="FFFFFF"/>
                    <w:position w:val="1"/>
                    <w:sz w:val="20"/>
                  </w:rPr>
                  <w:instrText> PAGE </w:instrText>
                </w:r>
                <w:r>
                  <w:rPr/>
                  <w:fldChar w:fldCharType="separate"/>
                </w:r>
                <w:r>
                  <w:rPr/>
                  <w:t>14</w:t>
                </w:r>
                <w:r>
                  <w:rPr/>
                  <w:fldChar w:fldCharType="end"/>
                </w:r>
              </w:p>
            </w:txbxContent>
          </v:textbox>
          <w10:wrap type="none"/>
        </v:shape>
      </w:pict>
    </w:r>
    <w:r>
      <w:rPr/>
      <w:pict>
        <v:shape style="position:absolute;margin-left:70.800003pt;margin-top:752.515625pt;width:170.4pt;height:11.2pt;mso-position-horizontal-relative:page;mso-position-vertical-relative:page;z-index:-261048320"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43200"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71.6pt;height:13.5pt;mso-position-horizontal-relative:page;mso-position-vertical-relative:page;z-index:-261042176"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fldChar w:fldCharType="begin"/>
                </w:r>
                <w:r>
                  <w:rPr>
                    <w:rFonts w:ascii="Arial Narrow"/>
                    <w:color w:val="FFFFFF"/>
                    <w:position w:val="1"/>
                    <w:sz w:val="20"/>
                  </w:rPr>
                  <w:instrText> PAGE </w:instrText>
                </w:r>
                <w:r>
                  <w:rPr/>
                  <w:fldChar w:fldCharType="separate"/>
                </w:r>
                <w:r>
                  <w:rPr/>
                  <w:t>57</w:t>
                </w:r>
                <w:r>
                  <w:rPr/>
                  <w:fldChar w:fldCharType="end"/>
                </w:r>
              </w:p>
            </w:txbxContent>
          </v:textbox>
          <w10:wrap type="none"/>
        </v:shape>
      </w:pict>
    </w:r>
    <w:r>
      <w:rPr/>
      <w:pict>
        <v:shape style="position:absolute;margin-left:70.800003pt;margin-top:752.515625pt;width:170.4pt;height:11.2pt;mso-position-horizontal-relative:page;mso-position-vertical-relative:page;z-index:-261041152"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96448"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90.299988pt;margin-top:750.244507pt;width:69.3pt;height:13.5pt;mso-position-horizontal-relative:page;mso-position-vertical-relative:page;z-index:-261095424" type="#_x0000_t202" filled="false" stroked="false">
          <v:textbox inset="0,0,0,0">
            <w:txbxContent>
              <w:p>
                <w:pPr>
                  <w:spacing w:before="17"/>
                  <w:ind w:left="20" w:right="0" w:firstLine="0"/>
                  <w:jc w:val="left"/>
                  <w:rPr>
                    <w:rFonts w:ascii="Arial Narrow"/>
                    <w:sz w:val="20"/>
                  </w:rPr>
                </w:pPr>
                <w:r>
                  <w:rPr>
                    <w:rFonts w:ascii="Arial Narrow"/>
                    <w:b/>
                    <w:color w:val="09357D"/>
                    <w:sz w:val="16"/>
                  </w:rPr>
                  <w:t>November 2022 </w:t>
                </w:r>
                <w:r>
                  <w:rPr/>
                  <w:fldChar w:fldCharType="begin"/>
                </w:r>
                <w:r>
                  <w:rPr>
                    <w:rFonts w:ascii="Arial Narrow"/>
                    <w:color w:val="FFFFFF"/>
                    <w:position w:val="1"/>
                    <w:sz w:val="20"/>
                  </w:rPr>
                  <w:instrText> PAGE  \* roman </w:instrText>
                </w:r>
                <w:r>
                  <w:rPr/>
                  <w:fldChar w:fldCharType="separate"/>
                </w:r>
                <w:r>
                  <w:rPr/>
                  <w:t>vii</w:t>
                </w:r>
                <w:r>
                  <w:rPr/>
                  <w:fldChar w:fldCharType="end"/>
                </w:r>
              </w:p>
            </w:txbxContent>
          </v:textbox>
          <w10:wrap type="none"/>
        </v:shape>
      </w:pict>
    </w:r>
    <w:r>
      <w:rPr/>
      <w:pict>
        <v:shape style="position:absolute;margin-left:71.699997pt;margin-top:752.515625pt;width:199.3pt;height:11.2pt;mso-position-horizontal-relative:page;mso-position-vertical-relative:page;z-index:-261094400"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MORE@MSU Campus Climate Survey</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91328"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80.6pt;height:13.5pt;mso-position-horizontal-relative:page;mso-position-vertical-relative:page;z-index:-261090304"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rFonts w:ascii="Arial Narrow"/>
                    <w:color w:val="FFFFFF"/>
                    <w:position w:val="1"/>
                    <w:sz w:val="20"/>
                  </w:rPr>
                  <w:t>ES-</w:t>
                </w:r>
                <w:r>
                  <w:rPr/>
                  <w:fldChar w:fldCharType="begin"/>
                </w:r>
                <w:r>
                  <w:rPr>
                    <w:rFonts w:ascii="Arial Narrow"/>
                    <w:color w:val="FFFFFF"/>
                    <w:position w:val="1"/>
                    <w:sz w:val="20"/>
                  </w:rPr>
                  <w:instrText> PAGE </w:instrText>
                </w:r>
                <w:r>
                  <w:rPr/>
                  <w:fldChar w:fldCharType="separate"/>
                </w:r>
                <w:r>
                  <w:rPr/>
                  <w:t>1</w:t>
                </w:r>
                <w:r>
                  <w:rPr/>
                  <w:fldChar w:fldCharType="end"/>
                </w:r>
              </w:p>
            </w:txbxContent>
          </v:textbox>
          <w10:wrap type="none"/>
        </v:shape>
      </w:pict>
    </w:r>
    <w:r>
      <w:rPr/>
      <w:pict>
        <v:shape style="position:absolute;margin-left:70.800003pt;margin-top:752.515625pt;width:170.45pt;height:11.2pt;mso-position-horizontal-relative:page;mso-position-vertical-relative:page;z-index:-261089280"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86208"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67pt;height:13.5pt;mso-position-horizontal-relative:page;mso-position-vertical-relative:page;z-index:-261085184"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fldChar w:fldCharType="begin"/>
                </w:r>
                <w:r>
                  <w:rPr>
                    <w:rFonts w:ascii="Arial Narrow"/>
                    <w:color w:val="FFFFFF"/>
                    <w:position w:val="1"/>
                    <w:sz w:val="20"/>
                  </w:rPr>
                  <w:instrText> PAGE </w:instrText>
                </w:r>
                <w:r>
                  <w:rPr/>
                  <w:fldChar w:fldCharType="separate"/>
                </w:r>
                <w:r>
                  <w:rPr/>
                  <w:t>1</w:t>
                </w:r>
                <w:r>
                  <w:rPr/>
                  <w:fldChar w:fldCharType="end"/>
                </w:r>
              </w:p>
            </w:txbxContent>
          </v:textbox>
          <w10:wrap type="none"/>
        </v:shape>
      </w:pict>
    </w:r>
    <w:r>
      <w:rPr/>
      <w:pict>
        <v:shape style="position:absolute;margin-left:70.800003pt;margin-top:752.515625pt;width:170.5pt;height:11.2pt;mso-position-horizontal-relative:page;mso-position-vertical-relative:page;z-index:-261084160"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79040"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67pt;height:13.5pt;mso-position-horizontal-relative:page;mso-position-vertical-relative:page;z-index:-261078016"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fldChar w:fldCharType="begin"/>
                </w:r>
                <w:r>
                  <w:rPr>
                    <w:rFonts w:ascii="Arial Narrow"/>
                    <w:color w:val="FFFFFF"/>
                    <w:position w:val="1"/>
                    <w:sz w:val="20"/>
                  </w:rPr>
                  <w:instrText> PAGE </w:instrText>
                </w:r>
                <w:r>
                  <w:rPr/>
                  <w:fldChar w:fldCharType="separate"/>
                </w:r>
                <w:r>
                  <w:rPr/>
                  <w:t>6</w:t>
                </w:r>
                <w:r>
                  <w:rPr/>
                  <w:fldChar w:fldCharType="end"/>
                </w:r>
              </w:p>
            </w:txbxContent>
          </v:textbox>
          <w10:wrap type="none"/>
        </v:shape>
      </w:pict>
    </w:r>
    <w:r>
      <w:rPr/>
      <w:pict>
        <v:shape style="position:absolute;margin-left:70.800003pt;margin-top:752.515625pt;width:170.5pt;height:11.2pt;mso-position-horizontal-relative:page;mso-position-vertical-relative:page;z-index:-261076992"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748.400024pt;width:612pt;height:16.4pt;mso-position-horizontal-relative:page;mso-position-vertical-relative:page;z-index:-261071872" coordorigin="0,14968" coordsize="12240,328">
          <v:shape style="position:absolute;left:10892;top:14980;width:1348;height:316" coordorigin="10892,14980" coordsize="1348,316" path="m12240,14980l10892,14980,10892,15296,12240,15296,12240,15252,12240,15024,12240,14980e" filled="true" fillcolor="#09357d" stroked="false">
            <v:path arrowok="t"/>
            <v:fill type="solid"/>
          </v:shape>
          <v:line style="position:absolute" from="0,14972" to="1348,14972" stroked="true" strokeweight=".4pt" strokecolor="#09357d">
            <v:stroke dashstyle="solid"/>
          </v:line>
          <v:rect style="position:absolute;left:1348;top:14968;width:8;height:8" filled="true" fillcolor="#09357d" stroked="false">
            <v:fill type="solid"/>
          </v:rect>
          <v:line style="position:absolute" from="1356,14972" to="8460,14972" stroked="true" strokeweight=".4pt" strokecolor="#09357d">
            <v:stroke dashstyle="solid"/>
          </v:line>
          <v:rect style="position:absolute;left:8460;top:14968;width:8;height:8" filled="true" fillcolor="#09357d" stroked="false">
            <v:fill type="solid"/>
          </v:rect>
          <v:line style="position:absolute" from="8468,14972" to="9720,14972" stroked="true" strokeweight=".4pt" strokecolor="#09357d">
            <v:stroke dashstyle="solid"/>
          </v:line>
          <v:rect style="position:absolute;left:9720;top:14968;width:8;height:8" filled="true" fillcolor="#09357d" stroked="false">
            <v:fill type="solid"/>
          </v:rect>
          <v:line style="position:absolute" from="9728,14972" to="10892,14972" stroked="true" strokeweight=".4pt" strokecolor="#09357d">
            <v:stroke dashstyle="solid"/>
          </v:line>
          <v:rect style="position:absolute;left:10892;top:14976;width:9;height:44" filled="true" fillcolor="#09357d" stroked="false">
            <v:fill type="solid"/>
          </v:rect>
          <v:rect style="position:absolute;left:10892;top:14968;width:9;height:8" filled="true" fillcolor="#0f52c1" stroked="false">
            <v:fill type="solid"/>
          </v:rect>
          <v:line style="position:absolute" from="10900,14972" to="12240,14972" stroked="true" strokeweight=".4pt" strokecolor="#0f52c1">
            <v:stroke dashstyle="solid"/>
          </v:line>
          <v:shape style="position:absolute;left:10892;top:14976;width:1348;height:320" coordorigin="10892,14976" coordsize="1348,320" path="m12240,15252l10892,15252,10892,15296,12240,15296,12240,15252m12240,14976l10900,14976,10900,15020,12240,15020,12240,14976e" filled="true" fillcolor="#09357d" stroked="false">
            <v:path arrowok="t"/>
            <v:fill type="solid"/>
          </v:shape>
          <w10:wrap type="none"/>
        </v:group>
      </w:pict>
    </w:r>
    <w:r>
      <w:rPr/>
      <w:pict>
        <v:shape style="position:absolute;margin-left:489.399994pt;margin-top:750.244507pt;width:67pt;height:13.5pt;mso-position-horizontal-relative:page;mso-position-vertical-relative:page;z-index:-261070848" type="#_x0000_t202" filled="false" stroked="false">
          <v:textbox inset="0,0,0,0">
            <w:txbxContent>
              <w:p>
                <w:pPr>
                  <w:tabs>
                    <w:tab w:pos="1187" w:val="left" w:leader="none"/>
                  </w:tabs>
                  <w:spacing w:before="17"/>
                  <w:ind w:left="20" w:right="0" w:firstLine="0"/>
                  <w:jc w:val="left"/>
                  <w:rPr>
                    <w:rFonts w:ascii="Arial Narrow"/>
                    <w:sz w:val="20"/>
                  </w:rPr>
                </w:pPr>
                <w:r>
                  <w:rPr>
                    <w:rFonts w:ascii="Arial Narrow"/>
                    <w:b/>
                    <w:color w:val="09357D"/>
                    <w:sz w:val="16"/>
                  </w:rPr>
                  <w:t>November</w:t>
                </w:r>
                <w:r>
                  <w:rPr>
                    <w:rFonts w:ascii="Arial Narrow"/>
                    <w:b/>
                    <w:color w:val="09357D"/>
                    <w:spacing w:val="-2"/>
                    <w:sz w:val="16"/>
                  </w:rPr>
                  <w:t> </w:t>
                </w:r>
                <w:r>
                  <w:rPr>
                    <w:rFonts w:ascii="Arial Narrow"/>
                    <w:b/>
                    <w:color w:val="09357D"/>
                    <w:sz w:val="16"/>
                  </w:rPr>
                  <w:t>2022</w:t>
                  <w:tab/>
                </w:r>
                <w:r>
                  <w:rPr/>
                  <w:fldChar w:fldCharType="begin"/>
                </w:r>
                <w:r>
                  <w:rPr>
                    <w:rFonts w:ascii="Arial Narrow"/>
                    <w:color w:val="FFFFFF"/>
                    <w:position w:val="1"/>
                    <w:sz w:val="20"/>
                  </w:rPr>
                  <w:instrText> PAGE </w:instrText>
                </w:r>
                <w:r>
                  <w:rPr/>
                  <w:fldChar w:fldCharType="separate"/>
                </w:r>
                <w:r>
                  <w:rPr/>
                  <w:t>8</w:t>
                </w:r>
                <w:r>
                  <w:rPr/>
                  <w:fldChar w:fldCharType="end"/>
                </w:r>
              </w:p>
            </w:txbxContent>
          </v:textbox>
          <w10:wrap type="none"/>
        </v:shape>
      </w:pict>
    </w:r>
    <w:r>
      <w:rPr/>
      <w:pict>
        <v:shape style="position:absolute;margin-left:70.800003pt;margin-top:752.515625pt;width:170.5pt;height:11.2pt;mso-position-horizontal-relative:page;mso-position-vertical-relative:page;z-index:-261069824"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568.400024pt;width:792pt;height:16.4pt;mso-position-horizontal-relative:page;mso-position-vertical-relative:page;z-index:-261066752" coordorigin="0,11368" coordsize="15840,328">
          <v:rect style="position:absolute;left:14400;top:11380;width:1440;height:316" filled="true" fillcolor="#09357d" stroked="false">
            <v:fill type="solid"/>
          </v:rect>
          <v:line style="position:absolute" from="0,11372" to="1348,11372" stroked="true" strokeweight=".4pt" strokecolor="#09357d">
            <v:stroke dashstyle="solid"/>
          </v:line>
          <v:rect style="position:absolute;left:1348;top:11368;width:8;height:8" filled="true" fillcolor="#09357d" stroked="false">
            <v:fill type="solid"/>
          </v:rect>
          <v:line style="position:absolute" from="1356,11372" to="8460,11372" stroked="true" strokeweight=".4pt" strokecolor="#09357d">
            <v:stroke dashstyle="solid"/>
          </v:line>
          <v:rect style="position:absolute;left:8460;top:11368;width:8;height:8" filled="true" fillcolor="#09357d" stroked="false">
            <v:fill type="solid"/>
          </v:rect>
          <v:line style="position:absolute" from="8468,11372" to="9720,11372" stroked="true" strokeweight=".4pt" strokecolor="#09357d">
            <v:stroke dashstyle="solid"/>
          </v:line>
          <v:rect style="position:absolute;left:9720;top:11368;width:8;height:8" filled="true" fillcolor="#09357d" stroked="false">
            <v:fill type="solid"/>
          </v:rect>
          <v:line style="position:absolute" from="9728,11372" to="14400,11372" stroked="true" strokeweight=".4pt" strokecolor="#09357d">
            <v:stroke dashstyle="solid"/>
          </v:line>
          <v:rect style="position:absolute;left:14400;top:11376;width:8;height:44" filled="true" fillcolor="#09357d" stroked="false">
            <v:fill type="solid"/>
          </v:rect>
          <v:rect style="position:absolute;left:14400;top:11368;width:8;height:8" filled="true" fillcolor="#0f52c1" stroked="false">
            <v:fill type="solid"/>
          </v:rect>
          <v:line style="position:absolute" from="14408,11372" to="15840,11372" stroked="true" strokeweight=".4pt" strokecolor="#0f52c1">
            <v:stroke dashstyle="solid"/>
          </v:line>
          <v:shape style="position:absolute;left:14400;top:11376;width:1440;height:320" coordorigin="14400,11376" coordsize="1440,320" path="m15840,11652l14400,11652,14400,11696,15840,11696,15840,11652m15840,11376l14408,11376,14408,11420,15840,11420,15840,11376e" filled="true" fillcolor="#09357d" stroked="false">
            <v:path arrowok="t"/>
            <v:fill type="solid"/>
          </v:shape>
          <w10:wrap type="none"/>
        </v:group>
      </w:pict>
    </w:r>
    <w:r>
      <w:rPr/>
      <w:pict>
        <v:shape style="position:absolute;margin-left:721.400024pt;margin-top:570.244507pt;width:15.2pt;height:13.5pt;mso-position-horizontal-relative:page;mso-position-vertical-relative:page;z-index:-261065728" type="#_x0000_t202" filled="false" stroked="false">
          <v:textbox inset="0,0,0,0">
            <w:txbxContent>
              <w:p>
                <w:pPr>
                  <w:pStyle w:val="BodyText"/>
                  <w:spacing w:before="19"/>
                  <w:ind w:left="60"/>
                  <w:rPr>
                    <w:rFonts w:ascii="Arial Narrow"/>
                  </w:rPr>
                </w:pPr>
                <w:r>
                  <w:rPr/>
                  <w:fldChar w:fldCharType="begin"/>
                </w:r>
                <w:r>
                  <w:rPr>
                    <w:rFonts w:ascii="Arial Narrow"/>
                    <w:color w:val="FFFFFF"/>
                  </w:rPr>
                  <w:instrText> PAGE </w:instrText>
                </w:r>
                <w:r>
                  <w:rPr/>
                  <w:fldChar w:fldCharType="separate"/>
                </w:r>
                <w:r>
                  <w:rPr/>
                  <w:t>10</w:t>
                </w:r>
                <w:r>
                  <w:rPr/>
                  <w:fldChar w:fldCharType="end"/>
                </w:r>
              </w:p>
            </w:txbxContent>
          </v:textbox>
          <w10:wrap type="none"/>
        </v:shape>
      </w:pict>
    </w:r>
    <w:r>
      <w:rPr/>
      <w:pict>
        <v:shape style="position:absolute;margin-left:70.800003pt;margin-top:572.515625pt;width:170.5pt;height:11.2pt;mso-position-horizontal-relative:page;mso-position-vertical-relative:page;z-index:-261064704"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r>
      <w:rPr/>
      <w:pict>
        <v:shape style="position:absolute;margin-left:489.399994pt;margin-top:572.515625pt;width:50.2pt;height:11.2pt;mso-position-horizontal-relative:page;mso-position-vertical-relative:page;z-index:-261063680" type="#_x0000_t202" filled="false" stroked="false">
          <v:textbox inset="0,0,0,0">
            <w:txbxContent>
              <w:p>
                <w:pPr>
                  <w:spacing w:before="19"/>
                  <w:ind w:left="20" w:right="0" w:firstLine="0"/>
                  <w:jc w:val="left"/>
                  <w:rPr>
                    <w:rFonts w:ascii="Arial Narrow"/>
                    <w:b/>
                    <w:sz w:val="16"/>
                  </w:rPr>
                </w:pPr>
                <w:r>
                  <w:rPr>
                    <w:rFonts w:ascii="Arial Narrow"/>
                    <w:b/>
                    <w:color w:val="09357D"/>
                    <w:sz w:val="16"/>
                  </w:rPr>
                  <w:t>November 2022</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0pt;margin-top:568.400024pt;width:792pt;height:16.4pt;mso-position-horizontal-relative:page;mso-position-vertical-relative:page;z-index:-261058560" coordorigin="0,11368" coordsize="15840,328">
          <v:rect style="position:absolute;left:14400;top:11380;width:1440;height:316" filled="true" fillcolor="#09357d" stroked="false">
            <v:fill type="solid"/>
          </v:rect>
          <v:line style="position:absolute" from="0,11372" to="1348,11372" stroked="true" strokeweight=".4pt" strokecolor="#09357d">
            <v:stroke dashstyle="solid"/>
          </v:line>
          <v:rect style="position:absolute;left:1348;top:11368;width:8;height:8" filled="true" fillcolor="#09357d" stroked="false">
            <v:fill type="solid"/>
          </v:rect>
          <v:line style="position:absolute" from="1356,11372" to="8460,11372" stroked="true" strokeweight=".4pt" strokecolor="#09357d">
            <v:stroke dashstyle="solid"/>
          </v:line>
          <v:rect style="position:absolute;left:8460;top:11368;width:8;height:8" filled="true" fillcolor="#09357d" stroked="false">
            <v:fill type="solid"/>
          </v:rect>
          <v:line style="position:absolute" from="8468,11372" to="9720,11372" stroked="true" strokeweight=".4pt" strokecolor="#09357d">
            <v:stroke dashstyle="solid"/>
          </v:line>
          <v:rect style="position:absolute;left:9720;top:11368;width:8;height:8" filled="true" fillcolor="#09357d" stroked="false">
            <v:fill type="solid"/>
          </v:rect>
          <v:line style="position:absolute" from="9728,11372" to="14400,11372" stroked="true" strokeweight=".4pt" strokecolor="#09357d">
            <v:stroke dashstyle="solid"/>
          </v:line>
          <v:rect style="position:absolute;left:14400;top:11376;width:8;height:44" filled="true" fillcolor="#09357d" stroked="false">
            <v:fill type="solid"/>
          </v:rect>
          <v:rect style="position:absolute;left:14400;top:11368;width:8;height:8" filled="true" fillcolor="#0f52c1" stroked="false">
            <v:fill type="solid"/>
          </v:rect>
          <v:line style="position:absolute" from="14408,11372" to="15840,11372" stroked="true" strokeweight=".4pt" strokecolor="#0f52c1">
            <v:stroke dashstyle="solid"/>
          </v:line>
          <v:shape style="position:absolute;left:14400;top:11376;width:1440;height:320" coordorigin="14400,11376" coordsize="1440,320" path="m15840,11652l14400,11652,14400,11696,15840,11696,15840,11652m15840,11376l14408,11376,14408,11420,15840,11420,15840,11376e" filled="true" fillcolor="#09357d" stroked="false">
            <v:path arrowok="t"/>
            <v:fill type="solid"/>
          </v:shape>
          <w10:wrap type="none"/>
        </v:group>
      </w:pict>
    </w:r>
    <w:r>
      <w:rPr/>
      <w:pict>
        <v:shape style="position:absolute;margin-left:721.400024pt;margin-top:570.244507pt;width:15.2pt;height:13.5pt;mso-position-horizontal-relative:page;mso-position-vertical-relative:page;z-index:-261057536" type="#_x0000_t202" filled="false" stroked="false">
          <v:textbox inset="0,0,0,0">
            <w:txbxContent>
              <w:p>
                <w:pPr>
                  <w:pStyle w:val="BodyText"/>
                  <w:spacing w:before="19"/>
                  <w:ind w:left="60"/>
                  <w:rPr>
                    <w:rFonts w:ascii="Arial Narrow"/>
                  </w:rPr>
                </w:pPr>
                <w:r>
                  <w:rPr/>
                  <w:fldChar w:fldCharType="begin"/>
                </w:r>
                <w:r>
                  <w:rPr>
                    <w:rFonts w:ascii="Arial Narrow"/>
                    <w:color w:val="FFFFFF"/>
                  </w:rPr>
                  <w:instrText> PAGE </w:instrText>
                </w:r>
                <w:r>
                  <w:rPr/>
                  <w:fldChar w:fldCharType="separate"/>
                </w:r>
                <w:r>
                  <w:rPr/>
                  <w:t>11</w:t>
                </w:r>
                <w:r>
                  <w:rPr/>
                  <w:fldChar w:fldCharType="end"/>
                </w:r>
              </w:p>
            </w:txbxContent>
          </v:textbox>
          <w10:wrap type="none"/>
        </v:shape>
      </w:pict>
    </w:r>
    <w:r>
      <w:rPr/>
      <w:pict>
        <v:shape style="position:absolute;margin-left:70.800003pt;margin-top:572.515625pt;width:170.4pt;height:11.2pt;mso-position-horizontal-relative:page;mso-position-vertical-relative:page;z-index:-261056512" type="#_x0000_t202" filled="false" stroked="false">
          <v:textbox inset="0,0,0,0">
            <w:txbxContent>
              <w:p>
                <w:pPr>
                  <w:spacing w:before="19"/>
                  <w:ind w:left="20" w:right="0" w:firstLine="0"/>
                  <w:jc w:val="left"/>
                  <w:rPr>
                    <w:rFonts w:ascii="Arial Narrow"/>
                    <w:b/>
                    <w:sz w:val="16"/>
                  </w:rPr>
                </w:pPr>
                <w:r>
                  <w:rPr>
                    <w:rFonts w:ascii="Arial Narrow"/>
                    <w:b/>
                    <w:color w:val="09357D"/>
                    <w:sz w:val="16"/>
                  </w:rPr>
                  <w:t>Findings from the Know More @ MSU Campus Survey</w:t>
                </w:r>
              </w:p>
            </w:txbxContent>
          </v:textbox>
          <w10:wrap type="none"/>
        </v:shape>
      </w:pict>
    </w:r>
    <w:r>
      <w:rPr/>
      <w:pict>
        <v:shape style="position:absolute;margin-left:489.399994pt;margin-top:572.515625pt;width:50.2pt;height:11.2pt;mso-position-horizontal-relative:page;mso-position-vertical-relative:page;z-index:-261055488" type="#_x0000_t202" filled="false" stroked="false">
          <v:textbox inset="0,0,0,0">
            <w:txbxContent>
              <w:p>
                <w:pPr>
                  <w:spacing w:before="19"/>
                  <w:ind w:left="20" w:right="0" w:firstLine="0"/>
                  <w:jc w:val="left"/>
                  <w:rPr>
                    <w:rFonts w:ascii="Arial Narrow"/>
                    <w:b/>
                    <w:sz w:val="16"/>
                  </w:rPr>
                </w:pPr>
                <w:r>
                  <w:rPr>
                    <w:rFonts w:ascii="Arial Narrow"/>
                    <w:b/>
                    <w:color w:val="09357D"/>
                    <w:sz w:val="16"/>
                  </w:rPr>
                  <w:t>November 2022</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10361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10259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5241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pt;height:13.2pt;mso-position-horizontal-relative:page;mso-position-vertical-relative:page;z-index:-26105139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4729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4627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45248"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pt;height:13.2pt;mso-position-horizontal-relative:page;mso-position-vertical-relative:page;z-index:-261044224"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40128"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pt;height:13.2pt;mso-position-horizontal-relative:page;mso-position-vertical-relative:page;z-index:-261039104"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38080"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pt;height:13.2pt;mso-position-horizontal-relative:page;mso-position-vertical-relative:page;z-index:-261037056"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9849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9747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9337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9235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8825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8723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83136"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8211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r>
      <w:rPr/>
      <w:pict>
        <v:shape style="position:absolute;margin-left:71pt;margin-top:55.347267pt;width:39.4pt;height:13.2pt;mso-position-horizontal-relative:page;mso-position-vertical-relative:page;z-index:-261081088" type="#_x0000_t202" filled="false" stroked="false">
          <v:textbox inset="0,0,0,0">
            <w:txbxContent>
              <w:p>
                <w:pPr>
                  <w:spacing w:before="13"/>
                  <w:ind w:left="20" w:right="0" w:firstLine="0"/>
                  <w:jc w:val="left"/>
                  <w:rPr>
                    <w:b/>
                    <w:sz w:val="20"/>
                  </w:rPr>
                </w:pPr>
                <w:r>
                  <w:rPr>
                    <w:b/>
                    <w:sz w:val="20"/>
                  </w:rPr>
                  <w:t>Table 2.</w:t>
                </w:r>
              </w:p>
            </w:txbxContent>
          </v:textbox>
          <w10:wrap type="none"/>
        </v:shape>
      </w:pict>
    </w:r>
    <w:r>
      <w:rPr/>
      <w:pict>
        <v:shape style="position:absolute;margin-left:125pt;margin-top:55.347267pt;width:315.850pt;height:13.2pt;mso-position-horizontal-relative:page;mso-position-vertical-relative:page;z-index:-261080064" type="#_x0000_t202" filled="false" stroked="false">
          <v:textbox inset="0,0,0,0">
            <w:txbxContent>
              <w:p>
                <w:pPr>
                  <w:spacing w:before="13"/>
                  <w:ind w:left="20" w:right="0" w:firstLine="0"/>
                  <w:jc w:val="left"/>
                  <w:rPr>
                    <w:b/>
                    <w:sz w:val="20"/>
                  </w:rPr>
                </w:pPr>
                <w:r>
                  <w:rPr>
                    <w:b/>
                    <w:sz w:val="20"/>
                  </w:rPr>
                  <w:t>Distribution of Respondents, Undergraduate Students (continued)</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75968"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74944"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r>
      <w:rPr/>
      <w:pict>
        <v:shape style="position:absolute;margin-left:70.400002pt;margin-top:55.347267pt;width:39.4pt;height:13.2pt;mso-position-horizontal-relative:page;mso-position-vertical-relative:page;z-index:-261073920" type="#_x0000_t202" filled="false" stroked="false">
          <v:textbox inset="0,0,0,0">
            <w:txbxContent>
              <w:p>
                <w:pPr>
                  <w:spacing w:before="13"/>
                  <w:ind w:left="20" w:right="0" w:firstLine="0"/>
                  <w:jc w:val="left"/>
                  <w:rPr>
                    <w:b/>
                    <w:sz w:val="20"/>
                  </w:rPr>
                </w:pPr>
                <w:r>
                  <w:rPr>
                    <w:b/>
                    <w:sz w:val="20"/>
                  </w:rPr>
                  <w:t>Table 3.</w:t>
                </w:r>
              </w:p>
            </w:txbxContent>
          </v:textbox>
          <w10:wrap type="none"/>
        </v:shape>
      </w:pict>
    </w:r>
    <w:r>
      <w:rPr/>
      <w:pict>
        <v:shape style="position:absolute;margin-left:124.400002pt;margin-top:55.347267pt;width:372.25pt;height:13.2pt;mso-position-horizontal-relative:page;mso-position-vertical-relative:page;z-index:-261072896" type="#_x0000_t202" filled="false" stroked="false">
          <v:textbox inset="0,0,0,0">
            <w:txbxContent>
              <w:p>
                <w:pPr>
                  <w:spacing w:before="13"/>
                  <w:ind w:left="20" w:right="0" w:firstLine="0"/>
                  <w:jc w:val="left"/>
                  <w:rPr>
                    <w:b/>
                    <w:sz w:val="20"/>
                  </w:rPr>
                </w:pPr>
                <w:r>
                  <w:rPr>
                    <w:b/>
                    <w:sz w:val="20"/>
                  </w:rPr>
                  <w:t>Distribution of Respondents, Graduate and Professional Students (continued)</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29pt;width:792pt;height:45.6pt;mso-position-horizontal-relative:page;mso-position-vertical-relative:page;z-index:-261068800" coordorigin="0,0" coordsize="15840,912" path="m14396,0l0,0,0,648,0,912,14292,912,14396,912,14396,0m15840,0l14404,0,14404,912,14508,912,15820,912,15840,912,15840,0e" filled="true" fillcolor="#09357d" stroked="false">
          <v:path arrowok="t"/>
          <v:fill type="solid"/>
          <w10:wrap type="none"/>
        </v:shape>
      </w:pict>
    </w:r>
    <w:r>
      <w:rPr/>
      <w:pict>
        <v:shape style="position:absolute;margin-left:456.600006pt;margin-top:31.747265pt;width:259.25pt;height:13.2pt;mso-position-horizontal-relative:page;mso-position-vertical-relative:page;z-index:-261067776"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29pt;width:792pt;height:45.6pt;mso-position-horizontal-relative:page;mso-position-vertical-relative:page;z-index:-261062656" coordorigin="0,0" coordsize="15840,912" path="m14396,0l0,0,0,648,0,912,14292,912,14396,912,14396,0m15840,0l14404,0,14404,912,14508,912,15820,912,15840,912,15840,0e" filled="true" fillcolor="#09357d" stroked="false">
          <v:path arrowok="t"/>
          <v:fill type="solid"/>
          <w10:wrap type="none"/>
        </v:shape>
      </w:pict>
    </w:r>
    <w:r>
      <w:rPr/>
      <w:pict>
        <v:shape style="position:absolute;margin-left:456.600006pt;margin-top:31.747265pt;width:259.25pt;height:13.2pt;mso-position-horizontal-relative:page;mso-position-vertical-relative:page;z-index:-261061632"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r>
      <w:rPr/>
      <w:pict>
        <v:shape style="position:absolute;margin-left:71pt;margin-top:55.347267pt;width:39.4pt;height:13.2pt;mso-position-horizontal-relative:page;mso-position-vertical-relative:page;z-index:-261060608" type="#_x0000_t202" filled="false" stroked="false">
          <v:textbox inset="0,0,0,0">
            <w:txbxContent>
              <w:p>
                <w:pPr>
                  <w:spacing w:before="13"/>
                  <w:ind w:left="20" w:right="0" w:firstLine="0"/>
                  <w:jc w:val="left"/>
                  <w:rPr>
                    <w:b/>
                    <w:sz w:val="20"/>
                  </w:rPr>
                </w:pPr>
                <w:r>
                  <w:rPr>
                    <w:b/>
                    <w:sz w:val="20"/>
                  </w:rPr>
                  <w:t>Table 4.</w:t>
                </w:r>
              </w:p>
            </w:txbxContent>
          </v:textbox>
          <w10:wrap type="none"/>
        </v:shape>
      </w:pict>
    </w:r>
    <w:r>
      <w:rPr/>
      <w:pict>
        <v:shape style="position:absolute;margin-left:125pt;margin-top:55.347267pt;width:279.850pt;height:13.2pt;mso-position-horizontal-relative:page;mso-position-vertical-relative:page;z-index:-261059584" type="#_x0000_t202" filled="false" stroked="false">
          <v:textbox inset="0,0,0,0">
            <w:txbxContent>
              <w:p>
                <w:pPr>
                  <w:spacing w:before="13"/>
                  <w:ind w:left="20" w:right="0" w:firstLine="0"/>
                  <w:jc w:val="left"/>
                  <w:rPr>
                    <w:b/>
                    <w:sz w:val="20"/>
                  </w:rPr>
                </w:pPr>
                <w:r>
                  <w:rPr>
                    <w:b/>
                    <w:sz w:val="20"/>
                  </w:rPr>
                  <w:t>Distribution of Respondents, Faculty and Staff (continued)</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0pt;margin-top:-.000038pt;width:612pt;height:45.6pt;mso-position-horizontal-relative:page;mso-position-vertical-relative:page;z-index:-261054464" coordorigin="0,0" coordsize="12240,912" path="m10796,0l0,0,0,648,0,912,10692,912,10796,912,10796,0m12240,0l10804,0,10804,912,10908,912,12240,912,12240,684,12240,0e" filled="true" fillcolor="#09357d" stroked="false">
          <v:path arrowok="t"/>
          <v:fill type="solid"/>
          <w10:wrap type="none"/>
        </v:shape>
      </w:pict>
    </w:r>
    <w:r>
      <w:rPr/>
      <w:pict>
        <v:shape style="position:absolute;margin-left:276.600006pt;margin-top:31.747265pt;width:259.25pt;height:13.2pt;mso-position-horizontal-relative:page;mso-position-vertical-relative:page;z-index:-261053440" type="#_x0000_t202" filled="false" stroked="false">
          <v:textbox inset="0,0,0,0">
            <w:txbxContent>
              <w:p>
                <w:pPr>
                  <w:spacing w:before="13"/>
                  <w:ind w:left="20" w:right="0" w:firstLine="0"/>
                  <w:jc w:val="left"/>
                  <w:rPr>
                    <w:b/>
                    <w:sz w:val="20"/>
                  </w:rPr>
                </w:pPr>
                <w:r>
                  <w:rPr>
                    <w:b/>
                    <w:color w:val="FFFFFF"/>
                    <w:sz w:val="20"/>
                  </w:rPr>
                  <w:t>Findings from the Know More @ MSU Campus Survey</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0"/>
      <w:numFmt w:val="bullet"/>
      <w:lvlText w:val="•"/>
      <w:lvlJc w:val="left"/>
      <w:pPr>
        <w:ind w:left="1260" w:hanging="360"/>
      </w:pPr>
      <w:rPr>
        <w:rFonts w:hint="default" w:ascii="Arial" w:hAnsi="Arial" w:eastAsia="Arial" w:cs="Arial"/>
        <w:spacing w:val="-5"/>
        <w:w w:val="100"/>
        <w:sz w:val="20"/>
        <w:szCs w:val="20"/>
        <w:lang w:val="en-us" w:eastAsia="en-us" w:bidi="en-us"/>
      </w:rPr>
    </w:lvl>
    <w:lvl w:ilvl="1">
      <w:start w:val="0"/>
      <w:numFmt w:val="bullet"/>
      <w:lvlText w:val="•"/>
      <w:lvlJc w:val="left"/>
      <w:pPr>
        <w:ind w:left="2232" w:hanging="360"/>
      </w:pPr>
      <w:rPr>
        <w:rFonts w:hint="default"/>
        <w:lang w:val="en-us" w:eastAsia="en-us" w:bidi="en-us"/>
      </w:rPr>
    </w:lvl>
    <w:lvl w:ilvl="2">
      <w:start w:val="0"/>
      <w:numFmt w:val="bullet"/>
      <w:lvlText w:val="•"/>
      <w:lvlJc w:val="left"/>
      <w:pPr>
        <w:ind w:left="3204" w:hanging="360"/>
      </w:pPr>
      <w:rPr>
        <w:rFonts w:hint="default"/>
        <w:lang w:val="en-us" w:eastAsia="en-us" w:bidi="en-us"/>
      </w:rPr>
    </w:lvl>
    <w:lvl w:ilvl="3">
      <w:start w:val="0"/>
      <w:numFmt w:val="bullet"/>
      <w:lvlText w:val="•"/>
      <w:lvlJc w:val="left"/>
      <w:pPr>
        <w:ind w:left="4176" w:hanging="360"/>
      </w:pPr>
      <w:rPr>
        <w:rFonts w:hint="default"/>
        <w:lang w:val="en-us" w:eastAsia="en-us" w:bidi="en-us"/>
      </w:rPr>
    </w:lvl>
    <w:lvl w:ilvl="4">
      <w:start w:val="0"/>
      <w:numFmt w:val="bullet"/>
      <w:lvlText w:val="•"/>
      <w:lvlJc w:val="left"/>
      <w:pPr>
        <w:ind w:left="5148" w:hanging="360"/>
      </w:pPr>
      <w:rPr>
        <w:rFonts w:hint="default"/>
        <w:lang w:val="en-us" w:eastAsia="en-us" w:bidi="en-us"/>
      </w:rPr>
    </w:lvl>
    <w:lvl w:ilvl="5">
      <w:start w:val="0"/>
      <w:numFmt w:val="bullet"/>
      <w:lvlText w:val="•"/>
      <w:lvlJc w:val="left"/>
      <w:pPr>
        <w:ind w:left="6120" w:hanging="360"/>
      </w:pPr>
      <w:rPr>
        <w:rFonts w:hint="default"/>
        <w:lang w:val="en-us" w:eastAsia="en-us" w:bidi="en-us"/>
      </w:rPr>
    </w:lvl>
    <w:lvl w:ilvl="6">
      <w:start w:val="0"/>
      <w:numFmt w:val="bullet"/>
      <w:lvlText w:val="•"/>
      <w:lvlJc w:val="left"/>
      <w:pPr>
        <w:ind w:left="7092" w:hanging="360"/>
      </w:pPr>
      <w:rPr>
        <w:rFonts w:hint="default"/>
        <w:lang w:val="en-us" w:eastAsia="en-us" w:bidi="en-us"/>
      </w:rPr>
    </w:lvl>
    <w:lvl w:ilvl="7">
      <w:start w:val="0"/>
      <w:numFmt w:val="bullet"/>
      <w:lvlText w:val="•"/>
      <w:lvlJc w:val="left"/>
      <w:pPr>
        <w:ind w:left="8064" w:hanging="360"/>
      </w:pPr>
      <w:rPr>
        <w:rFonts w:hint="default"/>
        <w:lang w:val="en-us" w:eastAsia="en-us" w:bidi="en-us"/>
      </w:rPr>
    </w:lvl>
    <w:lvl w:ilvl="8">
      <w:start w:val="0"/>
      <w:numFmt w:val="bullet"/>
      <w:lvlText w:val="•"/>
      <w:lvlJc w:val="left"/>
      <w:pPr>
        <w:ind w:left="9036" w:hanging="360"/>
      </w:pPr>
      <w:rPr>
        <w:rFonts w:hint="default"/>
        <w:lang w:val="en-us" w:eastAsia="en-us" w:bidi="en-us"/>
      </w:rPr>
    </w:lvl>
  </w:abstractNum>
  <w:abstractNum w:abstractNumId="10">
    <w:multiLevelType w:val="hybridMultilevel"/>
    <w:lvl w:ilvl="0">
      <w:start w:val="5"/>
      <w:numFmt w:val="upperRoman"/>
      <w:lvlText w:val="%1."/>
      <w:lvlJc w:val="left"/>
      <w:pPr>
        <w:ind w:left="452" w:hanging="225"/>
        <w:jc w:val="left"/>
      </w:pPr>
      <w:rPr>
        <w:rFonts w:hint="default" w:ascii="Arial" w:hAnsi="Arial" w:eastAsia="Arial" w:cs="Arial"/>
        <w:spacing w:val="-1"/>
        <w:w w:val="100"/>
        <w:sz w:val="18"/>
        <w:szCs w:val="18"/>
        <w:lang w:val="en-us" w:eastAsia="en-us" w:bidi="en-us"/>
      </w:rPr>
    </w:lvl>
    <w:lvl w:ilvl="1">
      <w:start w:val="0"/>
      <w:numFmt w:val="bullet"/>
      <w:lvlText w:val="•"/>
      <w:lvlJc w:val="left"/>
      <w:pPr>
        <w:ind w:left="1260" w:hanging="360"/>
      </w:pPr>
      <w:rPr>
        <w:rFonts w:hint="default" w:ascii="Arial" w:hAnsi="Arial" w:eastAsia="Arial" w:cs="Arial"/>
        <w:spacing w:val="-10"/>
        <w:w w:val="100"/>
        <w:sz w:val="20"/>
        <w:szCs w:val="20"/>
        <w:lang w:val="en-us" w:eastAsia="en-us" w:bidi="en-us"/>
      </w:rPr>
    </w:lvl>
    <w:lvl w:ilvl="2">
      <w:start w:val="0"/>
      <w:numFmt w:val="bullet"/>
      <w:lvlText w:val="•"/>
      <w:lvlJc w:val="left"/>
      <w:pPr>
        <w:ind w:left="2340" w:hanging="360"/>
      </w:pPr>
      <w:rPr>
        <w:rFonts w:hint="default"/>
        <w:lang w:val="en-us" w:eastAsia="en-us" w:bidi="en-us"/>
      </w:rPr>
    </w:lvl>
    <w:lvl w:ilvl="3">
      <w:start w:val="0"/>
      <w:numFmt w:val="bullet"/>
      <w:lvlText w:val="•"/>
      <w:lvlJc w:val="left"/>
      <w:pPr>
        <w:ind w:left="3420" w:hanging="360"/>
      </w:pPr>
      <w:rPr>
        <w:rFonts w:hint="default"/>
        <w:lang w:val="en-us" w:eastAsia="en-us" w:bidi="en-us"/>
      </w:rPr>
    </w:lvl>
    <w:lvl w:ilvl="4">
      <w:start w:val="0"/>
      <w:numFmt w:val="bullet"/>
      <w:lvlText w:val="•"/>
      <w:lvlJc w:val="left"/>
      <w:pPr>
        <w:ind w:left="4500" w:hanging="360"/>
      </w:pPr>
      <w:rPr>
        <w:rFonts w:hint="default"/>
        <w:lang w:val="en-us" w:eastAsia="en-us" w:bidi="en-us"/>
      </w:rPr>
    </w:lvl>
    <w:lvl w:ilvl="5">
      <w:start w:val="0"/>
      <w:numFmt w:val="bullet"/>
      <w:lvlText w:val="•"/>
      <w:lvlJc w:val="left"/>
      <w:pPr>
        <w:ind w:left="5580" w:hanging="360"/>
      </w:pPr>
      <w:rPr>
        <w:rFonts w:hint="default"/>
        <w:lang w:val="en-us" w:eastAsia="en-us" w:bidi="en-us"/>
      </w:rPr>
    </w:lvl>
    <w:lvl w:ilvl="6">
      <w:start w:val="0"/>
      <w:numFmt w:val="bullet"/>
      <w:lvlText w:val="•"/>
      <w:lvlJc w:val="left"/>
      <w:pPr>
        <w:ind w:left="6660" w:hanging="360"/>
      </w:pPr>
      <w:rPr>
        <w:rFonts w:hint="default"/>
        <w:lang w:val="en-us" w:eastAsia="en-us" w:bidi="en-us"/>
      </w:rPr>
    </w:lvl>
    <w:lvl w:ilvl="7">
      <w:start w:val="0"/>
      <w:numFmt w:val="bullet"/>
      <w:lvlText w:val="•"/>
      <w:lvlJc w:val="left"/>
      <w:pPr>
        <w:ind w:left="7740" w:hanging="360"/>
      </w:pPr>
      <w:rPr>
        <w:rFonts w:hint="default"/>
        <w:lang w:val="en-us" w:eastAsia="en-us" w:bidi="en-us"/>
      </w:rPr>
    </w:lvl>
    <w:lvl w:ilvl="8">
      <w:start w:val="0"/>
      <w:numFmt w:val="bullet"/>
      <w:lvlText w:val="•"/>
      <w:lvlJc w:val="left"/>
      <w:pPr>
        <w:ind w:left="8820" w:hanging="360"/>
      </w:pPr>
      <w:rPr>
        <w:rFonts w:hint="default"/>
        <w:lang w:val="en-us" w:eastAsia="en-us" w:bidi="en-us"/>
      </w:rPr>
    </w:lvl>
  </w:abstractNum>
  <w:abstractNum w:abstractNumId="9">
    <w:multiLevelType w:val="hybridMultilevel"/>
    <w:lvl w:ilvl="0">
      <w:start w:val="2"/>
      <w:numFmt w:val="decimal"/>
      <w:lvlText w:val="%1"/>
      <w:lvlJc w:val="left"/>
      <w:pPr>
        <w:ind w:left="1044" w:hanging="865"/>
        <w:jc w:val="left"/>
      </w:pPr>
      <w:rPr>
        <w:rFonts w:hint="default"/>
        <w:lang w:val="en-us" w:eastAsia="en-us" w:bidi="en-us"/>
      </w:rPr>
    </w:lvl>
    <w:lvl w:ilvl="1">
      <w:start w:val="4"/>
      <w:numFmt w:val="decimal"/>
      <w:lvlText w:val="%1.%2"/>
      <w:lvlJc w:val="left"/>
      <w:pPr>
        <w:ind w:left="1044" w:hanging="865"/>
        <w:jc w:val="left"/>
      </w:pPr>
      <w:rPr>
        <w:rFonts w:hint="default"/>
        <w:lang w:val="en-us" w:eastAsia="en-us" w:bidi="en-us"/>
      </w:rPr>
    </w:lvl>
    <w:lvl w:ilvl="2">
      <w:start w:val="1"/>
      <w:numFmt w:val="decimal"/>
      <w:lvlText w:val="%1.%2.%3"/>
      <w:lvlJc w:val="left"/>
      <w:pPr>
        <w:ind w:left="1044" w:hanging="865"/>
        <w:jc w:val="left"/>
      </w:pPr>
      <w:rPr>
        <w:rFonts w:hint="default" w:ascii="Arial" w:hAnsi="Arial" w:eastAsia="Arial" w:cs="Arial"/>
        <w:b/>
        <w:bCs/>
        <w:color w:val="09357D"/>
        <w:spacing w:val="-3"/>
        <w:w w:val="100"/>
        <w:sz w:val="28"/>
        <w:szCs w:val="28"/>
        <w:lang w:val="en-us" w:eastAsia="en-us" w:bidi="en-us"/>
      </w:rPr>
    </w:lvl>
    <w:lvl w:ilvl="3">
      <w:start w:val="0"/>
      <w:numFmt w:val="bullet"/>
      <w:lvlText w:val="•"/>
      <w:lvlJc w:val="left"/>
      <w:pPr>
        <w:ind w:left="1260" w:hanging="360"/>
      </w:pPr>
      <w:rPr>
        <w:rFonts w:hint="default" w:ascii="Arial" w:hAnsi="Arial" w:eastAsia="Arial" w:cs="Arial"/>
        <w:spacing w:val="-5"/>
        <w:w w:val="100"/>
        <w:sz w:val="20"/>
        <w:szCs w:val="20"/>
        <w:lang w:val="en-us" w:eastAsia="en-us" w:bidi="en-us"/>
      </w:rPr>
    </w:lvl>
    <w:lvl w:ilvl="4">
      <w:start w:val="0"/>
      <w:numFmt w:val="bullet"/>
      <w:lvlText w:val="–"/>
      <w:lvlJc w:val="left"/>
      <w:pPr>
        <w:ind w:left="1620" w:hanging="360"/>
      </w:pPr>
      <w:rPr>
        <w:rFonts w:hint="default" w:ascii="Arial" w:hAnsi="Arial" w:eastAsia="Arial" w:cs="Arial"/>
        <w:spacing w:val="-5"/>
        <w:w w:val="100"/>
        <w:sz w:val="20"/>
        <w:szCs w:val="20"/>
        <w:lang w:val="en-us" w:eastAsia="en-us" w:bidi="en-us"/>
      </w:rPr>
    </w:lvl>
    <w:lvl w:ilvl="5">
      <w:start w:val="0"/>
      <w:numFmt w:val="bullet"/>
      <w:lvlText w:val="•"/>
      <w:lvlJc w:val="left"/>
      <w:pPr>
        <w:ind w:left="5130" w:hanging="360"/>
      </w:pPr>
      <w:rPr>
        <w:rFonts w:hint="default"/>
        <w:lang w:val="en-us" w:eastAsia="en-us" w:bidi="en-us"/>
      </w:rPr>
    </w:lvl>
    <w:lvl w:ilvl="6">
      <w:start w:val="0"/>
      <w:numFmt w:val="bullet"/>
      <w:lvlText w:val="•"/>
      <w:lvlJc w:val="left"/>
      <w:pPr>
        <w:ind w:left="6300" w:hanging="360"/>
      </w:pPr>
      <w:rPr>
        <w:rFonts w:hint="default"/>
        <w:lang w:val="en-us" w:eastAsia="en-us" w:bidi="en-us"/>
      </w:rPr>
    </w:lvl>
    <w:lvl w:ilvl="7">
      <w:start w:val="0"/>
      <w:numFmt w:val="bullet"/>
      <w:lvlText w:val="•"/>
      <w:lvlJc w:val="left"/>
      <w:pPr>
        <w:ind w:left="7470" w:hanging="360"/>
      </w:pPr>
      <w:rPr>
        <w:rFonts w:hint="default"/>
        <w:lang w:val="en-us" w:eastAsia="en-us" w:bidi="en-us"/>
      </w:rPr>
    </w:lvl>
    <w:lvl w:ilvl="8">
      <w:start w:val="0"/>
      <w:numFmt w:val="bullet"/>
      <w:lvlText w:val="•"/>
      <w:lvlJc w:val="left"/>
      <w:pPr>
        <w:ind w:left="8640" w:hanging="360"/>
      </w:pPr>
      <w:rPr>
        <w:rFonts w:hint="default"/>
        <w:lang w:val="en-us" w:eastAsia="en-us" w:bidi="en-us"/>
      </w:rPr>
    </w:lvl>
  </w:abstractNum>
  <w:abstractNum w:abstractNumId="8">
    <w:multiLevelType w:val="hybridMultilevel"/>
    <w:lvl w:ilvl="0">
      <w:start w:val="0"/>
      <w:numFmt w:val="bullet"/>
      <w:lvlText w:val="•"/>
      <w:lvlJc w:val="left"/>
      <w:pPr>
        <w:ind w:left="391" w:hanging="261"/>
      </w:pPr>
      <w:rPr>
        <w:rFonts w:hint="default" w:ascii="Verdana" w:hAnsi="Verdana" w:eastAsia="Verdana" w:cs="Verdana"/>
        <w:spacing w:val="-28"/>
        <w:w w:val="100"/>
        <w:sz w:val="18"/>
        <w:szCs w:val="18"/>
        <w:lang w:val="en-us" w:eastAsia="en-us" w:bidi="en-us"/>
      </w:rPr>
    </w:lvl>
    <w:lvl w:ilvl="1">
      <w:start w:val="0"/>
      <w:numFmt w:val="bullet"/>
      <w:lvlText w:val="•"/>
      <w:lvlJc w:val="left"/>
      <w:pPr>
        <w:ind w:left="1073" w:hanging="261"/>
      </w:pPr>
      <w:rPr>
        <w:rFonts w:hint="default"/>
        <w:lang w:val="en-us" w:eastAsia="en-us" w:bidi="en-us"/>
      </w:rPr>
    </w:lvl>
    <w:lvl w:ilvl="2">
      <w:start w:val="0"/>
      <w:numFmt w:val="bullet"/>
      <w:lvlText w:val="•"/>
      <w:lvlJc w:val="left"/>
      <w:pPr>
        <w:ind w:left="1747" w:hanging="261"/>
      </w:pPr>
      <w:rPr>
        <w:rFonts w:hint="default"/>
        <w:lang w:val="en-us" w:eastAsia="en-us" w:bidi="en-us"/>
      </w:rPr>
    </w:lvl>
    <w:lvl w:ilvl="3">
      <w:start w:val="0"/>
      <w:numFmt w:val="bullet"/>
      <w:lvlText w:val="•"/>
      <w:lvlJc w:val="left"/>
      <w:pPr>
        <w:ind w:left="2420" w:hanging="261"/>
      </w:pPr>
      <w:rPr>
        <w:rFonts w:hint="default"/>
        <w:lang w:val="en-us" w:eastAsia="en-us" w:bidi="en-us"/>
      </w:rPr>
    </w:lvl>
    <w:lvl w:ilvl="4">
      <w:start w:val="0"/>
      <w:numFmt w:val="bullet"/>
      <w:lvlText w:val="•"/>
      <w:lvlJc w:val="left"/>
      <w:pPr>
        <w:ind w:left="3094" w:hanging="261"/>
      </w:pPr>
      <w:rPr>
        <w:rFonts w:hint="default"/>
        <w:lang w:val="en-us" w:eastAsia="en-us" w:bidi="en-us"/>
      </w:rPr>
    </w:lvl>
    <w:lvl w:ilvl="5">
      <w:start w:val="0"/>
      <w:numFmt w:val="bullet"/>
      <w:lvlText w:val="•"/>
      <w:lvlJc w:val="left"/>
      <w:pPr>
        <w:ind w:left="3768" w:hanging="261"/>
      </w:pPr>
      <w:rPr>
        <w:rFonts w:hint="default"/>
        <w:lang w:val="en-us" w:eastAsia="en-us" w:bidi="en-us"/>
      </w:rPr>
    </w:lvl>
    <w:lvl w:ilvl="6">
      <w:start w:val="0"/>
      <w:numFmt w:val="bullet"/>
      <w:lvlText w:val="•"/>
      <w:lvlJc w:val="left"/>
      <w:pPr>
        <w:ind w:left="4441" w:hanging="261"/>
      </w:pPr>
      <w:rPr>
        <w:rFonts w:hint="default"/>
        <w:lang w:val="en-us" w:eastAsia="en-us" w:bidi="en-us"/>
      </w:rPr>
    </w:lvl>
    <w:lvl w:ilvl="7">
      <w:start w:val="0"/>
      <w:numFmt w:val="bullet"/>
      <w:lvlText w:val="•"/>
      <w:lvlJc w:val="left"/>
      <w:pPr>
        <w:ind w:left="5115" w:hanging="261"/>
      </w:pPr>
      <w:rPr>
        <w:rFonts w:hint="default"/>
        <w:lang w:val="en-us" w:eastAsia="en-us" w:bidi="en-us"/>
      </w:rPr>
    </w:lvl>
    <w:lvl w:ilvl="8">
      <w:start w:val="0"/>
      <w:numFmt w:val="bullet"/>
      <w:lvlText w:val="•"/>
      <w:lvlJc w:val="left"/>
      <w:pPr>
        <w:ind w:left="5788" w:hanging="261"/>
      </w:pPr>
      <w:rPr>
        <w:rFonts w:hint="default"/>
        <w:lang w:val="en-us" w:eastAsia="en-us" w:bidi="en-us"/>
      </w:rPr>
    </w:lvl>
  </w:abstractNum>
  <w:abstractNum w:abstractNumId="7">
    <w:multiLevelType w:val="hybridMultilevel"/>
    <w:lvl w:ilvl="0">
      <w:start w:val="0"/>
      <w:numFmt w:val="bullet"/>
      <w:lvlText w:val="•"/>
      <w:lvlJc w:val="left"/>
      <w:pPr>
        <w:ind w:left="391" w:hanging="261"/>
      </w:pPr>
      <w:rPr>
        <w:rFonts w:hint="default" w:ascii="Verdana" w:hAnsi="Verdana" w:eastAsia="Verdana" w:cs="Verdana"/>
        <w:spacing w:val="-28"/>
        <w:w w:val="100"/>
        <w:sz w:val="18"/>
        <w:szCs w:val="18"/>
        <w:lang w:val="en-us" w:eastAsia="en-us" w:bidi="en-us"/>
      </w:rPr>
    </w:lvl>
    <w:lvl w:ilvl="1">
      <w:start w:val="0"/>
      <w:numFmt w:val="bullet"/>
      <w:lvlText w:val="•"/>
      <w:lvlJc w:val="left"/>
      <w:pPr>
        <w:ind w:left="1073" w:hanging="261"/>
      </w:pPr>
      <w:rPr>
        <w:rFonts w:hint="default"/>
        <w:lang w:val="en-us" w:eastAsia="en-us" w:bidi="en-us"/>
      </w:rPr>
    </w:lvl>
    <w:lvl w:ilvl="2">
      <w:start w:val="0"/>
      <w:numFmt w:val="bullet"/>
      <w:lvlText w:val="•"/>
      <w:lvlJc w:val="left"/>
      <w:pPr>
        <w:ind w:left="1747" w:hanging="261"/>
      </w:pPr>
      <w:rPr>
        <w:rFonts w:hint="default"/>
        <w:lang w:val="en-us" w:eastAsia="en-us" w:bidi="en-us"/>
      </w:rPr>
    </w:lvl>
    <w:lvl w:ilvl="3">
      <w:start w:val="0"/>
      <w:numFmt w:val="bullet"/>
      <w:lvlText w:val="•"/>
      <w:lvlJc w:val="left"/>
      <w:pPr>
        <w:ind w:left="2420" w:hanging="261"/>
      </w:pPr>
      <w:rPr>
        <w:rFonts w:hint="default"/>
        <w:lang w:val="en-us" w:eastAsia="en-us" w:bidi="en-us"/>
      </w:rPr>
    </w:lvl>
    <w:lvl w:ilvl="4">
      <w:start w:val="0"/>
      <w:numFmt w:val="bullet"/>
      <w:lvlText w:val="•"/>
      <w:lvlJc w:val="left"/>
      <w:pPr>
        <w:ind w:left="3094" w:hanging="261"/>
      </w:pPr>
      <w:rPr>
        <w:rFonts w:hint="default"/>
        <w:lang w:val="en-us" w:eastAsia="en-us" w:bidi="en-us"/>
      </w:rPr>
    </w:lvl>
    <w:lvl w:ilvl="5">
      <w:start w:val="0"/>
      <w:numFmt w:val="bullet"/>
      <w:lvlText w:val="•"/>
      <w:lvlJc w:val="left"/>
      <w:pPr>
        <w:ind w:left="3768" w:hanging="261"/>
      </w:pPr>
      <w:rPr>
        <w:rFonts w:hint="default"/>
        <w:lang w:val="en-us" w:eastAsia="en-us" w:bidi="en-us"/>
      </w:rPr>
    </w:lvl>
    <w:lvl w:ilvl="6">
      <w:start w:val="0"/>
      <w:numFmt w:val="bullet"/>
      <w:lvlText w:val="•"/>
      <w:lvlJc w:val="left"/>
      <w:pPr>
        <w:ind w:left="4441" w:hanging="261"/>
      </w:pPr>
      <w:rPr>
        <w:rFonts w:hint="default"/>
        <w:lang w:val="en-us" w:eastAsia="en-us" w:bidi="en-us"/>
      </w:rPr>
    </w:lvl>
    <w:lvl w:ilvl="7">
      <w:start w:val="0"/>
      <w:numFmt w:val="bullet"/>
      <w:lvlText w:val="•"/>
      <w:lvlJc w:val="left"/>
      <w:pPr>
        <w:ind w:left="5115" w:hanging="261"/>
      </w:pPr>
      <w:rPr>
        <w:rFonts w:hint="default"/>
        <w:lang w:val="en-us" w:eastAsia="en-us" w:bidi="en-us"/>
      </w:rPr>
    </w:lvl>
    <w:lvl w:ilvl="8">
      <w:start w:val="0"/>
      <w:numFmt w:val="bullet"/>
      <w:lvlText w:val="•"/>
      <w:lvlJc w:val="left"/>
      <w:pPr>
        <w:ind w:left="5788" w:hanging="261"/>
      </w:pPr>
      <w:rPr>
        <w:rFonts w:hint="default"/>
        <w:lang w:val="en-us" w:eastAsia="en-us" w:bidi="en-us"/>
      </w:rPr>
    </w:lvl>
  </w:abstractNum>
  <w:abstractNum w:abstractNumId="6">
    <w:multiLevelType w:val="hybridMultilevel"/>
    <w:lvl w:ilvl="0">
      <w:start w:val="0"/>
      <w:numFmt w:val="bullet"/>
      <w:lvlText w:val="•"/>
      <w:lvlJc w:val="left"/>
      <w:pPr>
        <w:ind w:left="455" w:hanging="261"/>
      </w:pPr>
      <w:rPr>
        <w:rFonts w:hint="default" w:ascii="Verdana" w:hAnsi="Verdana" w:eastAsia="Verdana" w:cs="Verdana"/>
        <w:spacing w:val="-28"/>
        <w:w w:val="100"/>
        <w:sz w:val="18"/>
        <w:szCs w:val="18"/>
        <w:lang w:val="en-us" w:eastAsia="en-us" w:bidi="en-us"/>
      </w:rPr>
    </w:lvl>
    <w:lvl w:ilvl="1">
      <w:start w:val="0"/>
      <w:numFmt w:val="bullet"/>
      <w:lvlText w:val="•"/>
      <w:lvlJc w:val="left"/>
      <w:pPr>
        <w:ind w:left="1134" w:hanging="261"/>
      </w:pPr>
      <w:rPr>
        <w:rFonts w:hint="default"/>
        <w:lang w:val="en-us" w:eastAsia="en-us" w:bidi="en-us"/>
      </w:rPr>
    </w:lvl>
    <w:lvl w:ilvl="2">
      <w:start w:val="0"/>
      <w:numFmt w:val="bullet"/>
      <w:lvlText w:val="•"/>
      <w:lvlJc w:val="left"/>
      <w:pPr>
        <w:ind w:left="1808" w:hanging="261"/>
      </w:pPr>
      <w:rPr>
        <w:rFonts w:hint="default"/>
        <w:lang w:val="en-us" w:eastAsia="en-us" w:bidi="en-us"/>
      </w:rPr>
    </w:lvl>
    <w:lvl w:ilvl="3">
      <w:start w:val="0"/>
      <w:numFmt w:val="bullet"/>
      <w:lvlText w:val="•"/>
      <w:lvlJc w:val="left"/>
      <w:pPr>
        <w:ind w:left="2482" w:hanging="261"/>
      </w:pPr>
      <w:rPr>
        <w:rFonts w:hint="default"/>
        <w:lang w:val="en-us" w:eastAsia="en-us" w:bidi="en-us"/>
      </w:rPr>
    </w:lvl>
    <w:lvl w:ilvl="4">
      <w:start w:val="0"/>
      <w:numFmt w:val="bullet"/>
      <w:lvlText w:val="•"/>
      <w:lvlJc w:val="left"/>
      <w:pPr>
        <w:ind w:left="3156" w:hanging="261"/>
      </w:pPr>
      <w:rPr>
        <w:rFonts w:hint="default"/>
        <w:lang w:val="en-us" w:eastAsia="en-us" w:bidi="en-us"/>
      </w:rPr>
    </w:lvl>
    <w:lvl w:ilvl="5">
      <w:start w:val="0"/>
      <w:numFmt w:val="bullet"/>
      <w:lvlText w:val="•"/>
      <w:lvlJc w:val="left"/>
      <w:pPr>
        <w:ind w:left="3830" w:hanging="261"/>
      </w:pPr>
      <w:rPr>
        <w:rFonts w:hint="default"/>
        <w:lang w:val="en-us" w:eastAsia="en-us" w:bidi="en-us"/>
      </w:rPr>
    </w:lvl>
    <w:lvl w:ilvl="6">
      <w:start w:val="0"/>
      <w:numFmt w:val="bullet"/>
      <w:lvlText w:val="•"/>
      <w:lvlJc w:val="left"/>
      <w:pPr>
        <w:ind w:left="4504" w:hanging="261"/>
      </w:pPr>
      <w:rPr>
        <w:rFonts w:hint="default"/>
        <w:lang w:val="en-us" w:eastAsia="en-us" w:bidi="en-us"/>
      </w:rPr>
    </w:lvl>
    <w:lvl w:ilvl="7">
      <w:start w:val="0"/>
      <w:numFmt w:val="bullet"/>
      <w:lvlText w:val="•"/>
      <w:lvlJc w:val="left"/>
      <w:pPr>
        <w:ind w:left="5178" w:hanging="261"/>
      </w:pPr>
      <w:rPr>
        <w:rFonts w:hint="default"/>
        <w:lang w:val="en-us" w:eastAsia="en-us" w:bidi="en-us"/>
      </w:rPr>
    </w:lvl>
    <w:lvl w:ilvl="8">
      <w:start w:val="0"/>
      <w:numFmt w:val="bullet"/>
      <w:lvlText w:val="•"/>
      <w:lvlJc w:val="left"/>
      <w:pPr>
        <w:ind w:left="5852" w:hanging="261"/>
      </w:pPr>
      <w:rPr>
        <w:rFonts w:hint="default"/>
        <w:lang w:val="en-us" w:eastAsia="en-us" w:bidi="en-us"/>
      </w:rPr>
    </w:lvl>
  </w:abstractNum>
  <w:abstractNum w:abstractNumId="5">
    <w:multiLevelType w:val="hybridMultilevel"/>
    <w:lvl w:ilvl="0">
      <w:start w:val="0"/>
      <w:numFmt w:val="bullet"/>
      <w:lvlText w:val="•"/>
      <w:lvlJc w:val="left"/>
      <w:pPr>
        <w:ind w:left="455" w:hanging="261"/>
      </w:pPr>
      <w:rPr>
        <w:rFonts w:hint="default" w:ascii="Verdana" w:hAnsi="Verdana" w:eastAsia="Verdana" w:cs="Verdana"/>
        <w:spacing w:val="-28"/>
        <w:w w:val="100"/>
        <w:sz w:val="18"/>
        <w:szCs w:val="18"/>
        <w:lang w:val="en-us" w:eastAsia="en-us" w:bidi="en-us"/>
      </w:rPr>
    </w:lvl>
    <w:lvl w:ilvl="1">
      <w:start w:val="0"/>
      <w:numFmt w:val="bullet"/>
      <w:lvlText w:val="•"/>
      <w:lvlJc w:val="left"/>
      <w:pPr>
        <w:ind w:left="1134" w:hanging="261"/>
      </w:pPr>
      <w:rPr>
        <w:rFonts w:hint="default"/>
        <w:lang w:val="en-us" w:eastAsia="en-us" w:bidi="en-us"/>
      </w:rPr>
    </w:lvl>
    <w:lvl w:ilvl="2">
      <w:start w:val="0"/>
      <w:numFmt w:val="bullet"/>
      <w:lvlText w:val="•"/>
      <w:lvlJc w:val="left"/>
      <w:pPr>
        <w:ind w:left="1808" w:hanging="261"/>
      </w:pPr>
      <w:rPr>
        <w:rFonts w:hint="default"/>
        <w:lang w:val="en-us" w:eastAsia="en-us" w:bidi="en-us"/>
      </w:rPr>
    </w:lvl>
    <w:lvl w:ilvl="3">
      <w:start w:val="0"/>
      <w:numFmt w:val="bullet"/>
      <w:lvlText w:val="•"/>
      <w:lvlJc w:val="left"/>
      <w:pPr>
        <w:ind w:left="2482" w:hanging="261"/>
      </w:pPr>
      <w:rPr>
        <w:rFonts w:hint="default"/>
        <w:lang w:val="en-us" w:eastAsia="en-us" w:bidi="en-us"/>
      </w:rPr>
    </w:lvl>
    <w:lvl w:ilvl="4">
      <w:start w:val="0"/>
      <w:numFmt w:val="bullet"/>
      <w:lvlText w:val="•"/>
      <w:lvlJc w:val="left"/>
      <w:pPr>
        <w:ind w:left="3156" w:hanging="261"/>
      </w:pPr>
      <w:rPr>
        <w:rFonts w:hint="default"/>
        <w:lang w:val="en-us" w:eastAsia="en-us" w:bidi="en-us"/>
      </w:rPr>
    </w:lvl>
    <w:lvl w:ilvl="5">
      <w:start w:val="0"/>
      <w:numFmt w:val="bullet"/>
      <w:lvlText w:val="•"/>
      <w:lvlJc w:val="left"/>
      <w:pPr>
        <w:ind w:left="3830" w:hanging="261"/>
      </w:pPr>
      <w:rPr>
        <w:rFonts w:hint="default"/>
        <w:lang w:val="en-us" w:eastAsia="en-us" w:bidi="en-us"/>
      </w:rPr>
    </w:lvl>
    <w:lvl w:ilvl="6">
      <w:start w:val="0"/>
      <w:numFmt w:val="bullet"/>
      <w:lvlText w:val="•"/>
      <w:lvlJc w:val="left"/>
      <w:pPr>
        <w:ind w:left="4504" w:hanging="261"/>
      </w:pPr>
      <w:rPr>
        <w:rFonts w:hint="default"/>
        <w:lang w:val="en-us" w:eastAsia="en-us" w:bidi="en-us"/>
      </w:rPr>
    </w:lvl>
    <w:lvl w:ilvl="7">
      <w:start w:val="0"/>
      <w:numFmt w:val="bullet"/>
      <w:lvlText w:val="•"/>
      <w:lvlJc w:val="left"/>
      <w:pPr>
        <w:ind w:left="5178" w:hanging="261"/>
      </w:pPr>
      <w:rPr>
        <w:rFonts w:hint="default"/>
        <w:lang w:val="en-us" w:eastAsia="en-us" w:bidi="en-us"/>
      </w:rPr>
    </w:lvl>
    <w:lvl w:ilvl="8">
      <w:start w:val="0"/>
      <w:numFmt w:val="bullet"/>
      <w:lvlText w:val="•"/>
      <w:lvlJc w:val="left"/>
      <w:pPr>
        <w:ind w:left="5852" w:hanging="261"/>
      </w:pPr>
      <w:rPr>
        <w:rFonts w:hint="default"/>
        <w:lang w:val="en-us" w:eastAsia="en-us" w:bidi="en-us"/>
      </w:rPr>
    </w:lvl>
  </w:abstractNum>
  <w:abstractNum w:abstractNumId="4">
    <w:multiLevelType w:val="hybridMultilevel"/>
    <w:lvl w:ilvl="0">
      <w:start w:val="4"/>
      <w:numFmt w:val="decimal"/>
      <w:lvlText w:val="(%1)"/>
      <w:lvlJc w:val="left"/>
      <w:pPr>
        <w:ind w:left="424" w:hanging="304"/>
        <w:jc w:val="left"/>
      </w:pPr>
      <w:rPr>
        <w:rFonts w:hint="default" w:ascii="Arial" w:hAnsi="Arial" w:eastAsia="Arial" w:cs="Arial"/>
        <w:spacing w:val="0"/>
        <w:w w:val="100"/>
        <w:sz w:val="20"/>
        <w:szCs w:val="20"/>
        <w:lang w:val="en-us" w:eastAsia="en-us" w:bidi="en-us"/>
      </w:rPr>
    </w:lvl>
    <w:lvl w:ilvl="1">
      <w:start w:val="0"/>
      <w:numFmt w:val="bullet"/>
      <w:lvlText w:val="•"/>
      <w:lvlJc w:val="left"/>
      <w:pPr>
        <w:ind w:left="420" w:hanging="304"/>
      </w:pPr>
      <w:rPr>
        <w:rFonts w:hint="default"/>
        <w:lang w:val="en-us" w:eastAsia="en-us" w:bidi="en-us"/>
      </w:rPr>
    </w:lvl>
    <w:lvl w:ilvl="2">
      <w:start w:val="0"/>
      <w:numFmt w:val="bullet"/>
      <w:lvlText w:val="•"/>
      <w:lvlJc w:val="left"/>
      <w:pPr>
        <w:ind w:left="1440" w:hanging="304"/>
      </w:pPr>
      <w:rPr>
        <w:rFonts w:hint="default"/>
        <w:lang w:val="en-us" w:eastAsia="en-us" w:bidi="en-us"/>
      </w:rPr>
    </w:lvl>
    <w:lvl w:ilvl="3">
      <w:start w:val="0"/>
      <w:numFmt w:val="bullet"/>
      <w:lvlText w:val="•"/>
      <w:lvlJc w:val="left"/>
      <w:pPr>
        <w:ind w:left="2460" w:hanging="304"/>
      </w:pPr>
      <w:rPr>
        <w:rFonts w:hint="default"/>
        <w:lang w:val="en-us" w:eastAsia="en-us" w:bidi="en-us"/>
      </w:rPr>
    </w:lvl>
    <w:lvl w:ilvl="4">
      <w:start w:val="0"/>
      <w:numFmt w:val="bullet"/>
      <w:lvlText w:val="•"/>
      <w:lvlJc w:val="left"/>
      <w:pPr>
        <w:ind w:left="3480" w:hanging="304"/>
      </w:pPr>
      <w:rPr>
        <w:rFonts w:hint="default"/>
        <w:lang w:val="en-us" w:eastAsia="en-us" w:bidi="en-us"/>
      </w:rPr>
    </w:lvl>
    <w:lvl w:ilvl="5">
      <w:start w:val="0"/>
      <w:numFmt w:val="bullet"/>
      <w:lvlText w:val="•"/>
      <w:lvlJc w:val="left"/>
      <w:pPr>
        <w:ind w:left="4500" w:hanging="304"/>
      </w:pPr>
      <w:rPr>
        <w:rFonts w:hint="default"/>
        <w:lang w:val="en-us" w:eastAsia="en-us" w:bidi="en-us"/>
      </w:rPr>
    </w:lvl>
    <w:lvl w:ilvl="6">
      <w:start w:val="0"/>
      <w:numFmt w:val="bullet"/>
      <w:lvlText w:val="•"/>
      <w:lvlJc w:val="left"/>
      <w:pPr>
        <w:ind w:left="5520" w:hanging="304"/>
      </w:pPr>
      <w:rPr>
        <w:rFonts w:hint="default"/>
        <w:lang w:val="en-us" w:eastAsia="en-us" w:bidi="en-us"/>
      </w:rPr>
    </w:lvl>
    <w:lvl w:ilvl="7">
      <w:start w:val="0"/>
      <w:numFmt w:val="bullet"/>
      <w:lvlText w:val="•"/>
      <w:lvlJc w:val="left"/>
      <w:pPr>
        <w:ind w:left="6540" w:hanging="304"/>
      </w:pPr>
      <w:rPr>
        <w:rFonts w:hint="default"/>
        <w:lang w:val="en-us" w:eastAsia="en-us" w:bidi="en-us"/>
      </w:rPr>
    </w:lvl>
    <w:lvl w:ilvl="8">
      <w:start w:val="0"/>
      <w:numFmt w:val="bullet"/>
      <w:lvlText w:val="•"/>
      <w:lvlJc w:val="left"/>
      <w:pPr>
        <w:ind w:left="7560" w:hanging="304"/>
      </w:pPr>
      <w:rPr>
        <w:rFonts w:hint="default"/>
        <w:lang w:val="en-us" w:eastAsia="en-us" w:bidi="en-us"/>
      </w:rPr>
    </w:lvl>
  </w:abstractNum>
  <w:abstractNum w:abstractNumId="3">
    <w:multiLevelType w:val="hybridMultilevel"/>
    <w:lvl w:ilvl="0">
      <w:start w:val="1"/>
      <w:numFmt w:val="decimal"/>
      <w:lvlText w:val="%1."/>
      <w:lvlJc w:val="left"/>
      <w:pPr>
        <w:ind w:left="983" w:hanging="864"/>
        <w:jc w:val="left"/>
      </w:pPr>
      <w:rPr>
        <w:rFonts w:hint="default" w:ascii="Arial" w:hAnsi="Arial" w:eastAsia="Arial" w:cs="Arial"/>
        <w:b/>
        <w:bCs/>
        <w:color w:val="09357D"/>
        <w:spacing w:val="-1"/>
        <w:w w:val="100"/>
        <w:sz w:val="36"/>
        <w:szCs w:val="36"/>
        <w:lang w:val="en-us" w:eastAsia="en-us" w:bidi="en-us"/>
      </w:rPr>
    </w:lvl>
    <w:lvl w:ilvl="1">
      <w:start w:val="1"/>
      <w:numFmt w:val="decimal"/>
      <w:lvlText w:val="%1.%2"/>
      <w:lvlJc w:val="left"/>
      <w:pPr>
        <w:ind w:left="1043" w:hanging="864"/>
        <w:jc w:val="left"/>
      </w:pPr>
      <w:rPr>
        <w:rFonts w:hint="default" w:ascii="Arial" w:hAnsi="Arial" w:eastAsia="Arial" w:cs="Arial"/>
        <w:b/>
        <w:bCs/>
        <w:color w:val="09357D"/>
        <w:spacing w:val="-5"/>
        <w:w w:val="100"/>
        <w:sz w:val="32"/>
        <w:szCs w:val="32"/>
        <w:lang w:val="en-us" w:eastAsia="en-us" w:bidi="en-us"/>
      </w:rPr>
    </w:lvl>
    <w:lvl w:ilvl="2">
      <w:start w:val="0"/>
      <w:numFmt w:val="bullet"/>
      <w:lvlText w:val="•"/>
      <w:lvlJc w:val="left"/>
      <w:pPr>
        <w:ind w:left="1260" w:hanging="360"/>
      </w:pPr>
      <w:rPr>
        <w:rFonts w:hint="default"/>
        <w:spacing w:val="-4"/>
        <w:w w:val="100"/>
        <w:lang w:val="en-us" w:eastAsia="en-us" w:bidi="en-us"/>
      </w:rPr>
    </w:lvl>
    <w:lvl w:ilvl="3">
      <w:start w:val="0"/>
      <w:numFmt w:val="bullet"/>
      <w:lvlText w:val="–"/>
      <w:lvlJc w:val="left"/>
      <w:pPr>
        <w:ind w:left="1620" w:hanging="360"/>
      </w:pPr>
      <w:rPr>
        <w:rFonts w:hint="default" w:ascii="Arial" w:hAnsi="Arial" w:eastAsia="Arial" w:cs="Arial"/>
        <w:spacing w:val="-5"/>
        <w:w w:val="100"/>
        <w:sz w:val="20"/>
        <w:szCs w:val="20"/>
        <w:lang w:val="en-us" w:eastAsia="en-us" w:bidi="en-us"/>
      </w:rPr>
    </w:lvl>
    <w:lvl w:ilvl="4">
      <w:start w:val="0"/>
      <w:numFmt w:val="bullet"/>
      <w:lvlText w:val="o"/>
      <w:lvlJc w:val="left"/>
      <w:pPr>
        <w:ind w:left="1980" w:hanging="360"/>
      </w:pPr>
      <w:rPr>
        <w:rFonts w:hint="default" w:ascii="Courier New" w:hAnsi="Courier New" w:eastAsia="Courier New" w:cs="Courier New"/>
        <w:spacing w:val="-4"/>
        <w:w w:val="100"/>
        <w:sz w:val="20"/>
        <w:szCs w:val="20"/>
        <w:lang w:val="en-us" w:eastAsia="en-us" w:bidi="en-us"/>
      </w:rPr>
    </w:lvl>
    <w:lvl w:ilvl="5">
      <w:start w:val="0"/>
      <w:numFmt w:val="bullet"/>
      <w:lvlText w:val="•"/>
      <w:lvlJc w:val="left"/>
      <w:pPr>
        <w:ind w:left="3250" w:hanging="360"/>
      </w:pPr>
      <w:rPr>
        <w:rFonts w:hint="default"/>
        <w:lang w:val="en-us" w:eastAsia="en-us" w:bidi="en-us"/>
      </w:rPr>
    </w:lvl>
    <w:lvl w:ilvl="6">
      <w:start w:val="0"/>
      <w:numFmt w:val="bullet"/>
      <w:lvlText w:val="•"/>
      <w:lvlJc w:val="left"/>
      <w:pPr>
        <w:ind w:left="4520" w:hanging="360"/>
      </w:pPr>
      <w:rPr>
        <w:rFonts w:hint="default"/>
        <w:lang w:val="en-us" w:eastAsia="en-us" w:bidi="en-us"/>
      </w:rPr>
    </w:lvl>
    <w:lvl w:ilvl="7">
      <w:start w:val="0"/>
      <w:numFmt w:val="bullet"/>
      <w:lvlText w:val="•"/>
      <w:lvlJc w:val="left"/>
      <w:pPr>
        <w:ind w:left="5790" w:hanging="360"/>
      </w:pPr>
      <w:rPr>
        <w:rFonts w:hint="default"/>
        <w:lang w:val="en-us" w:eastAsia="en-us" w:bidi="en-us"/>
      </w:rPr>
    </w:lvl>
    <w:lvl w:ilvl="8">
      <w:start w:val="0"/>
      <w:numFmt w:val="bullet"/>
      <w:lvlText w:val="•"/>
      <w:lvlJc w:val="left"/>
      <w:pPr>
        <w:ind w:left="7060" w:hanging="360"/>
      </w:pPr>
      <w:rPr>
        <w:rFonts w:hint="default"/>
        <w:lang w:val="en-us" w:eastAsia="en-us" w:bidi="en-us"/>
      </w:rPr>
    </w:lvl>
  </w:abstractNum>
  <w:abstractNum w:abstractNumId="2">
    <w:multiLevelType w:val="hybridMultilevel"/>
    <w:lvl w:ilvl="0">
      <w:start w:val="1"/>
      <w:numFmt w:val="decimal"/>
      <w:lvlText w:val="%1."/>
      <w:lvlJc w:val="left"/>
      <w:pPr>
        <w:ind w:left="828" w:hanging="708"/>
        <w:jc w:val="left"/>
      </w:pPr>
      <w:rPr>
        <w:rFonts w:hint="default" w:ascii="Arial" w:hAnsi="Arial" w:eastAsia="Arial" w:cs="Arial"/>
        <w:spacing w:val="-5"/>
        <w:w w:val="100"/>
        <w:sz w:val="20"/>
        <w:szCs w:val="20"/>
        <w:lang w:val="en-us" w:eastAsia="en-us" w:bidi="en-us"/>
      </w:rPr>
    </w:lvl>
    <w:lvl w:ilvl="1">
      <w:start w:val="0"/>
      <w:numFmt w:val="bullet"/>
      <w:lvlText w:val="•"/>
      <w:lvlJc w:val="left"/>
      <w:pPr>
        <w:ind w:left="1200" w:hanging="360"/>
      </w:pPr>
      <w:rPr>
        <w:rFonts w:hint="default" w:ascii="Arial" w:hAnsi="Arial" w:eastAsia="Arial" w:cs="Arial"/>
        <w:spacing w:val="-10"/>
        <w:w w:val="100"/>
        <w:sz w:val="20"/>
        <w:szCs w:val="20"/>
        <w:lang w:val="en-us" w:eastAsia="en-us" w:bidi="en-us"/>
      </w:rPr>
    </w:lvl>
    <w:lvl w:ilvl="2">
      <w:start w:val="0"/>
      <w:numFmt w:val="bullet"/>
      <w:lvlText w:val="–"/>
      <w:lvlJc w:val="left"/>
      <w:pPr>
        <w:ind w:left="1560" w:hanging="360"/>
      </w:pPr>
      <w:rPr>
        <w:rFonts w:hint="default" w:ascii="Arial" w:hAnsi="Arial" w:eastAsia="Arial" w:cs="Arial"/>
        <w:spacing w:val="-5"/>
        <w:w w:val="100"/>
        <w:sz w:val="20"/>
        <w:szCs w:val="20"/>
        <w:lang w:val="en-us" w:eastAsia="en-us" w:bidi="en-us"/>
      </w:rPr>
    </w:lvl>
    <w:lvl w:ilvl="3">
      <w:start w:val="0"/>
      <w:numFmt w:val="bullet"/>
      <w:lvlText w:val="•"/>
      <w:lvlJc w:val="left"/>
      <w:pPr>
        <w:ind w:left="1560" w:hanging="360"/>
      </w:pPr>
      <w:rPr>
        <w:rFonts w:hint="default"/>
        <w:lang w:val="en-us" w:eastAsia="en-us" w:bidi="en-us"/>
      </w:rPr>
    </w:lvl>
    <w:lvl w:ilvl="4">
      <w:start w:val="0"/>
      <w:numFmt w:val="bullet"/>
      <w:lvlText w:val="•"/>
      <w:lvlJc w:val="left"/>
      <w:pPr>
        <w:ind w:left="2708" w:hanging="360"/>
      </w:pPr>
      <w:rPr>
        <w:rFonts w:hint="default"/>
        <w:lang w:val="en-us" w:eastAsia="en-us" w:bidi="en-us"/>
      </w:rPr>
    </w:lvl>
    <w:lvl w:ilvl="5">
      <w:start w:val="0"/>
      <w:numFmt w:val="bullet"/>
      <w:lvlText w:val="•"/>
      <w:lvlJc w:val="left"/>
      <w:pPr>
        <w:ind w:left="3857" w:hanging="360"/>
      </w:pPr>
      <w:rPr>
        <w:rFonts w:hint="default"/>
        <w:lang w:val="en-us" w:eastAsia="en-us" w:bidi="en-us"/>
      </w:rPr>
    </w:lvl>
    <w:lvl w:ilvl="6">
      <w:start w:val="0"/>
      <w:numFmt w:val="bullet"/>
      <w:lvlText w:val="•"/>
      <w:lvlJc w:val="left"/>
      <w:pPr>
        <w:ind w:left="5005" w:hanging="360"/>
      </w:pPr>
      <w:rPr>
        <w:rFonts w:hint="default"/>
        <w:lang w:val="en-us" w:eastAsia="en-us" w:bidi="en-us"/>
      </w:rPr>
    </w:lvl>
    <w:lvl w:ilvl="7">
      <w:start w:val="0"/>
      <w:numFmt w:val="bullet"/>
      <w:lvlText w:val="•"/>
      <w:lvlJc w:val="left"/>
      <w:pPr>
        <w:ind w:left="6154" w:hanging="360"/>
      </w:pPr>
      <w:rPr>
        <w:rFonts w:hint="default"/>
        <w:lang w:val="en-us" w:eastAsia="en-us" w:bidi="en-us"/>
      </w:rPr>
    </w:lvl>
    <w:lvl w:ilvl="8">
      <w:start w:val="0"/>
      <w:numFmt w:val="bullet"/>
      <w:lvlText w:val="•"/>
      <w:lvlJc w:val="left"/>
      <w:pPr>
        <w:ind w:left="7302" w:hanging="360"/>
      </w:pPr>
      <w:rPr>
        <w:rFonts w:hint="default"/>
        <w:lang w:val="en-us" w:eastAsia="en-us" w:bidi="en-us"/>
      </w:rPr>
    </w:lvl>
  </w:abstractNum>
  <w:abstractNum w:abstractNumId="1">
    <w:multiLevelType w:val="hybridMultilevel"/>
    <w:lvl w:ilvl="0">
      <w:start w:val="2"/>
      <w:numFmt w:val="decimal"/>
      <w:lvlText w:val="%1."/>
      <w:lvlJc w:val="left"/>
      <w:pPr>
        <w:ind w:left="828" w:hanging="708"/>
        <w:jc w:val="left"/>
      </w:pPr>
      <w:rPr>
        <w:rFonts w:hint="default" w:ascii="Arial" w:hAnsi="Arial" w:eastAsia="Arial" w:cs="Arial"/>
        <w:spacing w:val="-16"/>
        <w:w w:val="100"/>
        <w:sz w:val="20"/>
        <w:szCs w:val="20"/>
        <w:lang w:val="en-us" w:eastAsia="en-us" w:bidi="en-us"/>
      </w:rPr>
    </w:lvl>
    <w:lvl w:ilvl="1">
      <w:start w:val="0"/>
      <w:numFmt w:val="bullet"/>
      <w:lvlText w:val="•"/>
      <w:lvlJc w:val="left"/>
      <w:pPr>
        <w:ind w:left="1698" w:hanging="708"/>
      </w:pPr>
      <w:rPr>
        <w:rFonts w:hint="default"/>
        <w:lang w:val="en-us" w:eastAsia="en-us" w:bidi="en-us"/>
      </w:rPr>
    </w:lvl>
    <w:lvl w:ilvl="2">
      <w:start w:val="0"/>
      <w:numFmt w:val="bullet"/>
      <w:lvlText w:val="•"/>
      <w:lvlJc w:val="left"/>
      <w:pPr>
        <w:ind w:left="2576" w:hanging="708"/>
      </w:pPr>
      <w:rPr>
        <w:rFonts w:hint="default"/>
        <w:lang w:val="en-us" w:eastAsia="en-us" w:bidi="en-us"/>
      </w:rPr>
    </w:lvl>
    <w:lvl w:ilvl="3">
      <w:start w:val="0"/>
      <w:numFmt w:val="bullet"/>
      <w:lvlText w:val="•"/>
      <w:lvlJc w:val="left"/>
      <w:pPr>
        <w:ind w:left="3454" w:hanging="708"/>
      </w:pPr>
      <w:rPr>
        <w:rFonts w:hint="default"/>
        <w:lang w:val="en-us" w:eastAsia="en-us" w:bidi="en-us"/>
      </w:rPr>
    </w:lvl>
    <w:lvl w:ilvl="4">
      <w:start w:val="0"/>
      <w:numFmt w:val="bullet"/>
      <w:lvlText w:val="•"/>
      <w:lvlJc w:val="left"/>
      <w:pPr>
        <w:ind w:left="4332" w:hanging="708"/>
      </w:pPr>
      <w:rPr>
        <w:rFonts w:hint="default"/>
        <w:lang w:val="en-us" w:eastAsia="en-us" w:bidi="en-us"/>
      </w:rPr>
    </w:lvl>
    <w:lvl w:ilvl="5">
      <w:start w:val="0"/>
      <w:numFmt w:val="bullet"/>
      <w:lvlText w:val="•"/>
      <w:lvlJc w:val="left"/>
      <w:pPr>
        <w:ind w:left="5210" w:hanging="708"/>
      </w:pPr>
      <w:rPr>
        <w:rFonts w:hint="default"/>
        <w:lang w:val="en-us" w:eastAsia="en-us" w:bidi="en-us"/>
      </w:rPr>
    </w:lvl>
    <w:lvl w:ilvl="6">
      <w:start w:val="0"/>
      <w:numFmt w:val="bullet"/>
      <w:lvlText w:val="•"/>
      <w:lvlJc w:val="left"/>
      <w:pPr>
        <w:ind w:left="6088" w:hanging="708"/>
      </w:pPr>
      <w:rPr>
        <w:rFonts w:hint="default"/>
        <w:lang w:val="en-us" w:eastAsia="en-us" w:bidi="en-us"/>
      </w:rPr>
    </w:lvl>
    <w:lvl w:ilvl="7">
      <w:start w:val="0"/>
      <w:numFmt w:val="bullet"/>
      <w:lvlText w:val="•"/>
      <w:lvlJc w:val="left"/>
      <w:pPr>
        <w:ind w:left="6966" w:hanging="708"/>
      </w:pPr>
      <w:rPr>
        <w:rFonts w:hint="default"/>
        <w:lang w:val="en-us" w:eastAsia="en-us" w:bidi="en-us"/>
      </w:rPr>
    </w:lvl>
    <w:lvl w:ilvl="8">
      <w:start w:val="0"/>
      <w:numFmt w:val="bullet"/>
      <w:lvlText w:val="•"/>
      <w:lvlJc w:val="left"/>
      <w:pPr>
        <w:ind w:left="7844" w:hanging="708"/>
      </w:pPr>
      <w:rPr>
        <w:rFonts w:hint="default"/>
        <w:lang w:val="en-us" w:eastAsia="en-us" w:bidi="en-us"/>
      </w:rPr>
    </w:lvl>
  </w:abstractNum>
  <w:abstractNum w:abstractNumId="0">
    <w:multiLevelType w:val="hybridMultilevel"/>
    <w:lvl w:ilvl="0">
      <w:start w:val="1"/>
      <w:numFmt w:val="decimal"/>
      <w:lvlText w:val="%1."/>
      <w:lvlJc w:val="left"/>
      <w:pPr>
        <w:ind w:left="668" w:hanging="548"/>
        <w:jc w:val="left"/>
      </w:pPr>
      <w:rPr>
        <w:rFonts w:hint="default" w:ascii="Arial" w:hAnsi="Arial" w:eastAsia="Arial" w:cs="Arial"/>
        <w:b/>
        <w:bCs/>
        <w:spacing w:val="-3"/>
        <w:w w:val="100"/>
        <w:sz w:val="20"/>
        <w:szCs w:val="20"/>
        <w:lang w:val="en-us" w:eastAsia="en-us" w:bidi="en-us"/>
      </w:rPr>
    </w:lvl>
    <w:lvl w:ilvl="1">
      <w:start w:val="1"/>
      <w:numFmt w:val="decimal"/>
      <w:lvlText w:val="%1.%2"/>
      <w:lvlJc w:val="left"/>
      <w:pPr>
        <w:ind w:left="1200" w:hanging="540"/>
        <w:jc w:val="left"/>
      </w:pPr>
      <w:rPr>
        <w:rFonts w:hint="default" w:ascii="Arial" w:hAnsi="Arial" w:eastAsia="Arial" w:cs="Arial"/>
        <w:spacing w:val="-5"/>
        <w:w w:val="100"/>
        <w:sz w:val="20"/>
        <w:szCs w:val="20"/>
        <w:lang w:val="en-us" w:eastAsia="en-us" w:bidi="en-us"/>
      </w:rPr>
    </w:lvl>
    <w:lvl w:ilvl="2">
      <w:start w:val="1"/>
      <w:numFmt w:val="decimal"/>
      <w:lvlText w:val="%1.%2.%3"/>
      <w:lvlJc w:val="left"/>
      <w:pPr>
        <w:ind w:left="1920" w:hanging="720"/>
        <w:jc w:val="left"/>
      </w:pPr>
      <w:rPr>
        <w:rFonts w:hint="default" w:ascii="Arial" w:hAnsi="Arial" w:eastAsia="Arial" w:cs="Arial"/>
        <w:spacing w:val="-4"/>
        <w:w w:val="100"/>
        <w:position w:val="1"/>
        <w:sz w:val="20"/>
        <w:szCs w:val="20"/>
        <w:lang w:val="en-us" w:eastAsia="en-us" w:bidi="en-us"/>
      </w:rPr>
    </w:lvl>
    <w:lvl w:ilvl="3">
      <w:start w:val="0"/>
      <w:numFmt w:val="bullet"/>
      <w:lvlText w:val="•"/>
      <w:lvlJc w:val="left"/>
      <w:pPr>
        <w:ind w:left="2880" w:hanging="720"/>
      </w:pPr>
      <w:rPr>
        <w:rFonts w:hint="default"/>
        <w:lang w:val="en-us" w:eastAsia="en-us" w:bidi="en-us"/>
      </w:rPr>
    </w:lvl>
    <w:lvl w:ilvl="4">
      <w:start w:val="0"/>
      <w:numFmt w:val="bullet"/>
      <w:lvlText w:val="•"/>
      <w:lvlJc w:val="left"/>
      <w:pPr>
        <w:ind w:left="3840" w:hanging="720"/>
      </w:pPr>
      <w:rPr>
        <w:rFonts w:hint="default"/>
        <w:lang w:val="en-us" w:eastAsia="en-us" w:bidi="en-us"/>
      </w:rPr>
    </w:lvl>
    <w:lvl w:ilvl="5">
      <w:start w:val="0"/>
      <w:numFmt w:val="bullet"/>
      <w:lvlText w:val="•"/>
      <w:lvlJc w:val="left"/>
      <w:pPr>
        <w:ind w:left="4800" w:hanging="720"/>
      </w:pPr>
      <w:rPr>
        <w:rFonts w:hint="default"/>
        <w:lang w:val="en-us" w:eastAsia="en-us" w:bidi="en-us"/>
      </w:rPr>
    </w:lvl>
    <w:lvl w:ilvl="6">
      <w:start w:val="0"/>
      <w:numFmt w:val="bullet"/>
      <w:lvlText w:val="•"/>
      <w:lvlJc w:val="left"/>
      <w:pPr>
        <w:ind w:left="5760" w:hanging="720"/>
      </w:pPr>
      <w:rPr>
        <w:rFonts w:hint="default"/>
        <w:lang w:val="en-us" w:eastAsia="en-us" w:bidi="en-us"/>
      </w:rPr>
    </w:lvl>
    <w:lvl w:ilvl="7">
      <w:start w:val="0"/>
      <w:numFmt w:val="bullet"/>
      <w:lvlText w:val="•"/>
      <w:lvlJc w:val="left"/>
      <w:pPr>
        <w:ind w:left="6720" w:hanging="720"/>
      </w:pPr>
      <w:rPr>
        <w:rFonts w:hint="default"/>
        <w:lang w:val="en-us" w:eastAsia="en-us" w:bidi="en-us"/>
      </w:rPr>
    </w:lvl>
    <w:lvl w:ilvl="8">
      <w:start w:val="0"/>
      <w:numFmt w:val="bullet"/>
      <w:lvlText w:val="•"/>
      <w:lvlJc w:val="left"/>
      <w:pPr>
        <w:ind w:left="7680" w:hanging="720"/>
      </w:pPr>
      <w:rPr>
        <w:rFonts w:hint="default"/>
        <w:lang w:val="en-us" w:eastAsia="en-us" w:bidi="en-us"/>
      </w:rPr>
    </w:lvl>
  </w:abstract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TOC1" w:type="paragraph">
    <w:name w:val="TOC 1"/>
    <w:basedOn w:val="Normal"/>
    <w:uiPriority w:val="1"/>
    <w:qFormat/>
    <w:pPr>
      <w:spacing w:before="322"/>
      <w:ind w:left="668" w:hanging="548"/>
    </w:pPr>
    <w:rPr>
      <w:rFonts w:ascii="Arial" w:hAnsi="Arial" w:eastAsia="Arial" w:cs="Arial"/>
      <w:b/>
      <w:bCs/>
      <w:sz w:val="20"/>
      <w:szCs w:val="20"/>
      <w:lang w:val="en-us" w:eastAsia="en-us" w:bidi="en-us"/>
    </w:rPr>
  </w:style>
  <w:style w:styleId="TOC2" w:type="paragraph">
    <w:name w:val="TOC 2"/>
    <w:basedOn w:val="Normal"/>
    <w:uiPriority w:val="1"/>
    <w:qFormat/>
    <w:pPr>
      <w:spacing w:before="2"/>
      <w:ind w:left="667"/>
    </w:pPr>
    <w:rPr>
      <w:rFonts w:ascii="Arial" w:hAnsi="Arial" w:eastAsia="Arial" w:cs="Arial"/>
      <w:b/>
      <w:bCs/>
      <w:sz w:val="20"/>
      <w:szCs w:val="20"/>
      <w:lang w:val="en-us" w:eastAsia="en-us" w:bidi="en-us"/>
    </w:rPr>
  </w:style>
  <w:style w:styleId="TOC3" w:type="paragraph">
    <w:name w:val="TOC 3"/>
    <w:basedOn w:val="Normal"/>
    <w:uiPriority w:val="1"/>
    <w:qFormat/>
    <w:pPr>
      <w:spacing w:before="158"/>
      <w:ind w:left="1200" w:hanging="540"/>
    </w:pPr>
    <w:rPr>
      <w:rFonts w:ascii="Arial" w:hAnsi="Arial" w:eastAsia="Arial" w:cs="Arial"/>
      <w:sz w:val="20"/>
      <w:szCs w:val="20"/>
      <w:lang w:val="en-us" w:eastAsia="en-us" w:bidi="en-us"/>
    </w:rPr>
  </w:style>
  <w:style w:styleId="TOC4" w:type="paragraph">
    <w:name w:val="TOC 4"/>
    <w:basedOn w:val="Normal"/>
    <w:uiPriority w:val="1"/>
    <w:qFormat/>
    <w:pPr>
      <w:spacing w:before="2"/>
      <w:ind w:left="1920" w:hanging="720"/>
    </w:pPr>
    <w:rPr>
      <w:rFonts w:ascii="Arial" w:hAnsi="Arial" w:eastAsia="Arial" w:cs="Arial"/>
      <w:sz w:val="20"/>
      <w:szCs w:val="20"/>
      <w:lang w:val="en-us" w:eastAsia="en-us" w:bidi="en-us"/>
    </w:rPr>
  </w:style>
  <w:style w:styleId="BodyText" w:type="paragraph">
    <w:name w:val="Body Text"/>
    <w:basedOn w:val="Normal"/>
    <w:uiPriority w:val="1"/>
    <w:qFormat/>
    <w:pPr/>
    <w:rPr>
      <w:rFonts w:ascii="Arial" w:hAnsi="Arial" w:eastAsia="Arial" w:cs="Arial"/>
      <w:sz w:val="20"/>
      <w:szCs w:val="20"/>
      <w:lang w:val="en-us" w:eastAsia="en-us" w:bidi="en-us"/>
    </w:rPr>
  </w:style>
  <w:style w:styleId="Heading1" w:type="paragraph">
    <w:name w:val="Heading 1"/>
    <w:basedOn w:val="Normal"/>
    <w:uiPriority w:val="1"/>
    <w:qFormat/>
    <w:pPr>
      <w:spacing w:before="84"/>
      <w:ind w:left="120"/>
      <w:outlineLvl w:val="1"/>
    </w:pPr>
    <w:rPr>
      <w:rFonts w:ascii="Arial" w:hAnsi="Arial" w:eastAsia="Arial" w:cs="Arial"/>
      <w:b/>
      <w:bCs/>
      <w:sz w:val="40"/>
      <w:szCs w:val="40"/>
      <w:lang w:val="en-us" w:eastAsia="en-us" w:bidi="en-us"/>
    </w:rPr>
  </w:style>
  <w:style w:styleId="Heading2" w:type="paragraph">
    <w:name w:val="Heading 2"/>
    <w:basedOn w:val="Normal"/>
    <w:uiPriority w:val="1"/>
    <w:qFormat/>
    <w:pPr>
      <w:spacing w:before="88"/>
      <w:ind w:left="1043" w:hanging="864"/>
      <w:outlineLvl w:val="2"/>
    </w:pPr>
    <w:rPr>
      <w:rFonts w:ascii="Arial" w:hAnsi="Arial" w:eastAsia="Arial" w:cs="Arial"/>
      <w:b/>
      <w:bCs/>
      <w:sz w:val="36"/>
      <w:szCs w:val="36"/>
      <w:lang w:val="en-us" w:eastAsia="en-us" w:bidi="en-us"/>
    </w:rPr>
  </w:style>
  <w:style w:styleId="Heading3" w:type="paragraph">
    <w:name w:val="Heading 3"/>
    <w:basedOn w:val="Normal"/>
    <w:uiPriority w:val="1"/>
    <w:qFormat/>
    <w:pPr>
      <w:spacing w:before="90"/>
      <w:ind w:left="1043" w:hanging="864"/>
      <w:outlineLvl w:val="3"/>
    </w:pPr>
    <w:rPr>
      <w:rFonts w:ascii="Arial" w:hAnsi="Arial" w:eastAsia="Arial" w:cs="Arial"/>
      <w:b/>
      <w:bCs/>
      <w:sz w:val="32"/>
      <w:szCs w:val="32"/>
      <w:lang w:val="en-us" w:eastAsia="en-us" w:bidi="en-us"/>
    </w:rPr>
  </w:style>
  <w:style w:styleId="Heading4" w:type="paragraph">
    <w:name w:val="Heading 4"/>
    <w:basedOn w:val="Normal"/>
    <w:uiPriority w:val="1"/>
    <w:qFormat/>
    <w:pPr>
      <w:spacing w:before="108"/>
      <w:ind w:hanging="865"/>
      <w:outlineLvl w:val="4"/>
    </w:pPr>
    <w:rPr>
      <w:rFonts w:ascii="Arial" w:hAnsi="Arial" w:eastAsia="Arial" w:cs="Arial"/>
      <w:b/>
      <w:bCs/>
      <w:sz w:val="28"/>
      <w:szCs w:val="28"/>
      <w:lang w:val="en-us" w:eastAsia="en-us" w:bidi="en-us"/>
    </w:rPr>
  </w:style>
  <w:style w:styleId="Heading5" w:type="paragraph">
    <w:name w:val="Heading 5"/>
    <w:basedOn w:val="Normal"/>
    <w:uiPriority w:val="1"/>
    <w:qFormat/>
    <w:pPr>
      <w:spacing w:before="94"/>
      <w:ind w:left="1260" w:hanging="1080"/>
      <w:outlineLvl w:val="5"/>
    </w:pPr>
    <w:rPr>
      <w:rFonts w:ascii="Arial" w:hAnsi="Arial" w:eastAsia="Arial" w:cs="Arial"/>
      <w:b/>
      <w:bCs/>
      <w:sz w:val="20"/>
      <w:szCs w:val="20"/>
      <w:lang w:val="en-us" w:eastAsia="en-us" w:bidi="en-us"/>
    </w:rPr>
  </w:style>
  <w:style w:styleId="ListParagraph" w:type="paragraph">
    <w:name w:val="List Paragraph"/>
    <w:basedOn w:val="Normal"/>
    <w:uiPriority w:val="1"/>
    <w:qFormat/>
    <w:pPr>
      <w:spacing w:before="62"/>
      <w:ind w:left="828" w:hanging="708"/>
    </w:pPr>
    <w:rPr>
      <w:rFonts w:ascii="Arial" w:hAnsi="Arial" w:eastAsia="Arial" w:cs="Arial"/>
      <w:lang w:val="en-us" w:eastAsia="en-us" w:bidi="en-us"/>
    </w:rPr>
  </w:style>
  <w:style w:styleId="TableParagraph" w:type="paragraph">
    <w:name w:val="Table Paragraph"/>
    <w:basedOn w:val="Normal"/>
    <w:uiPriority w:val="1"/>
    <w:qFormat/>
    <w:pPr>
      <w:spacing w:before="38"/>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17" Type="http://schemas.openxmlformats.org/officeDocument/2006/relationships/footer" Target="footer12.xml"/><Relationship Id="rId21" Type="http://schemas.openxmlformats.org/officeDocument/2006/relationships/image" Target="media/image7.jpeg"/><Relationship Id="rId42" Type="http://schemas.openxmlformats.org/officeDocument/2006/relationships/footer" Target="footer7.xml"/><Relationship Id="rId63" Type="http://schemas.openxmlformats.org/officeDocument/2006/relationships/image" Target="media/image18.jpeg"/><Relationship Id="rId84" Type="http://schemas.openxmlformats.org/officeDocument/2006/relationships/image" Target="media/image29.jpeg"/><Relationship Id="rId138" Type="http://schemas.openxmlformats.org/officeDocument/2006/relationships/hyperlink" Target="https://supportmore.msu.edu/-/media/assets/supportmore/docs/2022-msu-know-more-survey-results-supplemental-tables.pdf#Table_F_7c" TargetMode="External"/><Relationship Id="rId159" Type="http://schemas.openxmlformats.org/officeDocument/2006/relationships/image" Target="media/image65.jpeg"/><Relationship Id="rId170" Type="http://schemas.openxmlformats.org/officeDocument/2006/relationships/hyperlink" Target="https://supportmore.msu.edu/-/media/assets/supportmore/docs/2022-msu-know-more-survey-results-supplemental-tables.pdf#Table_G_5d" TargetMode="External"/><Relationship Id="rId191" Type="http://schemas.openxmlformats.org/officeDocument/2006/relationships/image" Target="media/image79.jpeg"/><Relationship Id="rId205" Type="http://schemas.openxmlformats.org/officeDocument/2006/relationships/hyperlink" Target="https://supportmore.msu.edu/-/media/assets/supportmore/docs/2022-msu-know-more-survey-results-supplemental-tables.pdf#Table_G_9f" TargetMode="External"/><Relationship Id="rId226" Type="http://schemas.openxmlformats.org/officeDocument/2006/relationships/image" Target="media/image97.jpeg"/><Relationship Id="rId247" Type="http://schemas.openxmlformats.org/officeDocument/2006/relationships/footer" Target="footer14.xml"/><Relationship Id="rId107" Type="http://schemas.openxmlformats.org/officeDocument/2006/relationships/image" Target="media/image43.jpeg"/><Relationship Id="rId11" Type="http://schemas.openxmlformats.org/officeDocument/2006/relationships/footer" Target="footer1.xml"/><Relationship Id="rId32" Type="http://schemas.openxmlformats.org/officeDocument/2006/relationships/hyperlink" Target="https://supportmore.msu.edu/dashboard" TargetMode="External"/><Relationship Id="rId53" Type="http://schemas.openxmlformats.org/officeDocument/2006/relationships/hyperlink" Target="https://supportmore.msu.edu/-/media/assets/supportmore/docs/2022-msu-know-more-survey-results-supplemental-tables.pdf#Table_D_3a3" TargetMode="External"/><Relationship Id="rId74" Type="http://schemas.openxmlformats.org/officeDocument/2006/relationships/hyperlink" Target="https://supportmore.msu.edu/-/media/assets/supportmore/docs/2022-msu-know-more-survey-results-supplemental-tables.pdf#Table_D_8b" TargetMode="External"/><Relationship Id="rId128" Type="http://schemas.openxmlformats.org/officeDocument/2006/relationships/hyperlink" Target="https://supportmore.msu.edu/-/media/assets/supportmore/docs/2022-msu-know-more-survey-results-supplemental-tables.pdf#Table_F_5a1" TargetMode="External"/><Relationship Id="rId149" Type="http://schemas.openxmlformats.org/officeDocument/2006/relationships/hyperlink" Target="https://supportmore.msu.edu/-/media/assets/supportmore/docs/2022-msu-know-more-survey-results-supplemental-tables.pdf#Table_G_2a" TargetMode="External"/><Relationship Id="rId5" Type="http://schemas.openxmlformats.org/officeDocument/2006/relationships/image" Target="media/image1.png"/><Relationship Id="rId95" Type="http://schemas.openxmlformats.org/officeDocument/2006/relationships/image" Target="media/image36.jpeg"/><Relationship Id="rId160" Type="http://schemas.openxmlformats.org/officeDocument/2006/relationships/hyperlink" Target="https://supportmore.msu.edu/-/media/assets/supportmore/docs/2022-msu-know-more-survey-results-supplemental-tables.pdf#Table_G_4a" TargetMode="External"/><Relationship Id="rId181" Type="http://schemas.openxmlformats.org/officeDocument/2006/relationships/image" Target="media/image74.jpeg"/><Relationship Id="rId216" Type="http://schemas.openxmlformats.org/officeDocument/2006/relationships/image" Target="media/image92.jpeg"/><Relationship Id="rId237" Type="http://schemas.openxmlformats.org/officeDocument/2006/relationships/hyperlink" Target="https://supportmore.msu.edu/-/media/assets/supportmore/docs/2022-msu-know-more-survey-results-supplemental-tables.pdf#Table_G_13b" TargetMode="External"/><Relationship Id="rId22" Type="http://schemas.openxmlformats.org/officeDocument/2006/relationships/hyperlink" Target="https://supportmore.msu.edu/-/media/assets/supportmore/docs/2022-msu-know-more-survey-results-supplemental-tables.pdf#Table_E_4" TargetMode="External"/><Relationship Id="rId43" Type="http://schemas.openxmlformats.org/officeDocument/2006/relationships/header" Target="header8.xml"/><Relationship Id="rId64" Type="http://schemas.openxmlformats.org/officeDocument/2006/relationships/hyperlink" Target="https://supportmore.msu.edu/-/media/assets/supportmore/docs/2022-msu-know-more-survey-results-supplemental-tables.pdf#Table_D_4" TargetMode="External"/><Relationship Id="rId118" Type="http://schemas.openxmlformats.org/officeDocument/2006/relationships/image" Target="media/image46.jpeg"/><Relationship Id="rId139" Type="http://schemas.openxmlformats.org/officeDocument/2006/relationships/image" Target="media/image55.jpeg"/><Relationship Id="rId85" Type="http://schemas.openxmlformats.org/officeDocument/2006/relationships/hyperlink" Target="https://supportmore.msu.edu/-/media/assets/supportmore/docs/2022-msu-know-more-survey-results-supplemental-tables.pdf#Table_D_12b" TargetMode="External"/><Relationship Id="rId150" Type="http://schemas.openxmlformats.org/officeDocument/2006/relationships/hyperlink" Target="https://supportmore.msu.edu/-/media/assets/supportmore/docs/2022-msu-know-more-survey-results-supplemental-tables.pdf#Table_G_3a" TargetMode="External"/><Relationship Id="rId171" Type="http://schemas.openxmlformats.org/officeDocument/2006/relationships/image" Target="media/image69.jpeg"/><Relationship Id="rId192" Type="http://schemas.openxmlformats.org/officeDocument/2006/relationships/image" Target="media/image80.jpeg"/><Relationship Id="rId206" Type="http://schemas.openxmlformats.org/officeDocument/2006/relationships/image" Target="media/image87.jpeg"/><Relationship Id="rId227" Type="http://schemas.openxmlformats.org/officeDocument/2006/relationships/hyperlink" Target="https://supportmore.msu.edu/-/media/assets/supportmore/docs/2022-msu-know-more-survey-results-supplemental-tables.pdf#Table_G_11a" TargetMode="External"/><Relationship Id="rId248" Type="http://schemas.openxmlformats.org/officeDocument/2006/relationships/numbering" Target="numbering.xml"/><Relationship Id="rId12" Type="http://schemas.openxmlformats.org/officeDocument/2006/relationships/header" Target="header2.xml"/><Relationship Id="rId33" Type="http://schemas.openxmlformats.org/officeDocument/2006/relationships/hyperlink" Target="https://www.bjs.gov/content/pub/pdf/ccsvsftr.pdf" TargetMode="External"/><Relationship Id="rId108" Type="http://schemas.openxmlformats.org/officeDocument/2006/relationships/hyperlink" Target="https://supportmore.msu.edu/-/media/assets/supportmore/docs/2022-msu-know-more-survey-results-supplemental-tables.pdf#Table_E_1a" TargetMode="External"/><Relationship Id="rId129" Type="http://schemas.openxmlformats.org/officeDocument/2006/relationships/hyperlink" Target="https://supportmore.msu.edu/-/media/assets/supportmore/docs/2022-msu-know-more-survey-results-supplemental-tables.pdf#Table_F_5b5" TargetMode="External"/><Relationship Id="rId54" Type="http://schemas.openxmlformats.org/officeDocument/2006/relationships/image" Target="media/image11.jpeg"/><Relationship Id="rId75" Type="http://schemas.openxmlformats.org/officeDocument/2006/relationships/hyperlink" Target="https://supportmore.msu.edu/-/media/assets/supportmore/docs/2022-msu-know-more-survey-results-supplemental-tables.pdf#Table_D_8c" TargetMode="External"/><Relationship Id="rId96" Type="http://schemas.openxmlformats.org/officeDocument/2006/relationships/hyperlink" Target="https://supportmore.msu.edu/-/media/assets/supportmore/docs/2022-msu-know-more-survey-results-supplemental-tables.pdf#Table_D_15a" TargetMode="External"/><Relationship Id="rId140" Type="http://schemas.openxmlformats.org/officeDocument/2006/relationships/image" Target="media/image56.jpeg"/><Relationship Id="rId161" Type="http://schemas.openxmlformats.org/officeDocument/2006/relationships/hyperlink" Target="https://supportmore.msu.edu/-/media/assets/supportmore/docs/2022-msu-know-more-survey-results-supplemental-tables.pdf#Table_G_5a" TargetMode="External"/><Relationship Id="rId182" Type="http://schemas.openxmlformats.org/officeDocument/2006/relationships/hyperlink" Target="https://supportmore.msu.edu/-/media/assets/supportmore/docs/2022-msu-know-more-survey-results-supplemental-tables.pdf#Table_G_8b" TargetMode="External"/><Relationship Id="rId217" Type="http://schemas.openxmlformats.org/officeDocument/2006/relationships/hyperlink" Target="https://supportmore.msu.edu/-/media/assets/supportmore/docs/2022-msu-know-more-survey-results-supplemental-tables.pdf#Table_G_10d" TargetMode="External"/><Relationship Id="rId6" Type="http://schemas.openxmlformats.org/officeDocument/2006/relationships/image" Target="media/image2.png"/><Relationship Id="rId238" Type="http://schemas.openxmlformats.org/officeDocument/2006/relationships/image" Target="media/image103.jpeg"/><Relationship Id="rId23" Type="http://schemas.openxmlformats.org/officeDocument/2006/relationships/image" Target="media/image8.png"/><Relationship Id="rId119" Type="http://schemas.openxmlformats.org/officeDocument/2006/relationships/hyperlink" Target="https://supportmore.msu.edu/-/media/assets/supportmore/docs/2022-msu-know-more-survey-results-supplemental-tables.pdf#Table_F_8b5" TargetMode="External"/><Relationship Id="rId44" Type="http://schemas.openxmlformats.org/officeDocument/2006/relationships/footer" Target="footer8.xml"/><Relationship Id="rId65" Type="http://schemas.openxmlformats.org/officeDocument/2006/relationships/image" Target="media/image19.jpeg"/><Relationship Id="rId86" Type="http://schemas.openxmlformats.org/officeDocument/2006/relationships/hyperlink" Target="https://supportmore.msu.edu/-/media/assets/supportmore/docs/2022-msu-know-more-survey-results-supplemental-tables.pdf#Table_D_12c" TargetMode="External"/><Relationship Id="rId130" Type="http://schemas.openxmlformats.org/officeDocument/2006/relationships/image" Target="media/image51.jpeg"/><Relationship Id="rId151" Type="http://schemas.openxmlformats.org/officeDocument/2006/relationships/image" Target="media/image61.png"/><Relationship Id="rId172" Type="http://schemas.openxmlformats.org/officeDocument/2006/relationships/hyperlink" Target="https://supportmore.msu.edu/-/media/assets/supportmore/docs/2022-msu-know-more-survey-results-supplemental-tables.pdf#Table_G_7a" TargetMode="External"/><Relationship Id="rId193" Type="http://schemas.openxmlformats.org/officeDocument/2006/relationships/hyperlink" Target="https://supportmore.msu.edu/-/media/assets/supportmore/docs/2022-msu-know-more-survey-results-supplemental-tables.pdf#Table_G_8h" TargetMode="External"/><Relationship Id="rId207" Type="http://schemas.openxmlformats.org/officeDocument/2006/relationships/hyperlink" Target="https://supportmore.msu.edu/-/media/assets/supportmore/docs/2022-msu-know-more-survey-results-supplemental-tables.pdf#Table_G_9g" TargetMode="External"/><Relationship Id="rId228" Type="http://schemas.openxmlformats.org/officeDocument/2006/relationships/image" Target="media/image98.jpeg"/><Relationship Id="rId249" Type="http://schemas.openxmlformats.org/officeDocument/2006/relationships/customXml" Target="../customXml/item1.xml"/><Relationship Id="rId13" Type="http://schemas.openxmlformats.org/officeDocument/2006/relationships/footer" Target="footer2.xml"/><Relationship Id="rId109" Type="http://schemas.openxmlformats.org/officeDocument/2006/relationships/hyperlink" Target="https://supportmore.msu.edu/-/media/assets/supportmore/docs/2022-msu-know-more-survey-results-supplemental-tables.pdf#Table_E_1f" TargetMode="External"/><Relationship Id="rId34" Type="http://schemas.openxmlformats.org/officeDocument/2006/relationships/hyperlink" Target="https://bjs.ojp.gov/content/pub/pdf/ccsvsftr.pdf" TargetMode="External"/><Relationship Id="rId55" Type="http://schemas.openxmlformats.org/officeDocument/2006/relationships/image" Target="media/image12.jpeg"/><Relationship Id="rId76" Type="http://schemas.openxmlformats.org/officeDocument/2006/relationships/image" Target="media/image24.jpeg"/><Relationship Id="rId97" Type="http://schemas.openxmlformats.org/officeDocument/2006/relationships/hyperlink" Target="https://doi.org/10.1177/0149206311418835" TargetMode="External"/><Relationship Id="rId120" Type="http://schemas.openxmlformats.org/officeDocument/2006/relationships/image" Target="media/image47.jpeg"/><Relationship Id="rId141" Type="http://schemas.openxmlformats.org/officeDocument/2006/relationships/hyperlink" Target="https://supportmore.msu.edu/-/media/assets/supportmore/docs/2022-msu-know-more-survey-results-supplemental-tables.pdf#Table_G_1a" TargetMode="External"/><Relationship Id="rId7" Type="http://schemas.openxmlformats.org/officeDocument/2006/relationships/image" Target="media/image3.png"/><Relationship Id="rId162" Type="http://schemas.openxmlformats.org/officeDocument/2006/relationships/image" Target="media/image66.jpeg"/><Relationship Id="rId183" Type="http://schemas.openxmlformats.org/officeDocument/2006/relationships/image" Target="media/image75.jpeg"/><Relationship Id="rId218" Type="http://schemas.openxmlformats.org/officeDocument/2006/relationships/image" Target="media/image93.jpeg"/><Relationship Id="rId239" Type="http://schemas.openxmlformats.org/officeDocument/2006/relationships/hyperlink" Target="https://supportmore.msu.edu/-/media/assets/supportmore/docs/2022-msu-know-more-survey-results-supplemental-tables.pdf#Table_G_13c" TargetMode="External"/><Relationship Id="rId250" Type="http://schemas.openxmlformats.org/officeDocument/2006/relationships/customXml" Target="../customXml/item2.xml"/><Relationship Id="rId24" Type="http://schemas.openxmlformats.org/officeDocument/2006/relationships/hyperlink" Target="https://supportmore.msu.edu/-/media/assets/supportmore/docs/2022-msu-know-more-survey-results-supplemental-tables.pdf#Table_F_8a1" TargetMode="External"/><Relationship Id="rId45" Type="http://schemas.openxmlformats.org/officeDocument/2006/relationships/header" Target="header9.xml"/><Relationship Id="rId66" Type="http://schemas.openxmlformats.org/officeDocument/2006/relationships/hyperlink" Target="https://supportmore.msu.edu/-/media/assets/supportmore/docs/2022-msu-know-more-survey-results-supplemental-tables.pdf#Table_D_5" TargetMode="External"/><Relationship Id="rId87" Type="http://schemas.openxmlformats.org/officeDocument/2006/relationships/image" Target="media/image30.jpeg"/><Relationship Id="rId110" Type="http://schemas.openxmlformats.org/officeDocument/2006/relationships/image" Target="media/image44.jpeg"/><Relationship Id="rId131" Type="http://schemas.openxmlformats.org/officeDocument/2006/relationships/hyperlink" Target="https://supportmore.msu.edu/-/media/assets/supportmore/docs/2022-msu-know-more-survey-results-supplemental-tables.pdf#Table_F_6a" TargetMode="External"/><Relationship Id="rId152" Type="http://schemas.openxmlformats.org/officeDocument/2006/relationships/hyperlink" Target="https://supportmore.msu.edu/-/media/assets/supportmore/docs/2022-msu-know-more-survey-results-supplemental-tables.pdf#Table_G_6a" TargetMode="External"/><Relationship Id="rId173" Type="http://schemas.openxmlformats.org/officeDocument/2006/relationships/image" Target="media/image70.jpeg"/><Relationship Id="rId194" Type="http://schemas.openxmlformats.org/officeDocument/2006/relationships/image" Target="media/image81.jpeg"/><Relationship Id="rId208" Type="http://schemas.openxmlformats.org/officeDocument/2006/relationships/image" Target="media/image88.jpeg"/><Relationship Id="rId229" Type="http://schemas.openxmlformats.org/officeDocument/2006/relationships/hyperlink" Target="https://supportmore.msu.edu/-/media/assets/supportmore/docs/2022-msu-know-more-survey-results-supplemental-tables.pdf#Table_G_11b" TargetMode="External"/><Relationship Id="rId240" Type="http://schemas.openxmlformats.org/officeDocument/2006/relationships/image" Target="media/image104.jpeg"/><Relationship Id="rId14" Type="http://schemas.openxmlformats.org/officeDocument/2006/relationships/header" Target="header3.xml"/><Relationship Id="rId35" Type="http://schemas.openxmlformats.org/officeDocument/2006/relationships/hyperlink" Target="https://doi.org/10.1177/15248380211038690" TargetMode="External"/><Relationship Id="rId56" Type="http://schemas.openxmlformats.org/officeDocument/2006/relationships/image" Target="media/image13.jpeg"/><Relationship Id="rId77" Type="http://schemas.openxmlformats.org/officeDocument/2006/relationships/image" Target="media/image25.jpeg"/><Relationship Id="rId100" Type="http://schemas.openxmlformats.org/officeDocument/2006/relationships/hyperlink" Target="https://supportmore.msu.edu/-/media/assets/supportmore/docs/2022-msu-know-more-survey-results-supplemental-tables.pdf#Table_E_5" TargetMode="External"/><Relationship Id="rId8" Type="http://schemas.openxmlformats.org/officeDocument/2006/relationships/hyperlink" Target="https://www.rti.org/" TargetMode="External"/><Relationship Id="rId98" Type="http://schemas.openxmlformats.org/officeDocument/2006/relationships/image" Target="media/image37.jpeg"/><Relationship Id="rId121" Type="http://schemas.openxmlformats.org/officeDocument/2006/relationships/hyperlink" Target="https://supportmore.msu.edu/-/media/assets/supportmore/docs/2022-msu-know-more-survey-results-supplemental-tables.pdf#Table_F_2a1" TargetMode="External"/><Relationship Id="rId142" Type="http://schemas.openxmlformats.org/officeDocument/2006/relationships/image" Target="media/image57.jpeg"/><Relationship Id="rId163" Type="http://schemas.openxmlformats.org/officeDocument/2006/relationships/hyperlink" Target="https://supportmore.msu.edu/-/media/assets/supportmore/docs/2022-msu-know-more-survey-results-supplemental-tables.pdf#Table_G_4b" TargetMode="External"/><Relationship Id="rId184" Type="http://schemas.openxmlformats.org/officeDocument/2006/relationships/hyperlink" Target="https://supportmore.msu.edu/-/media/assets/supportmore/docs/2022-msu-know-more-survey-results-supplemental-tables.pdf#Table_G_8c" TargetMode="External"/><Relationship Id="rId219" Type="http://schemas.openxmlformats.org/officeDocument/2006/relationships/hyperlink" Target="https://supportmore.msu.edu/-/media/assets/supportmore/docs/2022-msu-know-more-survey-results-supplemental-tables.pdf#Table_G_10e" TargetMode="External"/><Relationship Id="rId230" Type="http://schemas.openxmlformats.org/officeDocument/2006/relationships/image" Target="media/image99.jpeg"/><Relationship Id="rId251" Type="http://schemas.openxmlformats.org/officeDocument/2006/relationships/customXml" Target="../customXml/item3.xml"/><Relationship Id="rId25" Type="http://schemas.openxmlformats.org/officeDocument/2006/relationships/hyperlink" Target="https://supportmore.msu.edu/-/media/assets/supportmore/docs/2022-msu-know-more-survey-results-supplemental-tables.pdf#Table_F_8a5" TargetMode="External"/><Relationship Id="rId46" Type="http://schemas.openxmlformats.org/officeDocument/2006/relationships/footer" Target="footer9.xml"/><Relationship Id="rId67" Type="http://schemas.openxmlformats.org/officeDocument/2006/relationships/image" Target="media/image20.jpeg"/><Relationship Id="rId88" Type="http://schemas.openxmlformats.org/officeDocument/2006/relationships/image" Target="media/image31.jpeg"/><Relationship Id="rId111" Type="http://schemas.openxmlformats.org/officeDocument/2006/relationships/hyperlink" Target="https://supportmore.msu.edu/-/media/assets/supportmore/docs/2022-msu-know-more-survey-results-supplemental-tables.pdf#Table_E_2a" TargetMode="External"/><Relationship Id="rId132" Type="http://schemas.openxmlformats.org/officeDocument/2006/relationships/hyperlink" Target="https://supportmore.msu.edu/-/media/assets/supportmore/docs/2022-msu-know-more-survey-results-supplemental-tables.pdf#Table_F_6c" TargetMode="External"/><Relationship Id="rId153" Type="http://schemas.openxmlformats.org/officeDocument/2006/relationships/image" Target="media/image62.jpeg"/><Relationship Id="rId174" Type="http://schemas.openxmlformats.org/officeDocument/2006/relationships/hyperlink" Target="https://supportmore.msu.edu/-/media/assets/supportmore/docs/2022-msu-know-more-survey-results-supplemental-tables.pdf#Table_G_7b" TargetMode="External"/><Relationship Id="rId195" Type="http://schemas.openxmlformats.org/officeDocument/2006/relationships/hyperlink" Target="https://supportmore.msu.edu/-/media/assets/supportmore/docs/2022-msu-know-more-survey-results-supplemental-tables.pdf#Table_G_9a" TargetMode="External"/><Relationship Id="rId209" Type="http://schemas.openxmlformats.org/officeDocument/2006/relationships/hyperlink" Target="https://supportmore.msu.edu/-/media/assets/supportmore/docs/2022-msu-know-more-survey-results-supplemental-tables.pdf#Table_G_9h" TargetMode="External"/><Relationship Id="rId220" Type="http://schemas.openxmlformats.org/officeDocument/2006/relationships/image" Target="media/image94.jpeg"/><Relationship Id="rId241" Type="http://schemas.openxmlformats.org/officeDocument/2006/relationships/hyperlink" Target="https://supportmore.msu.edu/-/media/assets/supportmore/docs/2022-msu-know-more-survey-results-supplemental-tables.pdf#Table_G_13d" TargetMode="External"/><Relationship Id="rId15" Type="http://schemas.openxmlformats.org/officeDocument/2006/relationships/footer" Target="footer3.xml"/><Relationship Id="rId36" Type="http://schemas.openxmlformats.org/officeDocument/2006/relationships/hyperlink" Target="https://doi.org/10.1016/j.jcrimjus.2021.101806" TargetMode="External"/><Relationship Id="rId57" Type="http://schemas.openxmlformats.org/officeDocument/2006/relationships/image" Target="media/image14.jpeg"/><Relationship Id="rId78" Type="http://schemas.openxmlformats.org/officeDocument/2006/relationships/image" Target="media/image26.jpeg"/><Relationship Id="rId99" Type="http://schemas.openxmlformats.org/officeDocument/2006/relationships/image" Target="media/image38.jpeg"/><Relationship Id="rId101" Type="http://schemas.openxmlformats.org/officeDocument/2006/relationships/image" Target="media/image39.jpeg"/><Relationship Id="rId122" Type="http://schemas.openxmlformats.org/officeDocument/2006/relationships/hyperlink" Target="https://supportmore.msu.edu/-/media/assets/supportmore/docs/2022-msu-know-more-survey-results-supplemental-tables.pdf#Table_F_3b5" TargetMode="External"/><Relationship Id="rId143" Type="http://schemas.openxmlformats.org/officeDocument/2006/relationships/hyperlink" Target="https://supportmore.msu.edu/-/media/assets/supportmore/docs/2022-msu-know-more-survey-results-supplemental-tables.pdf#Table_G_1b" TargetMode="External"/><Relationship Id="rId164" Type="http://schemas.openxmlformats.org/officeDocument/2006/relationships/hyperlink" Target="https://supportmore.msu.edu/-/media/assets/supportmore/docs/2022-msu-know-more-survey-results-supplemental-tables.pdf#Table_G_5b" TargetMode="External"/><Relationship Id="rId185"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hyperlink" Target="https://supportmore.msu.edu/-/media/assets/supportmore/docs/2022-msu-know-more-survey-results-supplemental-tables.pdf#Table_G_8a" TargetMode="External"/><Relationship Id="rId210" Type="http://schemas.openxmlformats.org/officeDocument/2006/relationships/image" Target="media/image89.jpeg"/><Relationship Id="rId215" Type="http://schemas.openxmlformats.org/officeDocument/2006/relationships/hyperlink" Target="https://supportmore.msu.edu/-/media/assets/supportmore/docs/2022-msu-know-more-survey-results-supplemental-tables.pdf#Table_G_10c" TargetMode="External"/><Relationship Id="rId236" Type="http://schemas.openxmlformats.org/officeDocument/2006/relationships/image" Target="media/image102.jpeg"/><Relationship Id="rId26" Type="http://schemas.openxmlformats.org/officeDocument/2006/relationships/hyperlink" Target="https://supportmore.msu.edu/-/media/assets/supportmore/docs/2022-msu-know-more-survey-results-supplemental-tables.pdf#Table_F_3a1" TargetMode="External"/><Relationship Id="rId231" Type="http://schemas.openxmlformats.org/officeDocument/2006/relationships/hyperlink" Target="https://supportmore.msu.edu/-/media/assets/supportmore/docs/2022-msu-know-more-survey-results-supplemental-tables.pdf#Table_G_12a" TargetMode="External"/><Relationship Id="rId47" Type="http://schemas.openxmlformats.org/officeDocument/2006/relationships/header" Target="header10.xml"/><Relationship Id="rId68" Type="http://schemas.openxmlformats.org/officeDocument/2006/relationships/image" Target="media/image21.jpeg"/><Relationship Id="rId89" Type="http://schemas.openxmlformats.org/officeDocument/2006/relationships/image" Target="media/image32.jpeg"/><Relationship Id="rId112" Type="http://schemas.openxmlformats.org/officeDocument/2006/relationships/image" Target="media/image45.jpeg"/><Relationship Id="rId133" Type="http://schemas.openxmlformats.org/officeDocument/2006/relationships/image" Target="media/image52.jpeg"/><Relationship Id="rId154" Type="http://schemas.openxmlformats.org/officeDocument/2006/relationships/hyperlink" Target="https://supportmore.msu.edu/-/media/assets/supportmore/docs/2022-msu-know-more-survey-results-supplemental-tables.pdf#Table_G_6b" TargetMode="External"/><Relationship Id="rId175" Type="http://schemas.openxmlformats.org/officeDocument/2006/relationships/image" Target="media/image71.jpeg"/><Relationship Id="rId196" Type="http://schemas.openxmlformats.org/officeDocument/2006/relationships/image" Target="media/image82.jpeg"/><Relationship Id="rId200" Type="http://schemas.openxmlformats.org/officeDocument/2006/relationships/image" Target="media/image84.jpeg"/><Relationship Id="rId16" Type="http://schemas.openxmlformats.org/officeDocument/2006/relationships/hyperlink" Target="https://gscc.msu.edu/education/glossary.html" TargetMode="External"/><Relationship Id="rId221" Type="http://schemas.openxmlformats.org/officeDocument/2006/relationships/hyperlink" Target="https://supportmore.msu.edu/-/media/assets/supportmore/docs/2022-msu-know-more-survey-results-supplemental-tables.pdf#Table_G_10f" TargetMode="External"/><Relationship Id="rId242" Type="http://schemas.openxmlformats.org/officeDocument/2006/relationships/hyperlink" Target="https://civilrights.msu.edu/_assets/documents/MSUreport.pdf" TargetMode="External"/><Relationship Id="rId37" Type="http://schemas.openxmlformats.org/officeDocument/2006/relationships/header" Target="header5.xml"/><Relationship Id="rId58" Type="http://schemas.openxmlformats.org/officeDocument/2006/relationships/hyperlink" Target="https://supportmore.msu.edu/-/media/assets/supportmore/docs/2022-msu-know-more-survey-results-supplemental-tables.pdf#Table_D_3a4" TargetMode="External"/><Relationship Id="rId79" Type="http://schemas.openxmlformats.org/officeDocument/2006/relationships/image" Target="media/image27.jpeg"/><Relationship Id="rId102" Type="http://schemas.openxmlformats.org/officeDocument/2006/relationships/hyperlink" Target="https://supportmore.msu.edu/-/media/assets/supportmore/docs/2022-msu-know-more-survey-results-supplemental-tables.pdf#Table_E_6" TargetMode="External"/><Relationship Id="rId123" Type="http://schemas.openxmlformats.org/officeDocument/2006/relationships/image" Target="media/image48.jpeg"/><Relationship Id="rId144" Type="http://schemas.openxmlformats.org/officeDocument/2006/relationships/image" Target="media/image58.jpeg"/><Relationship Id="rId90" Type="http://schemas.openxmlformats.org/officeDocument/2006/relationships/hyperlink" Target="https://supportmore.msu.edu/-/media/assets/supportmore/docs/2022-msu-know-more-survey-results-supplemental-tables.pdf#Table_D_13b" TargetMode="External"/><Relationship Id="rId165" Type="http://schemas.openxmlformats.org/officeDocument/2006/relationships/image" Target="media/image67.jpeg"/><Relationship Id="rId186" Type="http://schemas.openxmlformats.org/officeDocument/2006/relationships/hyperlink" Target="https://supportmore.msu.edu/-/media/assets/supportmore/docs/2022-msu-know-more-survey-results-supplemental-tables.pdf#Table_G_8d" TargetMode="External"/><Relationship Id="rId211" Type="http://schemas.openxmlformats.org/officeDocument/2006/relationships/hyperlink" Target="https://supportmore.msu.edu/-/media/assets/supportmore/docs/2022-msu-know-more-survey-results-supplemental-tables.pdf#Table_G_10a" TargetMode="External"/><Relationship Id="rId232" Type="http://schemas.openxmlformats.org/officeDocument/2006/relationships/image" Target="media/image100.jpeg"/><Relationship Id="rId27" Type="http://schemas.openxmlformats.org/officeDocument/2006/relationships/hyperlink" Target="https://supportmore.msu.edu/-/media/assets/supportmore/docs/2022-msu-know-more-survey-results-supplemental-tables.pdf#Table_F_3a6" TargetMode="External"/><Relationship Id="rId48" Type="http://schemas.openxmlformats.org/officeDocument/2006/relationships/footer" Target="footer10.xml"/><Relationship Id="rId69" Type="http://schemas.openxmlformats.org/officeDocument/2006/relationships/hyperlink" Target="https://supportmore.msu.edu/-/media/assets/supportmore/docs/2022-msu-know-more-survey-results-supplemental-tables.pdf#Table_D_6" TargetMode="External"/><Relationship Id="rId113" Type="http://schemas.openxmlformats.org/officeDocument/2006/relationships/hyperlink" Target="https://supportmore.msu.edu/-/media/assets/supportmore/docs/2022-msu-know-more-survey-results-supplemental-tables.pdf#Table_E_3a" TargetMode="External"/><Relationship Id="rId134" Type="http://schemas.openxmlformats.org/officeDocument/2006/relationships/hyperlink" Target="https://supportmore.msu.edu/-/media/assets/supportmore/docs/2022-msu-know-more-survey-results-supplemental-tables.pdf#Table_F_7a" TargetMode="External"/><Relationship Id="rId80" Type="http://schemas.openxmlformats.org/officeDocument/2006/relationships/hyperlink" Target="https://supportmore.msu.edu/-/media/assets/supportmore/docs/2022-msu-know-more-survey-results-supplemental-tables.pdf#Table_D_9b" TargetMode="External"/><Relationship Id="rId155" Type="http://schemas.openxmlformats.org/officeDocument/2006/relationships/image" Target="media/image63.jpeg"/><Relationship Id="rId176" Type="http://schemas.openxmlformats.org/officeDocument/2006/relationships/hyperlink" Target="https://supportmore.msu.edu/-/media/assets/supportmore/docs/2022-msu-know-more-survey-results-supplemental-tables.pdf#Table_G_7c" TargetMode="External"/><Relationship Id="rId197" Type="http://schemas.openxmlformats.org/officeDocument/2006/relationships/hyperlink" Target="https://supportmore.msu.edu/-/media/assets/supportmore/docs/2022-msu-know-more-survey-results-supplemental-tables.pdf#Table_G_9b" TargetMode="External"/><Relationship Id="rId201" Type="http://schemas.openxmlformats.org/officeDocument/2006/relationships/hyperlink" Target="https://supportmore.msu.edu/-/media/assets/supportmore/docs/2022-msu-know-more-survey-results-supplemental-tables.pdf#Table_G_9d" TargetMode="External"/><Relationship Id="rId222" Type="http://schemas.openxmlformats.org/officeDocument/2006/relationships/image" Target="media/image95.jpeg"/><Relationship Id="rId243" Type="http://schemas.openxmlformats.org/officeDocument/2006/relationships/hyperlink" Target="https://civilrights.msu.edu/_assets/documents/MSUreportApps.pdf" TargetMode="External"/><Relationship Id="rId17" Type="http://schemas.openxmlformats.org/officeDocument/2006/relationships/image" Target="media/image5.png"/><Relationship Id="rId38" Type="http://schemas.openxmlformats.org/officeDocument/2006/relationships/footer" Target="footer5.xml"/><Relationship Id="rId59" Type="http://schemas.openxmlformats.org/officeDocument/2006/relationships/hyperlink" Target="https://supportmore.msu.edu/-/media/assets/supportmore/docs/2022-msu-know-more-survey-results-supplemental-tables.pdf#Table_D_3a6" TargetMode="External"/><Relationship Id="rId103" Type="http://schemas.openxmlformats.org/officeDocument/2006/relationships/image" Target="media/image40.jpeg"/><Relationship Id="rId124" Type="http://schemas.openxmlformats.org/officeDocument/2006/relationships/hyperlink" Target="https://supportmore.msu.edu/-/media/assets/supportmore/docs/2022-msu-know-more-survey-results-supplemental-tables.pdf#Table_F_4a1" TargetMode="External"/><Relationship Id="rId70" Type="http://schemas.openxmlformats.org/officeDocument/2006/relationships/image" Target="media/image22.jpeg"/><Relationship Id="rId91" Type="http://schemas.openxmlformats.org/officeDocument/2006/relationships/hyperlink" Target="https://supportmore.msu.edu/-/media/assets/supportmore/docs/2022-msu-know-more-survey-results-supplemental-tables.pdf#Table_D_13c" TargetMode="External"/><Relationship Id="rId145" Type="http://schemas.openxmlformats.org/officeDocument/2006/relationships/hyperlink" Target="https://supportmore.msu.edu/-/media/assets/supportmore/docs/2022-msu-know-more-survey-results-supplemental-tables.pdf#Table_G_1c" TargetMode="External"/><Relationship Id="rId166" Type="http://schemas.openxmlformats.org/officeDocument/2006/relationships/hyperlink" Target="https://supportmore.msu.edu/-/media/assets/supportmore/docs/2022-msu-know-more-survey-results-supplemental-tables.pdf#Table_G_4c" TargetMode="External"/><Relationship Id="rId187" Type="http://schemas.openxmlformats.org/officeDocument/2006/relationships/image" Target="media/image77.jpeg"/><Relationship Id="rId1" Type="http://schemas.openxmlformats.org/officeDocument/2006/relationships/styles" Target="styles.xml"/><Relationship Id="rId212" Type="http://schemas.openxmlformats.org/officeDocument/2006/relationships/image" Target="media/image90.jpeg"/><Relationship Id="rId233" Type="http://schemas.openxmlformats.org/officeDocument/2006/relationships/hyperlink" Target="https://supportmore.msu.edu/-/media/assets/supportmore/docs/2022-msu-know-more-survey-results-supplemental-tables.pdf#Table_G_12b" TargetMode="External"/><Relationship Id="rId28" Type="http://schemas.openxmlformats.org/officeDocument/2006/relationships/header" Target="header4.xml"/><Relationship Id="rId49" Type="http://schemas.openxmlformats.org/officeDocument/2006/relationships/image" Target="media/image9.jpeg"/><Relationship Id="rId114" Type="http://schemas.openxmlformats.org/officeDocument/2006/relationships/header" Target="header11.xml"/><Relationship Id="rId60" Type="http://schemas.openxmlformats.org/officeDocument/2006/relationships/image" Target="media/image15.jpeg"/><Relationship Id="rId81" Type="http://schemas.openxmlformats.org/officeDocument/2006/relationships/image" Target="media/image28.jpeg"/><Relationship Id="rId135" Type="http://schemas.openxmlformats.org/officeDocument/2006/relationships/image" Target="media/image53.jpeg"/><Relationship Id="rId156" Type="http://schemas.openxmlformats.org/officeDocument/2006/relationships/hyperlink" Target="https://supportmore.msu.edu/-/media/assets/supportmore/docs/2022-msu-know-more-survey-results-supplemental-tables.pdf#Table_G_6c" TargetMode="External"/><Relationship Id="rId177" Type="http://schemas.openxmlformats.org/officeDocument/2006/relationships/image" Target="media/image72.jpeg"/><Relationship Id="rId198" Type="http://schemas.openxmlformats.org/officeDocument/2006/relationships/image" Target="media/image83.jpeg"/><Relationship Id="rId202" Type="http://schemas.openxmlformats.org/officeDocument/2006/relationships/image" Target="media/image85.jpeg"/><Relationship Id="rId223" Type="http://schemas.openxmlformats.org/officeDocument/2006/relationships/hyperlink" Target="https://supportmore.msu.edu/-/media/assets/supportmore/docs/2022-msu-know-more-survey-results-supplemental-tables.pdf#Table_G_10g" TargetMode="External"/><Relationship Id="rId244" Type="http://schemas.openxmlformats.org/officeDocument/2006/relationships/header" Target="header13.xml"/><Relationship Id="rId18" Type="http://schemas.openxmlformats.org/officeDocument/2006/relationships/image" Target="media/image6.jpeg"/><Relationship Id="rId39" Type="http://schemas.openxmlformats.org/officeDocument/2006/relationships/header" Target="header6.xml"/><Relationship Id="rId50" Type="http://schemas.openxmlformats.org/officeDocument/2006/relationships/hyperlink" Target="https://bjs.ojp.gov/content/pub/pdf/cv21.pdf" TargetMode="External"/><Relationship Id="rId104" Type="http://schemas.openxmlformats.org/officeDocument/2006/relationships/image" Target="media/image41.jpeg"/><Relationship Id="rId125" Type="http://schemas.openxmlformats.org/officeDocument/2006/relationships/hyperlink" Target="https://supportmore.msu.edu/-/media/assets/supportmore/docs/2022-msu-know-more-survey-results-supplemental-tables.pdf#Table_F_4b5" TargetMode="External"/><Relationship Id="rId146" Type="http://schemas.openxmlformats.org/officeDocument/2006/relationships/image" Target="media/image59.jpeg"/><Relationship Id="rId167" Type="http://schemas.openxmlformats.org/officeDocument/2006/relationships/hyperlink" Target="https://supportmore.msu.edu/-/media/assets/supportmore/docs/2022-msu-know-more-survey-results-supplemental-tables.pdf#Table_G_5c" TargetMode="External"/><Relationship Id="rId188" Type="http://schemas.openxmlformats.org/officeDocument/2006/relationships/hyperlink" Target="https://supportmore.msu.edu/-/media/assets/supportmore/docs/2022-msu-know-more-survey-results-supplemental-tables.pdf#Table_G_8e" TargetMode="External"/><Relationship Id="rId71" Type="http://schemas.openxmlformats.org/officeDocument/2006/relationships/hyperlink" Target="https://supportmore.msu.edu/-/media/assets/supportmore/docs/2022-msu-know-more-survey-results-supplemental-tables.pdf#Table_D_7a" TargetMode="External"/><Relationship Id="rId92" Type="http://schemas.openxmlformats.org/officeDocument/2006/relationships/image" Target="media/image33.jpeg"/><Relationship Id="rId213" Type="http://schemas.openxmlformats.org/officeDocument/2006/relationships/hyperlink" Target="https://supportmore.msu.edu/-/media/assets/supportmore/docs/2022-msu-know-more-survey-results-supplemental-tables.pdf#Table_G_10b" TargetMode="External"/><Relationship Id="rId234" Type="http://schemas.openxmlformats.org/officeDocument/2006/relationships/image" Target="media/image101.jpeg"/><Relationship Id="rId2" Type="http://schemas.openxmlformats.org/officeDocument/2006/relationships/fontTable" Target="fontTable.xml"/><Relationship Id="rId29" Type="http://schemas.openxmlformats.org/officeDocument/2006/relationships/footer" Target="footer4.xml"/><Relationship Id="rId40" Type="http://schemas.openxmlformats.org/officeDocument/2006/relationships/footer" Target="footer6.xml"/><Relationship Id="rId115" Type="http://schemas.openxmlformats.org/officeDocument/2006/relationships/footer" Target="footer11.xml"/><Relationship Id="rId136" Type="http://schemas.openxmlformats.org/officeDocument/2006/relationships/hyperlink" Target="https://supportmore.msu.edu/-/media/assets/supportmore/docs/2022-msu-know-more-survey-results-supplemental-tables.pdf#Table_F_7b" TargetMode="External"/><Relationship Id="rId157" Type="http://schemas.openxmlformats.org/officeDocument/2006/relationships/image" Target="media/image64.jpeg"/><Relationship Id="rId178" Type="http://schemas.openxmlformats.org/officeDocument/2006/relationships/hyperlink" Target="https://supportmore.msu.edu/-/media/assets/supportmore/docs/2022-msu-know-more-survey-results-supplemental-tables.pdf#Table_G_7d" TargetMode="External"/><Relationship Id="rId61" Type="http://schemas.openxmlformats.org/officeDocument/2006/relationships/image" Target="media/image16.jpeg"/><Relationship Id="rId82" Type="http://schemas.openxmlformats.org/officeDocument/2006/relationships/hyperlink" Target="https://supportmore.msu.edu/-/media/assets/supportmore/docs/2022-msu-know-more-survey-results-supplemental-tables.pdf#Table_D_11b" TargetMode="External"/><Relationship Id="rId199" Type="http://schemas.openxmlformats.org/officeDocument/2006/relationships/hyperlink" Target="https://supportmore.msu.edu/-/media/assets/supportmore/docs/2022-msu-know-more-survey-results-supplemental-tables.pdf#Table_G_9c" TargetMode="External"/><Relationship Id="rId203" Type="http://schemas.openxmlformats.org/officeDocument/2006/relationships/hyperlink" Target="https://supportmore.msu.edu/-/media/assets/supportmore/docs/2022-msu-know-more-survey-results-supplemental-tables.pdf#Table_G_9e" TargetMode="External"/><Relationship Id="rId19" Type="http://schemas.openxmlformats.org/officeDocument/2006/relationships/hyperlink" Target="https://supportmore.msu.edu/-/media/assets/supportmore/docs/2022-msu-know-more-survey-results-supplemental-tables.pdf#Table_D_1a" TargetMode="External"/><Relationship Id="rId224" Type="http://schemas.openxmlformats.org/officeDocument/2006/relationships/image" Target="media/image96.jpeg"/><Relationship Id="rId245" Type="http://schemas.openxmlformats.org/officeDocument/2006/relationships/footer" Target="footer13.xml"/><Relationship Id="rId30" Type="http://schemas.openxmlformats.org/officeDocument/2006/relationships/hyperlink" Target="https://supportmore.msu.edu/know-more-2019" TargetMode="External"/><Relationship Id="rId105" Type="http://schemas.openxmlformats.org/officeDocument/2006/relationships/hyperlink" Target="https://supportmore.msu.edu/-/media/assets/supportmore/docs/2022-msu-know-more-survey-results-supplemental-tables.pdf#Table_E_7" TargetMode="External"/><Relationship Id="rId126" Type="http://schemas.openxmlformats.org/officeDocument/2006/relationships/image" Target="media/image49.jpeg"/><Relationship Id="rId147" Type="http://schemas.openxmlformats.org/officeDocument/2006/relationships/hyperlink" Target="https://supportmore.msu.edu/-/media/assets/supportmore/docs/2022-msu-know-more-survey-results-supplemental-tables.pdf#Table_G_1d" TargetMode="External"/><Relationship Id="rId168" Type="http://schemas.openxmlformats.org/officeDocument/2006/relationships/image" Target="media/image68.jpeg"/><Relationship Id="rId51" Type="http://schemas.openxmlformats.org/officeDocument/2006/relationships/image" Target="media/image10.jpeg"/><Relationship Id="rId72" Type="http://schemas.openxmlformats.org/officeDocument/2006/relationships/hyperlink" Target="https://supportmore.msu.edu/-/media/assets/supportmore/docs/2022-msu-know-more-survey-results-supplemental-tables.pdf#Table_D_7b" TargetMode="External"/><Relationship Id="rId93" Type="http://schemas.openxmlformats.org/officeDocument/2006/relationships/image" Target="media/image34.jpeg"/><Relationship Id="rId189" Type="http://schemas.openxmlformats.org/officeDocument/2006/relationships/image" Target="media/image78.jpeg"/><Relationship Id="rId3" Type="http://schemas.openxmlformats.org/officeDocument/2006/relationships/theme" Target="theme/theme1.xml"/><Relationship Id="rId214" Type="http://schemas.openxmlformats.org/officeDocument/2006/relationships/image" Target="media/image91.jpeg"/><Relationship Id="rId235" Type="http://schemas.openxmlformats.org/officeDocument/2006/relationships/hyperlink" Target="https://supportmore.msu.edu/-/media/assets/supportmore/docs/2022-msu-know-more-survey-results-supplemental-tables.pdf#Table_G_13a" TargetMode="External"/><Relationship Id="rId116" Type="http://schemas.openxmlformats.org/officeDocument/2006/relationships/header" Target="header12.xml"/><Relationship Id="rId137" Type="http://schemas.openxmlformats.org/officeDocument/2006/relationships/image" Target="media/image54.jpeg"/><Relationship Id="rId158" Type="http://schemas.openxmlformats.org/officeDocument/2006/relationships/hyperlink" Target="https://supportmore.msu.edu/-/media/assets/supportmore/docs/2022-msu-know-more-survey-results-supplemental-tables.pdf#Table_G_6d" TargetMode="External"/><Relationship Id="rId20" Type="http://schemas.openxmlformats.org/officeDocument/2006/relationships/hyperlink" Target="https://supportmore.msu.edu/-/media/assets/supportmore/docs/2022-msu-know-more-survey-results-supplemental-tables.pdf#Table_D_1b" TargetMode="External"/><Relationship Id="rId41" Type="http://schemas.openxmlformats.org/officeDocument/2006/relationships/header" Target="header7.xml"/><Relationship Id="rId62" Type="http://schemas.openxmlformats.org/officeDocument/2006/relationships/image" Target="media/image17.jpeg"/><Relationship Id="rId83" Type="http://schemas.openxmlformats.org/officeDocument/2006/relationships/hyperlink" Target="https://supportmore.msu.edu/-/media/assets/supportmore/docs/2022-msu-know-more-survey-results-supplemental-tables.pdf#Table_D_11c" TargetMode="External"/><Relationship Id="rId179" Type="http://schemas.openxmlformats.org/officeDocument/2006/relationships/image" Target="media/image73.jpeg"/><Relationship Id="rId190" Type="http://schemas.openxmlformats.org/officeDocument/2006/relationships/hyperlink" Target="https://supportmore.msu.edu/-/media/assets/supportmore/docs/2022-msu-know-more-survey-results-supplemental-tables.pdf#Table_G_8f" TargetMode="External"/><Relationship Id="rId204" Type="http://schemas.openxmlformats.org/officeDocument/2006/relationships/image" Target="media/image86.jpeg"/><Relationship Id="rId225" Type="http://schemas.openxmlformats.org/officeDocument/2006/relationships/hyperlink" Target="https://supportmore.msu.edu/-/media/assets/supportmore/docs/2022-msu-know-more-survey-results-supplemental-tables.pdf#Table_G_10h" TargetMode="External"/><Relationship Id="rId246" Type="http://schemas.openxmlformats.org/officeDocument/2006/relationships/header" Target="header14.xml"/><Relationship Id="rId106" Type="http://schemas.openxmlformats.org/officeDocument/2006/relationships/image" Target="media/image42.jpeg"/><Relationship Id="rId127" Type="http://schemas.openxmlformats.org/officeDocument/2006/relationships/image" Target="media/image50.jpeg"/><Relationship Id="rId10" Type="http://schemas.openxmlformats.org/officeDocument/2006/relationships/header" Target="header1.xml"/><Relationship Id="rId31" Type="http://schemas.openxmlformats.org/officeDocument/2006/relationships/hyperlink" Target="https://president.msu.edu/initiatives/rvsm-plan/index.html" TargetMode="External"/><Relationship Id="rId52" Type="http://schemas.openxmlformats.org/officeDocument/2006/relationships/hyperlink" Target="https://supportmore.msu.edu/-/media/assets/supportmore/docs/2022-msu-know-more-survey-results-supplemental-tables.pdf#Table_D_3a1" TargetMode="External"/><Relationship Id="rId73" Type="http://schemas.openxmlformats.org/officeDocument/2006/relationships/image" Target="media/image23.jpeg"/><Relationship Id="rId94" Type="http://schemas.openxmlformats.org/officeDocument/2006/relationships/image" Target="media/image35.jpeg"/><Relationship Id="rId148" Type="http://schemas.openxmlformats.org/officeDocument/2006/relationships/image" Target="media/image60.jpeg"/><Relationship Id="rId169" Type="http://schemas.openxmlformats.org/officeDocument/2006/relationships/hyperlink" Target="https://supportmore.msu.edu/-/media/assets/supportmore/docs/2022-msu-know-more-survey-results-supplemental-tables.pdf#Table_G_4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73BE68F7849A845B253768CFB280D40" ma:contentTypeVersion="20" ma:contentTypeDescription="Create a new document." ma:contentTypeScope="" ma:versionID="27c855a24322560e7a7fca8c3f33477f">
  <xsd:schema xmlns:xsd="http://www.w3.org/2001/XMLSchema" xmlns:xs="http://www.w3.org/2001/XMLSchema" xmlns:p="http://schemas.microsoft.com/office/2006/metadata/properties" xmlns:ns2="b9af824b-b9ca-44bc-93e9-131eccbb3ac9" xmlns:ns3="b9b69cfa-80ab-4e57-8c7c-c439de3a6f57" targetNamespace="http://schemas.microsoft.com/office/2006/metadata/properties" ma:root="true" ma:fieldsID="4728126e996387a2b2d41c0dae127070" ns2:_="" ns3:_="">
    <xsd:import namespace="b9af824b-b9ca-44bc-93e9-131eccbb3ac9"/>
    <xsd:import namespace="b9b69cfa-80ab-4e57-8c7c-c439de3a6f5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Done" minOccurs="0"/>
                <xsd:element ref="ns2:MediaLengthInSeconds" minOccurs="0"/>
                <xsd:element ref="ns2:Status" minOccurs="0"/>
                <xsd:element ref="ns2:MediaServiceLocation" minOccurs="0"/>
                <xsd:element ref="ns2:Updated" minOccurs="0"/>
                <xsd:element ref="ns2:ConfirmedCurrent"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af824b-b9ca-44bc-93e9-131eccbb3a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Done" ma:index="19" nillable="true" ma:displayName="Done" ma:default="1" ma:internalName="Done">
      <xsd:simpleType>
        <xsd:restriction base="dms:Boolean"/>
      </xsd:simpleType>
    </xsd:element>
    <xsd:element name="MediaLengthInSeconds" ma:index="20" nillable="true" ma:displayName="Length (seconds)" ma:internalName="MediaLengthInSeconds" ma:readOnly="true">
      <xsd:simpleType>
        <xsd:restriction base="dms:Unknown"/>
      </xsd:simpleType>
    </xsd:element>
    <xsd:element name="Status" ma:index="21" nillable="true" ma:displayName="Status " ma:format="Dropdown" ma:internalName="Status">
      <xsd:simpleType>
        <xsd:union memberTypes="dms:Text">
          <xsd:simpleType>
            <xsd:restriction base="dms:Choice">
              <xsd:enumeration value="Drafting"/>
              <xsd:enumeration value="Complete"/>
              <xsd:enumeration value="Implementing "/>
            </xsd:restriction>
          </xsd:simpleType>
        </xsd:union>
      </xsd:simpleType>
    </xsd:element>
    <xsd:element name="MediaServiceLocation" ma:index="22" nillable="true" ma:displayName="Location" ma:internalName="MediaServiceLocation" ma:readOnly="true">
      <xsd:simpleType>
        <xsd:restriction base="dms:Text"/>
      </xsd:simpleType>
    </xsd:element>
    <xsd:element name="Updated" ma:index="23" nillable="true" ma:displayName="Updated" ma:description="May 2018" ma:format="Dropdown" ma:internalName="Updated">
      <xsd:simpleType>
        <xsd:restriction base="dms:Text">
          <xsd:maxLength value="255"/>
        </xsd:restriction>
      </xsd:simpleType>
    </xsd:element>
    <xsd:element name="ConfirmedCurrent" ma:index="24" nillable="true" ma:displayName="Confirmed Current " ma:description="January 14, 2021 " ma:format="Dropdown" ma:internalName="ConfirmedCurrent">
      <xsd:simpleType>
        <xsd:restriction base="dms:Text">
          <xsd:maxLength value="255"/>
        </xsd:restrictio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0ad816ea-8460-453a-b1af-cd753e23c00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9b69cfa-80ab-4e57-8c7c-c439de3a6f5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eff38b9b-e467-49f0-aa00-a4b002715b25}" ma:internalName="TaxCatchAll" ma:showField="CatchAllData" ma:web="b9b69cfa-80ab-4e57-8c7c-c439de3a6f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ne xmlns="b9af824b-b9ca-44bc-93e9-131eccbb3ac9">true</Done>
    <Status xmlns="b9af824b-b9ca-44bc-93e9-131eccbb3ac9" xsi:nil="true"/>
    <Updated xmlns="b9af824b-b9ca-44bc-93e9-131eccbb3ac9" xsi:nil="true"/>
    <ConfirmedCurrent xmlns="b9af824b-b9ca-44bc-93e9-131eccbb3ac9" xsi:nil="true"/>
    <lcf76f155ced4ddcb4097134ff3c332f xmlns="b9af824b-b9ca-44bc-93e9-131eccbb3ac9">
      <Terms xmlns="http://schemas.microsoft.com/office/infopath/2007/PartnerControls"/>
    </lcf76f155ced4ddcb4097134ff3c332f>
    <TaxCatchAll xmlns="b9b69cfa-80ab-4e57-8c7c-c439de3a6f57" xsi:nil="true"/>
  </documentManagement>
</p:properties>
</file>

<file path=customXml/itemProps1.xml><?xml version="1.0" encoding="utf-8"?>
<ds:datastoreItem xmlns:ds="http://schemas.openxmlformats.org/officeDocument/2006/customXml" ds:itemID="{D5B70571-CF55-4B17-8B22-FE3006C6559B}"/>
</file>

<file path=customXml/itemProps2.xml><?xml version="1.0" encoding="utf-8"?>
<ds:datastoreItem xmlns:ds="http://schemas.openxmlformats.org/officeDocument/2006/customXml" ds:itemID="{EE9904D2-E25A-414B-BBC5-BC629ADB2747}"/>
</file>

<file path=customXml/itemProps3.xml><?xml version="1.0" encoding="utf-8"?>
<ds:datastoreItem xmlns:ds="http://schemas.openxmlformats.org/officeDocument/2006/customXml" ds:itemID="{AA18455E-295F-4383-899B-40D713F7DB3B}"/>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Findings from the 2022 Know More @ MSU Campus Survey</dc:title>
  <dc:subject>Michigan State University (MSU) sponsored the Know More @ MSU Campus Survey to comprehensively assess the culture, perceptions, and policies associated with sexual misconduct among the entire MSU campus community. </dc:subject>
  <dc:creator>Michigan State University</dc:creator>
  <cp:keywords>relationship violence and sexual misconduct;work-related sexual harassment;workplace incivility;college and university students;college and university faculty;college and university staff;campus climate</cp:keywords>
  <dcterms:created xsi:type="dcterms:W3CDTF">2023-03-16T13:58:18Z</dcterms:created>
  <dcterms:modified xsi:type="dcterms:W3CDTF">2023-03-16T13:58:18Z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2023-01-04T00:00:00Z</vt:filetime>
  </property>
  <property fmtid="{D5CDD505-2E9C-101B-9397-08002B2CF9AE}" pid="3" name="Creator">
    <vt:lpwstr>Acrobat PDFMaker 22 for Word</vt:lpwstr>
  </property>
  <property fmtid="{D5CDD505-2E9C-101B-9397-08002B2CF9AE}" pid="4" name="LastSaved">
    <vt:filetime>2023-03-16T00:00:00Z</vt:filetime>
  </property>
  <property fmtid="{D5CDD505-2E9C-101B-9397-08002B2CF9AE}" pid="5" name="ContentTypeId">
    <vt:lpwstr>0x010100373BE68F7849A845B253768CFB280D40</vt:lpwstr>
  </property>
</Properties>
</file>