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16"/>
        <w:rPr>
          <w:sz w:val="20"/>
        </w:rPr>
      </w:pPr>
      <w:r>
        <w:rPr>
          <w:sz w:val="20"/>
        </w:rPr>
        <w:drawing>
          <wp:inline distT="0" distB="0" distL="0" distR="0">
            <wp:extent cx="1842634" cy="39004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42634" cy="390048"/>
                    </a:xfrm>
                    <a:prstGeom prst="rect">
                      <a:avLst/>
                    </a:prstGeom>
                  </pic:spPr>
                </pic:pic>
              </a:graphicData>
            </a:graphic>
          </wp:inline>
        </w:drawing>
      </w:r>
      <w:r>
        <w:rPr>
          <w:sz w:val="20"/>
        </w:rPr>
      </w:r>
    </w:p>
    <w:p>
      <w:pPr>
        <w:pStyle w:val="BodyText"/>
        <w:rPr>
          <w:sz w:val="20"/>
        </w:rPr>
      </w:pPr>
    </w:p>
    <w:p>
      <w:pPr>
        <w:pStyle w:val="BodyText"/>
        <w:spacing w:before="3"/>
        <w:rPr>
          <w:sz w:val="21"/>
        </w:rPr>
      </w:pPr>
    </w:p>
    <w:p>
      <w:pPr>
        <w:pStyle w:val="BodyText"/>
        <w:ind w:left="2365"/>
      </w:pPr>
      <w:r>
        <w:rPr/>
        <w:t>March 3, 2023</w:t>
      </w:r>
    </w:p>
    <w:p>
      <w:pPr>
        <w:pStyle w:val="BodyText"/>
        <w:rPr>
          <w:sz w:val="26"/>
        </w:rPr>
      </w:pPr>
    </w:p>
    <w:p>
      <w:pPr>
        <w:pStyle w:val="BodyText"/>
        <w:spacing w:before="2"/>
        <w:rPr>
          <w:sz w:val="22"/>
        </w:rPr>
      </w:pPr>
    </w:p>
    <w:p>
      <w:pPr>
        <w:pStyle w:val="BodyText"/>
        <w:spacing w:before="1"/>
        <w:ind w:left="2365"/>
      </w:pPr>
      <w:r>
        <w:rPr/>
        <w:t>Dear University Committee on Faculty Affairs,</w:t>
      </w:r>
    </w:p>
    <w:p>
      <w:pPr>
        <w:pStyle w:val="BodyText"/>
        <w:spacing w:before="11"/>
        <w:rPr>
          <w:sz w:val="23"/>
        </w:rPr>
      </w:pPr>
    </w:p>
    <w:p>
      <w:pPr>
        <w:pStyle w:val="BodyText"/>
        <w:ind w:left="2365" w:right="117"/>
        <w:jc w:val="both"/>
      </w:pPr>
      <w:r>
        <w:rPr/>
        <w:t>Following a conversation with Peter White, I wanted to share with you concerns that many CANR faculty have with MSUs plans to use DEI statements in annual evaluations and tenure and promotion (RTP) packets.</w:t>
      </w:r>
    </w:p>
    <w:p>
      <w:pPr>
        <w:pStyle w:val="BodyText"/>
      </w:pPr>
    </w:p>
    <w:p>
      <w:pPr>
        <w:pStyle w:val="BodyText"/>
        <w:ind w:left="2365" w:right="243"/>
        <w:jc w:val="both"/>
      </w:pPr>
      <w:r>
        <w:rPr/>
        <w:t>In Provost Woodruff’s Spring 2022 “University Philosophy and Guiding Policies</w:t>
      </w:r>
      <w:r>
        <w:rPr>
          <w:spacing w:val="-12"/>
        </w:rPr>
        <w:t> </w:t>
      </w:r>
      <w:r>
        <w:rPr/>
        <w:t>on</w:t>
      </w:r>
      <w:r>
        <w:rPr>
          <w:spacing w:val="-12"/>
        </w:rPr>
        <w:t> </w:t>
      </w:r>
      <w:r>
        <w:rPr/>
        <w:t>Faculty</w:t>
      </w:r>
      <w:r>
        <w:rPr>
          <w:spacing w:val="-11"/>
        </w:rPr>
        <w:t> </w:t>
      </w:r>
      <w:r>
        <w:rPr/>
        <w:t>Tenure</w:t>
      </w:r>
      <w:r>
        <w:rPr>
          <w:spacing w:val="-12"/>
        </w:rPr>
        <w:t> </w:t>
      </w:r>
      <w:r>
        <w:rPr/>
        <w:t>and</w:t>
      </w:r>
      <w:r>
        <w:rPr>
          <w:spacing w:val="-11"/>
        </w:rPr>
        <w:t> </w:t>
      </w:r>
      <w:r>
        <w:rPr/>
        <w:t>Promotion”</w:t>
      </w:r>
      <w:r>
        <w:rPr>
          <w:spacing w:val="-12"/>
        </w:rPr>
        <w:t> </w:t>
      </w:r>
      <w:r>
        <w:rPr/>
        <w:t>letter,</w:t>
      </w:r>
      <w:r>
        <w:rPr>
          <w:spacing w:val="-12"/>
        </w:rPr>
        <w:t> </w:t>
      </w:r>
      <w:r>
        <w:rPr/>
        <w:t>it</w:t>
      </w:r>
      <w:r>
        <w:rPr>
          <w:spacing w:val="-11"/>
        </w:rPr>
        <w:t> </w:t>
      </w:r>
      <w:r>
        <w:rPr/>
        <w:t>states</w:t>
      </w:r>
      <w:r>
        <w:rPr>
          <w:spacing w:val="-12"/>
        </w:rPr>
        <w:t> </w:t>
      </w:r>
      <w:r>
        <w:rPr/>
        <w:t>“Contributions</w:t>
      </w:r>
      <w:r>
        <w:rPr>
          <w:spacing w:val="-11"/>
        </w:rPr>
        <w:t> </w:t>
      </w:r>
      <w:r>
        <w:rPr/>
        <w:t>to</w:t>
      </w:r>
      <w:r>
        <w:rPr>
          <w:spacing w:val="-12"/>
        </w:rPr>
        <w:t> </w:t>
      </w:r>
      <w:r>
        <w:rPr/>
        <w:t>DEI will be acknowledged, evaluated, and recognized in the reappointment, promotion, and tenure process, as well as in annual reviews of faculty accomplishments”, and “Significant involvement in DEI efforts can be viewed as a metric for</w:t>
      </w:r>
      <w:r>
        <w:rPr>
          <w:spacing w:val="-3"/>
        </w:rPr>
        <w:t> </w:t>
      </w:r>
      <w:r>
        <w:rPr/>
        <w:t>advancement”.</w:t>
      </w:r>
    </w:p>
    <w:p>
      <w:pPr>
        <w:pStyle w:val="BodyText"/>
        <w:rPr>
          <w:sz w:val="16"/>
        </w:rPr>
      </w:pPr>
    </w:p>
    <w:p>
      <w:pPr>
        <w:spacing w:after="0"/>
        <w:rPr>
          <w:sz w:val="16"/>
        </w:rPr>
        <w:sectPr>
          <w:type w:val="continuous"/>
          <w:pgSz w:w="12240" w:h="15840"/>
          <w:pgMar w:top="1240" w:bottom="280" w:left="520" w:right="1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ind w:left="959"/>
        <w:rPr>
          <w:sz w:val="20"/>
        </w:rPr>
      </w:pPr>
      <w:r>
        <w:rPr>
          <w:sz w:val="20"/>
        </w:rPr>
        <w:drawing>
          <wp:inline distT="0" distB="0" distL="0" distR="0">
            <wp:extent cx="674585" cy="67579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74585" cy="675798"/>
                    </a:xfrm>
                    <a:prstGeom prst="rect">
                      <a:avLst/>
                    </a:prstGeom>
                  </pic:spPr>
                </pic:pic>
              </a:graphicData>
            </a:graphic>
          </wp:inline>
        </w:drawing>
      </w:r>
      <w:r>
        <w:rPr>
          <w:sz w:val="20"/>
        </w:rPr>
      </w:r>
    </w:p>
    <w:p>
      <w:pPr>
        <w:pStyle w:val="BodyText"/>
      </w:pPr>
    </w:p>
    <w:p>
      <w:pPr>
        <w:spacing w:line="235" w:lineRule="auto" w:before="0"/>
        <w:ind w:left="110" w:right="179" w:firstLine="794"/>
        <w:jc w:val="right"/>
        <w:rPr>
          <w:rFonts w:ascii="Calibri"/>
          <w:b/>
          <w:sz w:val="22"/>
        </w:rPr>
      </w:pPr>
      <w:r>
        <w:rPr>
          <w:rFonts w:ascii="Calibri"/>
          <w:b/>
          <w:w w:val="110"/>
          <w:sz w:val="22"/>
        </w:rPr>
        <w:t>College</w:t>
      </w:r>
      <w:r>
        <w:rPr>
          <w:rFonts w:ascii="Calibri"/>
          <w:b/>
          <w:spacing w:val="-5"/>
          <w:w w:val="110"/>
          <w:sz w:val="22"/>
        </w:rPr>
        <w:t> </w:t>
      </w:r>
      <w:r>
        <w:rPr>
          <w:rFonts w:ascii="Calibri"/>
          <w:b/>
          <w:spacing w:val="-7"/>
          <w:w w:val="110"/>
          <w:sz w:val="22"/>
        </w:rPr>
        <w:t>of</w:t>
      </w:r>
      <w:r>
        <w:rPr>
          <w:rFonts w:ascii="Calibri"/>
          <w:b/>
          <w:w w:val="107"/>
          <w:sz w:val="22"/>
        </w:rPr>
        <w:t> </w:t>
      </w:r>
      <w:r>
        <w:rPr>
          <w:rFonts w:ascii="Calibri"/>
          <w:b/>
          <w:w w:val="110"/>
          <w:sz w:val="22"/>
        </w:rPr>
        <w:t>Agriculture</w:t>
      </w:r>
      <w:r>
        <w:rPr>
          <w:rFonts w:ascii="Calibri"/>
          <w:b/>
          <w:spacing w:val="-12"/>
          <w:w w:val="110"/>
          <w:sz w:val="22"/>
        </w:rPr>
        <w:t> </w:t>
      </w:r>
      <w:r>
        <w:rPr>
          <w:rFonts w:ascii="Calibri"/>
          <w:b/>
          <w:w w:val="110"/>
          <w:sz w:val="22"/>
        </w:rPr>
        <w:t>and</w:t>
      </w:r>
      <w:r>
        <w:rPr>
          <w:rFonts w:ascii="Calibri"/>
          <w:b/>
          <w:w w:val="110"/>
          <w:sz w:val="22"/>
        </w:rPr>
        <w:t> </w:t>
      </w:r>
      <w:r>
        <w:rPr>
          <w:rFonts w:ascii="Calibri"/>
          <w:b/>
          <w:w w:val="105"/>
          <w:sz w:val="22"/>
        </w:rPr>
        <w:t>Natural</w:t>
      </w:r>
      <w:r>
        <w:rPr>
          <w:rFonts w:ascii="Calibri"/>
          <w:b/>
          <w:spacing w:val="31"/>
          <w:w w:val="105"/>
          <w:sz w:val="22"/>
        </w:rPr>
        <w:t> </w:t>
      </w:r>
      <w:r>
        <w:rPr>
          <w:rFonts w:ascii="Calibri"/>
          <w:b/>
          <w:w w:val="105"/>
          <w:sz w:val="22"/>
        </w:rPr>
        <w:t>Resources</w:t>
      </w:r>
    </w:p>
    <w:p>
      <w:pPr>
        <w:pStyle w:val="BodyText"/>
        <w:spacing w:before="9"/>
        <w:rPr>
          <w:rFonts w:ascii="Calibri"/>
          <w:b/>
          <w:sz w:val="23"/>
        </w:rPr>
      </w:pPr>
    </w:p>
    <w:p>
      <w:pPr>
        <w:spacing w:line="235" w:lineRule="auto" w:before="0"/>
        <w:ind w:left="828" w:right="179" w:hanging="217"/>
        <w:jc w:val="right"/>
        <w:rPr>
          <w:rFonts w:ascii="Calibri"/>
          <w:b/>
          <w:sz w:val="20"/>
        </w:rPr>
      </w:pPr>
      <w:r>
        <w:rPr>
          <w:rFonts w:ascii="Calibri"/>
          <w:b/>
          <w:w w:val="105"/>
          <w:sz w:val="20"/>
        </w:rPr>
        <w:t>Department</w:t>
      </w:r>
      <w:r>
        <w:rPr>
          <w:rFonts w:ascii="Calibri"/>
          <w:b/>
          <w:spacing w:val="-6"/>
          <w:w w:val="105"/>
          <w:sz w:val="20"/>
        </w:rPr>
        <w:t> </w:t>
      </w:r>
      <w:r>
        <w:rPr>
          <w:rFonts w:ascii="Calibri"/>
          <w:b/>
          <w:spacing w:val="-7"/>
          <w:w w:val="105"/>
          <w:sz w:val="20"/>
        </w:rPr>
        <w:t>of</w:t>
      </w:r>
      <w:r>
        <w:rPr>
          <w:rFonts w:ascii="Calibri"/>
          <w:b/>
          <w:w w:val="101"/>
          <w:sz w:val="20"/>
        </w:rPr>
        <w:t> </w:t>
      </w:r>
      <w:r>
        <w:rPr>
          <w:rFonts w:ascii="Calibri"/>
          <w:b/>
          <w:spacing w:val="-1"/>
          <w:w w:val="105"/>
          <w:sz w:val="20"/>
        </w:rPr>
        <w:t>Entomology</w:t>
      </w:r>
    </w:p>
    <w:p>
      <w:pPr>
        <w:pStyle w:val="BodyText"/>
        <w:spacing w:before="4"/>
        <w:rPr>
          <w:rFonts w:ascii="Calibri"/>
          <w:b/>
          <w:sz w:val="23"/>
        </w:rPr>
      </w:pPr>
    </w:p>
    <w:p>
      <w:pPr>
        <w:spacing w:line="312" w:lineRule="auto" w:before="1"/>
        <w:ind w:left="373" w:right="175" w:hanging="216"/>
        <w:jc w:val="left"/>
        <w:rPr>
          <w:rFonts w:ascii="Calibri"/>
          <w:sz w:val="16"/>
        </w:rPr>
      </w:pPr>
      <w:r>
        <w:rPr>
          <w:rFonts w:ascii="Calibri"/>
          <w:sz w:val="16"/>
        </w:rPr>
        <w:t>288 Farm Lane, Room 243 East Lansing, MI</w:t>
      </w:r>
      <w:r>
        <w:rPr>
          <w:rFonts w:ascii="Calibri"/>
          <w:spacing w:val="25"/>
          <w:sz w:val="16"/>
        </w:rPr>
        <w:t> </w:t>
      </w:r>
      <w:r>
        <w:rPr>
          <w:rFonts w:ascii="Calibri"/>
          <w:sz w:val="16"/>
        </w:rPr>
        <w:t>48824</w:t>
      </w:r>
    </w:p>
    <w:p>
      <w:pPr>
        <w:pStyle w:val="BodyText"/>
        <w:spacing w:before="5"/>
        <w:rPr>
          <w:rFonts w:ascii="Calibri"/>
        </w:rPr>
      </w:pPr>
    </w:p>
    <w:p>
      <w:pPr>
        <w:spacing w:before="0"/>
        <w:ind w:left="0" w:right="178" w:firstLine="0"/>
        <w:jc w:val="right"/>
        <w:rPr>
          <w:rFonts w:ascii="Calibri"/>
          <w:sz w:val="16"/>
        </w:rPr>
      </w:pPr>
      <w:r>
        <w:rPr>
          <w:rFonts w:ascii="Calibri"/>
          <w:sz w:val="16"/>
        </w:rPr>
        <w:t>517-355-4663</w:t>
      </w:r>
    </w:p>
    <w:p>
      <w:pPr>
        <w:spacing w:before="54"/>
        <w:ind w:left="0" w:right="178" w:firstLine="0"/>
        <w:jc w:val="right"/>
        <w:rPr>
          <w:rFonts w:ascii="Calibri"/>
          <w:sz w:val="16"/>
        </w:rPr>
      </w:pPr>
      <w:r>
        <w:rPr>
          <w:rFonts w:ascii="Calibri"/>
          <w:sz w:val="16"/>
        </w:rPr>
        <w:t>Fax:</w:t>
      </w:r>
      <w:r>
        <w:rPr>
          <w:rFonts w:ascii="Calibri"/>
          <w:spacing w:val="13"/>
          <w:sz w:val="16"/>
        </w:rPr>
        <w:t> </w:t>
      </w:r>
      <w:r>
        <w:rPr>
          <w:rFonts w:ascii="Calibri"/>
          <w:sz w:val="16"/>
        </w:rPr>
        <w:t>517-432-7061</w:t>
      </w:r>
    </w:p>
    <w:p>
      <w:pPr>
        <w:spacing w:before="59"/>
        <w:ind w:left="0" w:right="180" w:firstLine="0"/>
        <w:jc w:val="right"/>
        <w:rPr>
          <w:rFonts w:ascii="Calibri"/>
          <w:sz w:val="16"/>
        </w:rPr>
      </w:pPr>
      <w:hyperlink r:id="rId7">
        <w:r>
          <w:rPr>
            <w:rFonts w:ascii="Calibri"/>
            <w:sz w:val="16"/>
          </w:rPr>
          <w:t>www.ent.msu.edu</w:t>
        </w:r>
      </w:hyperlink>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sz w:val="17"/>
        </w:rPr>
      </w:pPr>
    </w:p>
    <w:p>
      <w:pPr>
        <w:spacing w:line="235" w:lineRule="auto" w:before="0"/>
        <w:ind w:left="393" w:right="236" w:firstLine="52"/>
        <w:jc w:val="left"/>
        <w:rPr>
          <w:rFonts w:ascii="Calibri"/>
          <w:sz w:val="12"/>
        </w:rPr>
      </w:pPr>
      <w:r>
        <w:rPr>
          <w:rFonts w:ascii="Calibri"/>
          <w:sz w:val="12"/>
        </w:rPr>
        <w:t>MSU is an affirmative-action equal-opportunity employer.</w:t>
      </w:r>
    </w:p>
    <w:p>
      <w:pPr>
        <w:pStyle w:val="BodyText"/>
        <w:spacing w:before="90"/>
        <w:ind w:left="110" w:right="242"/>
        <w:jc w:val="both"/>
      </w:pPr>
      <w:r>
        <w:rPr/>
        <w:br w:type="column"/>
      </w:r>
      <w:r>
        <w:rPr/>
        <w:t>Many CANR faculty have expressed concern over this new policy of requiring DEI statements in annual evaluations and RTP packets. For seven of ten</w:t>
      </w:r>
      <w:r>
        <w:rPr>
          <w:spacing w:val="-28"/>
        </w:rPr>
        <w:t> </w:t>
      </w:r>
      <w:r>
        <w:rPr/>
        <w:t>CANR departments</w:t>
      </w:r>
      <w:r>
        <w:rPr>
          <w:spacing w:val="-8"/>
        </w:rPr>
        <w:t> </w:t>
      </w:r>
      <w:r>
        <w:rPr/>
        <w:t>responding</w:t>
      </w:r>
      <w:r>
        <w:rPr>
          <w:spacing w:val="-7"/>
        </w:rPr>
        <w:t> </w:t>
      </w:r>
      <w:r>
        <w:rPr/>
        <w:t>to</w:t>
      </w:r>
      <w:r>
        <w:rPr>
          <w:spacing w:val="-7"/>
        </w:rPr>
        <w:t> </w:t>
      </w:r>
      <w:r>
        <w:rPr/>
        <w:t>an</w:t>
      </w:r>
      <w:r>
        <w:rPr>
          <w:spacing w:val="-7"/>
        </w:rPr>
        <w:t> </w:t>
      </w:r>
      <w:r>
        <w:rPr/>
        <w:t>anonymous</w:t>
      </w:r>
      <w:r>
        <w:rPr>
          <w:spacing w:val="-7"/>
        </w:rPr>
        <w:t> </w:t>
      </w:r>
      <w:r>
        <w:rPr/>
        <w:t>poll,</w:t>
      </w:r>
      <w:r>
        <w:rPr>
          <w:spacing w:val="-7"/>
        </w:rPr>
        <w:t> </w:t>
      </w:r>
      <w:r>
        <w:rPr/>
        <w:t>the</w:t>
      </w:r>
      <w:r>
        <w:rPr>
          <w:spacing w:val="-7"/>
        </w:rPr>
        <w:t> </w:t>
      </w:r>
      <w:r>
        <w:rPr/>
        <w:t>majority</w:t>
      </w:r>
      <w:r>
        <w:rPr>
          <w:spacing w:val="-7"/>
        </w:rPr>
        <w:t> </w:t>
      </w:r>
      <w:r>
        <w:rPr/>
        <w:t>(range</w:t>
      </w:r>
      <w:r>
        <w:rPr>
          <w:spacing w:val="-8"/>
        </w:rPr>
        <w:t> </w:t>
      </w:r>
      <w:r>
        <w:rPr/>
        <w:t>of</w:t>
      </w:r>
      <w:r>
        <w:rPr>
          <w:spacing w:val="-7"/>
        </w:rPr>
        <w:t> </w:t>
      </w:r>
      <w:r>
        <w:rPr/>
        <w:t>50</w:t>
      </w:r>
      <w:r>
        <w:rPr>
          <w:spacing w:val="-6"/>
        </w:rPr>
        <w:t> </w:t>
      </w:r>
      <w:r>
        <w:rPr/>
        <w:t>–</w:t>
      </w:r>
      <w:r>
        <w:rPr>
          <w:spacing w:val="-7"/>
        </w:rPr>
        <w:t> </w:t>
      </w:r>
      <w:r>
        <w:rPr/>
        <w:t>94%) of</w:t>
      </w:r>
      <w:r>
        <w:rPr>
          <w:spacing w:val="-10"/>
        </w:rPr>
        <w:t> </w:t>
      </w:r>
      <w:r>
        <w:rPr/>
        <w:t>faculty</w:t>
      </w:r>
      <w:r>
        <w:rPr>
          <w:spacing w:val="-9"/>
        </w:rPr>
        <w:t> </w:t>
      </w:r>
      <w:r>
        <w:rPr/>
        <w:t>were</w:t>
      </w:r>
      <w:r>
        <w:rPr>
          <w:spacing w:val="-9"/>
        </w:rPr>
        <w:t> </w:t>
      </w:r>
      <w:r>
        <w:rPr/>
        <w:t>opposed</w:t>
      </w:r>
      <w:r>
        <w:rPr>
          <w:spacing w:val="-9"/>
        </w:rPr>
        <w:t> </w:t>
      </w:r>
      <w:r>
        <w:rPr/>
        <w:t>to</w:t>
      </w:r>
      <w:r>
        <w:rPr>
          <w:spacing w:val="-9"/>
        </w:rPr>
        <w:t> </w:t>
      </w:r>
      <w:r>
        <w:rPr/>
        <w:t>mandating</w:t>
      </w:r>
      <w:r>
        <w:rPr>
          <w:spacing w:val="-10"/>
        </w:rPr>
        <w:t> </w:t>
      </w:r>
      <w:r>
        <w:rPr/>
        <w:t>a</w:t>
      </w:r>
      <w:r>
        <w:rPr>
          <w:spacing w:val="-9"/>
        </w:rPr>
        <w:t> </w:t>
      </w:r>
      <w:r>
        <w:rPr/>
        <w:t>DEI</w:t>
      </w:r>
      <w:r>
        <w:rPr>
          <w:spacing w:val="-9"/>
        </w:rPr>
        <w:t> </w:t>
      </w:r>
      <w:r>
        <w:rPr/>
        <w:t>statement</w:t>
      </w:r>
      <w:r>
        <w:rPr>
          <w:spacing w:val="-9"/>
        </w:rPr>
        <w:t> </w:t>
      </w:r>
      <w:r>
        <w:rPr/>
        <w:t>in</w:t>
      </w:r>
      <w:r>
        <w:rPr>
          <w:spacing w:val="-9"/>
        </w:rPr>
        <w:t> </w:t>
      </w:r>
      <w:r>
        <w:rPr/>
        <w:t>annual</w:t>
      </w:r>
      <w:r>
        <w:rPr>
          <w:spacing w:val="-10"/>
        </w:rPr>
        <w:t> </w:t>
      </w:r>
      <w:r>
        <w:rPr/>
        <w:t>evaluations,</w:t>
      </w:r>
      <w:r>
        <w:rPr>
          <w:spacing w:val="-9"/>
        </w:rPr>
        <w:t> </w:t>
      </w:r>
      <w:r>
        <w:rPr/>
        <w:t>for one department 48% opposed (30% no opinion), and the other two departments did</w:t>
      </w:r>
      <w:r>
        <w:rPr>
          <w:spacing w:val="-17"/>
        </w:rPr>
        <w:t> </w:t>
      </w:r>
      <w:r>
        <w:rPr/>
        <w:t>not</w:t>
      </w:r>
      <w:r>
        <w:rPr>
          <w:spacing w:val="-16"/>
        </w:rPr>
        <w:t> </w:t>
      </w:r>
      <w:r>
        <w:rPr/>
        <w:t>offer</w:t>
      </w:r>
      <w:r>
        <w:rPr>
          <w:spacing w:val="-17"/>
        </w:rPr>
        <w:t> </w:t>
      </w:r>
      <w:r>
        <w:rPr/>
        <w:t>a</w:t>
      </w:r>
      <w:r>
        <w:rPr>
          <w:spacing w:val="-17"/>
        </w:rPr>
        <w:t> </w:t>
      </w:r>
      <w:r>
        <w:rPr/>
        <w:t>poll</w:t>
      </w:r>
      <w:r>
        <w:rPr>
          <w:spacing w:val="-16"/>
        </w:rPr>
        <w:t> </w:t>
      </w:r>
      <w:r>
        <w:rPr/>
        <w:t>to</w:t>
      </w:r>
      <w:r>
        <w:rPr>
          <w:spacing w:val="-17"/>
        </w:rPr>
        <w:t> </w:t>
      </w:r>
      <w:r>
        <w:rPr/>
        <w:t>their</w:t>
      </w:r>
      <w:r>
        <w:rPr>
          <w:spacing w:val="-16"/>
        </w:rPr>
        <w:t> </w:t>
      </w:r>
      <w:r>
        <w:rPr/>
        <w:t>faculty.</w:t>
      </w:r>
      <w:r>
        <w:rPr>
          <w:spacing w:val="27"/>
        </w:rPr>
        <w:t> </w:t>
      </w:r>
      <w:r>
        <w:rPr/>
        <w:t>While</w:t>
      </w:r>
      <w:r>
        <w:rPr>
          <w:spacing w:val="-17"/>
        </w:rPr>
        <w:t> </w:t>
      </w:r>
      <w:r>
        <w:rPr/>
        <w:t>specific</w:t>
      </w:r>
      <w:r>
        <w:rPr>
          <w:spacing w:val="-16"/>
        </w:rPr>
        <w:t> </w:t>
      </w:r>
      <w:r>
        <w:rPr/>
        <w:t>concerns</w:t>
      </w:r>
      <w:r>
        <w:rPr>
          <w:spacing w:val="-17"/>
        </w:rPr>
        <w:t> </w:t>
      </w:r>
      <w:r>
        <w:rPr/>
        <w:t>varied</w:t>
      </w:r>
      <w:r>
        <w:rPr>
          <w:spacing w:val="-16"/>
        </w:rPr>
        <w:t> </w:t>
      </w:r>
      <w:r>
        <w:rPr/>
        <w:t>among</w:t>
      </w:r>
      <w:r>
        <w:rPr>
          <w:spacing w:val="-17"/>
        </w:rPr>
        <w:t> </w:t>
      </w:r>
      <w:r>
        <w:rPr/>
        <w:t>faculty and departments, for many the primary concern is that even with good intensions, including DEI information can easily result in implicit bias at the administrative</w:t>
      </w:r>
      <w:r>
        <w:rPr>
          <w:spacing w:val="-2"/>
        </w:rPr>
        <w:t> </w:t>
      </w:r>
      <w:r>
        <w:rPr/>
        <w:t>level.</w:t>
      </w:r>
    </w:p>
    <w:p>
      <w:pPr>
        <w:pStyle w:val="BodyText"/>
      </w:pPr>
    </w:p>
    <w:p>
      <w:pPr>
        <w:pStyle w:val="BodyText"/>
        <w:ind w:left="110" w:right="242"/>
        <w:jc w:val="both"/>
      </w:pPr>
      <w:r>
        <w:rPr/>
        <w:t>Faculty largely have confidence in the university’s annual evaluation and RTP system because they operate under a “peer evaluation” process that suppresses implicit bias. Inserting DEI into the evaluation of scientific productivity holds serious risk of implicit bias, because those at the provost level promoting and judging DEI activities are not our peers. Including DEI in this way risks undermining the confidence that faculty have in a well-established annual evaluation and RTP system.</w:t>
      </w:r>
    </w:p>
    <w:p>
      <w:pPr>
        <w:pStyle w:val="BodyText"/>
      </w:pPr>
    </w:p>
    <w:p>
      <w:pPr>
        <w:pStyle w:val="BodyText"/>
        <w:spacing w:line="480" w:lineRule="auto"/>
        <w:ind w:left="110" w:right="230"/>
      </w:pPr>
      <w:r>
        <w:rPr/>
        <w:t>Please consider how these concerns might be addressed within your committee. Sincerely,</w:t>
      </w:r>
    </w:p>
    <w:p>
      <w:pPr>
        <w:pStyle w:val="BodyText"/>
        <w:ind w:left="110"/>
      </w:pPr>
      <w:r>
        <w:rPr/>
        <w:t>John C. Wise</w:t>
      </w:r>
    </w:p>
    <w:p>
      <w:pPr>
        <w:pStyle w:val="BodyText"/>
        <w:spacing w:before="3"/>
        <w:ind w:left="110"/>
      </w:pPr>
      <w:r>
        <w:rPr/>
        <w:t>Professor (Entomology CAC rep)</w:t>
      </w:r>
    </w:p>
    <w:sectPr>
      <w:type w:val="continuous"/>
      <w:pgSz w:w="12240" w:h="15840"/>
      <w:pgMar w:top="1240" w:bottom="280" w:left="520" w:right="1460"/>
      <w:cols w:num="2" w:equalWidth="0">
        <w:col w:w="2082" w:space="173"/>
        <w:col w:w="80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ent.msu.ed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CAC3117-EC66-440B-B1D6-448A5D02851D}"/>
</file>

<file path=customXml/itemProps2.xml><?xml version="1.0" encoding="utf-8"?>
<ds:datastoreItem xmlns:ds="http://schemas.openxmlformats.org/officeDocument/2006/customXml" ds:itemID="{BD1F5E11-5B4B-4CDC-BD4B-62CBB6D3BEDA}"/>
</file>

<file path=customXml/itemProps3.xml><?xml version="1.0" encoding="utf-8"?>
<ds:datastoreItem xmlns:ds="http://schemas.openxmlformats.org/officeDocument/2006/customXml" ds:itemID="{67ABCBA5-9289-498F-B744-0762FF34FBF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University Committee on Faculty Affairs letter concerning DEI Wise 3-3-23.docx</dc:title>
  <dcterms:created xsi:type="dcterms:W3CDTF">2023-03-13T17:34:19Z</dcterms:created>
  <dcterms:modified xsi:type="dcterms:W3CDTF">2023-03-13T17:34:19Z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Word</vt:lpwstr>
  </property>
  <property fmtid="{D5CDD505-2E9C-101B-9397-08002B2CF9AE}" pid="4" name="LastSaved">
    <vt:filetime>2023-03-13T00:00:00Z</vt:filetime>
  </property>
  <property fmtid="{D5CDD505-2E9C-101B-9397-08002B2CF9AE}" pid="5" name="ContentTypeId">
    <vt:lpwstr>0x010100373BE68F7849A845B253768CFB280D40</vt:lpwstr>
  </property>
</Properties>
</file>