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footer1.xml" ContentType="application/vnd.openxmlformats-officedocument.wordprocessingml.footer+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30"/>
        <w:rPr>
          <w:rFonts w:ascii="Times New Roman"/>
          <w:sz w:val="20"/>
        </w:rPr>
      </w:pPr>
      <w:r>
        <w:rPr>
          <w:rFonts w:ascii="Times New Roman"/>
          <w:sz w:val="20"/>
        </w:rPr>
        <w:drawing>
          <wp:inline distT="0" distB="0" distL="0" distR="0">
            <wp:extent cx="2524601" cy="531495"/>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2524601" cy="531495"/>
                    </a:xfrm>
                    <a:prstGeom prst="rect">
                      <a:avLst/>
                    </a:prstGeom>
                  </pic:spPr>
                </pic:pic>
              </a:graphicData>
            </a:graphic>
          </wp:inline>
        </w:drawing>
      </w:r>
      <w:r>
        <w:rPr>
          <w:rFonts w:ascii="Times New Roman"/>
          <w:sz w:val="20"/>
        </w:rPr>
      </w:r>
    </w:p>
    <w:p>
      <w:pPr>
        <w:pStyle w:val="BodyText"/>
        <w:spacing w:before="11"/>
        <w:rPr>
          <w:rFonts w:ascii="Times New Roman"/>
          <w:sz w:val="23"/>
        </w:rPr>
      </w:pPr>
    </w:p>
    <w:p>
      <w:pPr>
        <w:pStyle w:val="BodyText"/>
        <w:spacing w:before="93"/>
        <w:ind w:left="100"/>
      </w:pPr>
      <w:r>
        <w:rPr/>
        <w:t>Jamie Alan</w:t>
      </w:r>
    </w:p>
    <w:p>
      <w:pPr>
        <w:pStyle w:val="BodyText"/>
        <w:spacing w:line="276" w:lineRule="auto" w:before="38"/>
        <w:ind w:left="100" w:right="4239"/>
      </w:pPr>
      <w:r>
        <w:rPr/>
        <w:t>Chair, University Committee on Faculty Affairs Associate Professor</w:t>
      </w:r>
    </w:p>
    <w:p>
      <w:pPr>
        <w:pStyle w:val="BodyText"/>
        <w:spacing w:line="276" w:lineRule="auto"/>
        <w:ind w:left="100" w:right="4239"/>
      </w:pPr>
      <w:r>
        <w:rPr/>
        <w:t>Department of Pharmacology and Toxicology Michigan State University</w:t>
      </w:r>
    </w:p>
    <w:p>
      <w:pPr>
        <w:pStyle w:val="BodyText"/>
        <w:ind w:left="100"/>
      </w:pPr>
      <w:r>
        <w:rPr/>
        <w:t>Life Sciences Building Rm 305</w:t>
      </w:r>
    </w:p>
    <w:p>
      <w:pPr>
        <w:pStyle w:val="BodyText"/>
        <w:rPr>
          <w:sz w:val="24"/>
        </w:rPr>
      </w:pPr>
    </w:p>
    <w:p>
      <w:pPr>
        <w:pStyle w:val="BodyText"/>
        <w:spacing w:before="10"/>
        <w:rPr>
          <w:sz w:val="29"/>
        </w:rPr>
      </w:pPr>
    </w:p>
    <w:p>
      <w:pPr>
        <w:pStyle w:val="BodyText"/>
        <w:ind w:left="100"/>
      </w:pPr>
      <w:r>
        <w:rPr/>
        <w:t>April XX, 2023</w:t>
      </w:r>
    </w:p>
    <w:p>
      <w:pPr>
        <w:pStyle w:val="BodyText"/>
        <w:rPr>
          <w:sz w:val="24"/>
        </w:rPr>
      </w:pPr>
    </w:p>
    <w:p>
      <w:pPr>
        <w:pStyle w:val="BodyText"/>
        <w:spacing w:before="10"/>
        <w:rPr>
          <w:sz w:val="29"/>
        </w:rPr>
      </w:pPr>
    </w:p>
    <w:p>
      <w:pPr>
        <w:pStyle w:val="BodyText"/>
        <w:ind w:left="100"/>
      </w:pPr>
      <w:r>
        <w:rPr/>
        <w:t>Dear Interim Provost Jeitschko and Interim President Woodruff:</w:t>
      </w:r>
    </w:p>
    <w:p>
      <w:pPr>
        <w:pStyle w:val="BodyText"/>
        <w:spacing w:before="7"/>
        <w:rPr>
          <w:sz w:val="28"/>
        </w:rPr>
      </w:pPr>
    </w:p>
    <w:p>
      <w:pPr>
        <w:pStyle w:val="BodyText"/>
        <w:spacing w:line="276" w:lineRule="auto"/>
        <w:ind w:left="100" w:right="117"/>
      </w:pPr>
      <w:r>
        <w:rPr/>
        <w:t>In accordance with the MSU Faculty Grievance Policy, Appendix II, UCFA has completed a review of the current Faculty Grievance Official’s years of service and are submitting a recommendation regarding reappointment to the position. This review was conducted by Peter White, Chair of the Personnel Subcommittee of the UCFA with the support of an Ad-Hoc Committee of the UCFA, consisting of Carl Borchgrevink and Dan McCole.</w:t>
      </w:r>
    </w:p>
    <w:p>
      <w:pPr>
        <w:pStyle w:val="BodyText"/>
        <w:spacing w:before="7"/>
        <w:rPr>
          <w:sz w:val="27"/>
        </w:rPr>
      </w:pPr>
    </w:p>
    <w:p>
      <w:pPr>
        <w:pStyle w:val="BodyText"/>
        <w:spacing w:line="276" w:lineRule="auto"/>
        <w:ind w:left="100" w:right="117"/>
      </w:pPr>
      <w:r>
        <w:rPr/>
        <w:t>Dr. Villarruel first began his work in the context of the Faculty Grievance Official (FG Official) in August 2018 when he was appointed as the </w:t>
      </w:r>
      <w:r>
        <w:rPr>
          <w:i/>
        </w:rPr>
        <w:t>Responsible Administrator </w:t>
      </w:r>
      <w:r>
        <w:rPr/>
        <w:t>of the Faculty Grievance Office (FG Office). In October, 2018, he was appointed into the position of </w:t>
      </w:r>
      <w:r>
        <w:rPr>
          <w:i/>
        </w:rPr>
        <w:t>Acting Faculty </w:t>
      </w:r>
      <w:r>
        <w:rPr>
          <w:i/>
        </w:rPr>
        <w:t>Grievance Official</w:t>
      </w:r>
      <w:r>
        <w:rPr/>
        <w:t>. He became the </w:t>
      </w:r>
      <w:r>
        <w:rPr>
          <w:i/>
        </w:rPr>
        <w:t>Faculty Grievance Official </w:t>
      </w:r>
      <w:r>
        <w:rPr/>
        <w:t>on February 15, 2019 and has been serving in that capacity since then. He has a 0.5 FTE assignment as the FG Official.</w:t>
      </w:r>
    </w:p>
    <w:p>
      <w:pPr>
        <w:pStyle w:val="BodyText"/>
        <w:spacing w:line="276" w:lineRule="auto"/>
        <w:ind w:left="100" w:right="187"/>
      </w:pPr>
      <w:r>
        <w:rPr/>
        <w:t>Although </w:t>
      </w:r>
      <w:r>
        <w:rPr>
          <w:spacing w:val="-5"/>
        </w:rPr>
        <w:t>Dr. </w:t>
      </w:r>
      <w:r>
        <w:rPr/>
        <w:t>Villarruel’s assignment as the FG Official has technically lapsed, he has continued to</w:t>
      </w:r>
      <w:r>
        <w:rPr>
          <w:spacing w:val="-6"/>
        </w:rPr>
        <w:t> </w:t>
      </w:r>
      <w:r>
        <w:rPr/>
        <w:t>serve</w:t>
      </w:r>
      <w:r>
        <w:rPr>
          <w:spacing w:val="-5"/>
        </w:rPr>
        <w:t> </w:t>
      </w:r>
      <w:r>
        <w:rPr/>
        <w:t>as</w:t>
      </w:r>
      <w:r>
        <w:rPr>
          <w:spacing w:val="-5"/>
        </w:rPr>
        <w:t> </w:t>
      </w:r>
      <w:r>
        <w:rPr/>
        <w:t>the</w:t>
      </w:r>
      <w:r>
        <w:rPr>
          <w:spacing w:val="-5"/>
        </w:rPr>
        <w:t> </w:t>
      </w:r>
      <w:r>
        <w:rPr/>
        <w:t>FG</w:t>
      </w:r>
      <w:r>
        <w:rPr>
          <w:spacing w:val="-5"/>
        </w:rPr>
        <w:t> </w:t>
      </w:r>
      <w:r>
        <w:rPr/>
        <w:t>Official,</w:t>
      </w:r>
      <w:r>
        <w:rPr>
          <w:spacing w:val="-5"/>
        </w:rPr>
        <w:t> </w:t>
      </w:r>
      <w:r>
        <w:rPr/>
        <w:t>pending</w:t>
      </w:r>
      <w:r>
        <w:rPr>
          <w:spacing w:val="-5"/>
        </w:rPr>
        <w:t> </w:t>
      </w:r>
      <w:r>
        <w:rPr/>
        <w:t>the</w:t>
      </w:r>
      <w:r>
        <w:rPr>
          <w:spacing w:val="-6"/>
        </w:rPr>
        <w:t> </w:t>
      </w:r>
      <w:r>
        <w:rPr/>
        <w:t>outcome</w:t>
      </w:r>
      <w:r>
        <w:rPr>
          <w:spacing w:val="-5"/>
        </w:rPr>
        <w:t> </w:t>
      </w:r>
      <w:r>
        <w:rPr/>
        <w:t>of</w:t>
      </w:r>
      <w:r>
        <w:rPr>
          <w:spacing w:val="-5"/>
        </w:rPr>
        <w:t> </w:t>
      </w:r>
      <w:r>
        <w:rPr/>
        <w:t>the</w:t>
      </w:r>
      <w:r>
        <w:rPr>
          <w:spacing w:val="-5"/>
        </w:rPr>
        <w:t> </w:t>
      </w:r>
      <w:r>
        <w:rPr/>
        <w:t>review</w:t>
      </w:r>
      <w:r>
        <w:rPr>
          <w:spacing w:val="-5"/>
        </w:rPr>
        <w:t> </w:t>
      </w:r>
      <w:r>
        <w:rPr/>
        <w:t>and</w:t>
      </w:r>
      <w:r>
        <w:rPr>
          <w:spacing w:val="-5"/>
        </w:rPr>
        <w:t> </w:t>
      </w:r>
      <w:r>
        <w:rPr/>
        <w:t>reappointment</w:t>
      </w:r>
      <w:r>
        <w:rPr>
          <w:spacing w:val="-5"/>
        </w:rPr>
        <w:t> </w:t>
      </w:r>
      <w:r>
        <w:rPr/>
        <w:t>process.</w:t>
      </w:r>
      <w:r>
        <w:rPr>
          <w:spacing w:val="-5"/>
        </w:rPr>
        <w:t> </w:t>
      </w:r>
      <w:r>
        <w:rPr/>
        <w:t>Both </w:t>
      </w:r>
      <w:r>
        <w:rPr>
          <w:spacing w:val="-5"/>
        </w:rPr>
        <w:t>Dr. </w:t>
      </w:r>
      <w:r>
        <w:rPr/>
        <w:t>Villarruel and the </w:t>
      </w:r>
      <w:r>
        <w:rPr>
          <w:spacing w:val="-4"/>
        </w:rPr>
        <w:t>UCFA </w:t>
      </w:r>
      <w:r>
        <w:rPr/>
        <w:t>had mis-remembered the length of his term as a 5 year appointment, rather than a 3 ½ year appointment, hence his extended tenure as FG Official, beyond his term, without</w:t>
      </w:r>
      <w:r>
        <w:rPr>
          <w:spacing w:val="-6"/>
        </w:rPr>
        <w:t> </w:t>
      </w:r>
      <w:r>
        <w:rPr/>
        <w:t>reappointment.</w:t>
      </w:r>
    </w:p>
    <w:p>
      <w:pPr>
        <w:pStyle w:val="BodyText"/>
        <w:spacing w:before="3"/>
        <w:rPr>
          <w:sz w:val="25"/>
        </w:rPr>
      </w:pPr>
    </w:p>
    <w:p>
      <w:pPr>
        <w:pStyle w:val="BodyText"/>
        <w:spacing w:line="276" w:lineRule="auto" w:before="1"/>
        <w:ind w:left="100" w:right="187"/>
      </w:pPr>
      <w:r>
        <w:rPr/>
        <w:t>This review was conducted throughout the spring 2023 semester. It was discussed and approved by UCFA on April XX, 2023. The review encompasses the period from Dr. Villarruel’s initial appointment at the FG Official (on 02/15/2019) through to the end of 2022 (12/31/2022).</w:t>
      </w:r>
    </w:p>
    <w:p>
      <w:pPr>
        <w:pStyle w:val="BodyText"/>
        <w:spacing w:before="3"/>
        <w:rPr>
          <w:sz w:val="25"/>
        </w:rPr>
      </w:pPr>
    </w:p>
    <w:p>
      <w:pPr>
        <w:pStyle w:val="BodyText"/>
        <w:spacing w:line="276" w:lineRule="auto"/>
        <w:ind w:left="100"/>
      </w:pPr>
      <w:r>
        <w:rPr/>
        <w:t>It is the finding of the UCFA that Dr. Villarruel has demonstrated a high degree of effectiveness and professionalism, and has maintained positive collaborative working relationships throughout his tenure in the position of the FG Official. He has consistently operated within the scope of the MSU Faculty Grievance Policy, and has built a reputation for being a fair and neutral actor in the dispute and grievance processes at MSU.</w:t>
      </w:r>
    </w:p>
    <w:p>
      <w:pPr>
        <w:pStyle w:val="BodyText"/>
        <w:spacing w:before="3"/>
        <w:rPr>
          <w:sz w:val="25"/>
        </w:rPr>
      </w:pPr>
    </w:p>
    <w:p>
      <w:pPr>
        <w:pStyle w:val="BodyText"/>
        <w:spacing w:line="276" w:lineRule="auto" w:before="1"/>
        <w:ind w:left="100"/>
      </w:pPr>
      <w:r>
        <w:rPr/>
        <w:t>There were no areas of concern that Dr. White or the UCFA Personnel Subcommittee identified during the review process that would support an alternative finding regarding Dr. Villarruel’s</w:t>
      </w:r>
    </w:p>
    <w:p>
      <w:pPr>
        <w:spacing w:after="0" w:line="276" w:lineRule="auto"/>
        <w:sectPr>
          <w:type w:val="continuous"/>
          <w:pgSz w:w="12240" w:h="15840"/>
          <w:pgMar w:top="760" w:bottom="280" w:left="1340" w:right="1300"/>
        </w:sectPr>
      </w:pPr>
    </w:p>
    <w:p>
      <w:pPr>
        <w:pStyle w:val="BodyText"/>
        <w:spacing w:line="276" w:lineRule="auto" w:before="80"/>
        <w:ind w:left="100" w:right="149"/>
      </w:pPr>
      <w:r>
        <w:rPr/>
        <w:t>performance. That is not to say that Dr. Villarruel has no areas for continued growth. In fact, one of the hallmarks of his tenure as the FG Official is his growth-mindset and his desire to continually improve in providing the best mediation and dispute-resolution services as possible to the faculty, academic staff, and administrators at MSU. Disputes are often challenging for those involved, and are often as unique as they are complex. Dr. Villarruel sees his role as an opportunity to help those involved, as well as an opportunity for him as FG Official to grow in the mastery of his role.</w:t>
      </w:r>
    </w:p>
    <w:p>
      <w:pPr>
        <w:pStyle w:val="BodyText"/>
        <w:spacing w:before="3"/>
        <w:rPr>
          <w:sz w:val="25"/>
        </w:rPr>
      </w:pPr>
    </w:p>
    <w:p>
      <w:pPr>
        <w:spacing w:before="0"/>
        <w:ind w:left="100" w:right="0" w:firstLine="0"/>
        <w:jc w:val="left"/>
        <w:rPr>
          <w:b/>
          <w:sz w:val="22"/>
        </w:rPr>
      </w:pPr>
      <w:r>
        <w:rPr>
          <w:rFonts w:ascii="Times New Roman"/>
          <w:spacing w:val="-55"/>
          <w:sz w:val="22"/>
          <w:u w:val="thick"/>
        </w:rPr>
        <w:t> </w:t>
      </w:r>
      <w:r>
        <w:rPr>
          <w:b/>
          <w:sz w:val="22"/>
          <w:u w:val="thick"/>
        </w:rPr>
        <w:t>Given these findings, we recommend reappointment of </w:t>
      </w:r>
      <w:r>
        <w:rPr>
          <w:b/>
          <w:spacing w:val="-5"/>
          <w:sz w:val="22"/>
          <w:u w:val="thick"/>
        </w:rPr>
        <w:t>Dr. </w:t>
      </w:r>
      <w:r>
        <w:rPr>
          <w:b/>
          <w:sz w:val="22"/>
          <w:u w:val="thick"/>
        </w:rPr>
        <w:t>Villarruel to the position of</w:t>
      </w:r>
    </w:p>
    <w:p>
      <w:pPr>
        <w:spacing w:before="38"/>
        <w:ind w:left="100" w:right="0" w:firstLine="0"/>
        <w:jc w:val="left"/>
        <w:rPr>
          <w:b/>
          <w:sz w:val="22"/>
        </w:rPr>
      </w:pPr>
      <w:r>
        <w:rPr>
          <w:rFonts w:ascii="Times New Roman"/>
          <w:spacing w:val="-55"/>
          <w:sz w:val="22"/>
          <w:u w:val="thick"/>
        </w:rPr>
        <w:t> </w:t>
      </w:r>
      <w:r>
        <w:rPr>
          <w:b/>
          <w:sz w:val="22"/>
          <w:u w:val="thick"/>
        </w:rPr>
        <w:t>Faculty Grievance Official without reservation.</w:t>
      </w:r>
    </w:p>
    <w:p>
      <w:pPr>
        <w:pStyle w:val="BodyText"/>
        <w:spacing w:before="7"/>
        <w:rPr>
          <w:b/>
          <w:sz w:val="28"/>
        </w:rPr>
      </w:pPr>
    </w:p>
    <w:p>
      <w:pPr>
        <w:pStyle w:val="BodyText"/>
        <w:spacing w:line="276" w:lineRule="auto"/>
        <w:ind w:left="100" w:right="187"/>
      </w:pPr>
      <w:r>
        <w:rPr/>
        <w:t>In the pages of this report, we provide qualitative and quantitative evidence of Dr. Villarruel’s excellence, over a nearly four year period. Primarily, this report includes a recap and synthesis of four years’ worth of survey data from people who have used the services of the FG Office, survey data from the FASA Directors who have worked with Dr. Villarruel, and reflections provided by Dr.Villarruel himself.</w:t>
      </w:r>
    </w:p>
    <w:p>
      <w:pPr>
        <w:pStyle w:val="BodyText"/>
        <w:spacing w:before="3"/>
        <w:rPr>
          <w:sz w:val="25"/>
        </w:rPr>
      </w:pPr>
    </w:p>
    <w:p>
      <w:pPr>
        <w:pStyle w:val="BodyText"/>
        <w:spacing w:line="276" w:lineRule="auto"/>
        <w:ind w:left="100" w:right="187"/>
      </w:pPr>
      <w:r>
        <w:rPr/>
        <w:t>Please feel free to reach out to me should you have any questions, or require further information.</w:t>
      </w:r>
    </w:p>
    <w:p>
      <w:pPr>
        <w:pStyle w:val="BodyText"/>
        <w:spacing w:before="4"/>
        <w:rPr>
          <w:sz w:val="25"/>
        </w:rPr>
      </w:pPr>
    </w:p>
    <w:p>
      <w:pPr>
        <w:pStyle w:val="BodyText"/>
        <w:ind w:left="100"/>
      </w:pPr>
      <w:r>
        <w:rPr/>
        <w:t>Sincerely</w:t>
      </w:r>
    </w:p>
    <w:p>
      <w:pPr>
        <w:pStyle w:val="BodyText"/>
        <w:rPr>
          <w:sz w:val="24"/>
        </w:rPr>
      </w:pPr>
    </w:p>
    <w:p>
      <w:pPr>
        <w:pStyle w:val="BodyText"/>
        <w:rPr>
          <w:sz w:val="24"/>
        </w:rPr>
      </w:pPr>
    </w:p>
    <w:p>
      <w:pPr>
        <w:pStyle w:val="BodyText"/>
        <w:rPr>
          <w:sz w:val="24"/>
        </w:rPr>
      </w:pPr>
    </w:p>
    <w:p>
      <w:pPr>
        <w:pStyle w:val="BodyText"/>
        <w:spacing w:before="5"/>
        <w:rPr>
          <w:sz w:val="32"/>
        </w:rPr>
      </w:pPr>
    </w:p>
    <w:p>
      <w:pPr>
        <w:pStyle w:val="BodyText"/>
        <w:spacing w:line="276" w:lineRule="auto" w:before="1"/>
        <w:ind w:left="100" w:right="7844"/>
      </w:pPr>
      <w:r>
        <w:rPr/>
        <w:t>Jamie Alan Chair, UCFA</w:t>
      </w:r>
    </w:p>
    <w:p>
      <w:pPr>
        <w:spacing w:after="0" w:line="276" w:lineRule="auto"/>
        <w:sectPr>
          <w:footerReference w:type="default" r:id="rId6"/>
          <w:pgSz w:w="12240" w:h="15840"/>
          <w:pgMar w:footer="724" w:header="0" w:top="1360" w:bottom="920" w:left="1340" w:right="1300"/>
          <w:pgNumType w:start="2"/>
        </w:sectPr>
      </w:pPr>
    </w:p>
    <w:p>
      <w:pPr>
        <w:pStyle w:val="Heading1"/>
        <w:rPr>
          <w:u w:val="none"/>
        </w:rPr>
      </w:pPr>
      <w:bookmarkStart w:name="_TOC_250004" w:id="1"/>
      <w:r>
        <w:rPr>
          <w:rFonts w:ascii="Times New Roman"/>
          <w:b w:val="0"/>
          <w:spacing w:val="-60"/>
          <w:u w:val="thick"/>
        </w:rPr>
        <w:t> </w:t>
      </w:r>
      <w:r>
        <w:rPr>
          <w:spacing w:val="-4"/>
          <w:u w:val="thick"/>
        </w:rPr>
        <w:t>Table </w:t>
      </w:r>
      <w:bookmarkEnd w:id="1"/>
      <w:r>
        <w:rPr>
          <w:u w:val="thick"/>
        </w:rPr>
        <w:t>of Contents</w:t>
      </w:r>
    </w:p>
    <w:sdt>
      <w:sdtPr>
        <w:docPartObj>
          <w:docPartGallery w:val="Table of Contents"/>
          <w:docPartUnique/>
        </w:docPartObj>
      </w:sdtPr>
      <w:sdtEndPr/>
      <w:sdtContent>
        <w:p>
          <w:pPr>
            <w:pStyle w:val="TOC1"/>
            <w:tabs>
              <w:tab w:pos="8592" w:val="right" w:leader="dot"/>
            </w:tabs>
            <w:spacing w:before="161"/>
          </w:pPr>
          <w:r>
            <w:rPr/>
            <w:t>Cover</w:t>
          </w:r>
          <w:r>
            <w:rPr>
              <w:spacing w:val="-2"/>
            </w:rPr>
            <w:t> </w:t>
          </w:r>
          <w:r>
            <w:rPr/>
            <w:t>Letter</w:t>
            <w:tab/>
            <w:t>1</w:t>
          </w:r>
        </w:p>
        <w:p>
          <w:pPr>
            <w:pStyle w:val="TOC1"/>
            <w:tabs>
              <w:tab w:pos="8592" w:val="right" w:leader="dot"/>
            </w:tabs>
          </w:pPr>
          <w:hyperlink w:history="true" w:anchor="_TOC_250004">
            <w:r>
              <w:rPr>
                <w:spacing w:val="-6"/>
              </w:rPr>
              <w:t>Table</w:t>
            </w:r>
            <w:r>
              <w:rPr>
                <w:spacing w:val="-2"/>
              </w:rPr>
              <w:t> </w:t>
            </w:r>
            <w:r>
              <w:rPr/>
              <w:t>of</w:t>
            </w:r>
            <w:r>
              <w:rPr>
                <w:spacing w:val="-1"/>
              </w:rPr>
              <w:t> </w:t>
            </w:r>
            <w:r>
              <w:rPr/>
              <w:t>Contents</w:t>
              <w:tab/>
              <w:t>3</w:t>
            </w:r>
          </w:hyperlink>
        </w:p>
        <w:p>
          <w:pPr>
            <w:pStyle w:val="TOC1"/>
            <w:tabs>
              <w:tab w:pos="8592" w:val="right" w:leader="dot"/>
            </w:tabs>
          </w:pPr>
          <w:hyperlink w:history="true" w:anchor="_TOC_250003">
            <w:r>
              <w:rPr/>
              <w:t>Faculty Grievance Office Activities for the Period</w:t>
            </w:r>
            <w:r>
              <w:rPr>
                <w:spacing w:val="-15"/>
              </w:rPr>
              <w:t> </w:t>
            </w:r>
            <w:r>
              <w:rPr/>
              <w:t>Under</w:t>
            </w:r>
            <w:r>
              <w:rPr>
                <w:spacing w:val="-3"/>
              </w:rPr>
              <w:t> </w:t>
            </w:r>
            <w:r>
              <w:rPr/>
              <w:t>Review</w:t>
              <w:tab/>
              <w:t>4</w:t>
            </w:r>
          </w:hyperlink>
        </w:p>
        <w:p>
          <w:pPr>
            <w:pStyle w:val="TOC1"/>
            <w:tabs>
              <w:tab w:pos="8592" w:val="right" w:leader="dot"/>
            </w:tabs>
          </w:pPr>
          <w:r>
            <w:rPr/>
            <w:t>Data Considered in the Writing of</w:t>
          </w:r>
          <w:r>
            <w:rPr>
              <w:spacing w:val="-9"/>
            </w:rPr>
            <w:t> </w:t>
          </w:r>
          <w:r>
            <w:rPr/>
            <w:t>this</w:t>
          </w:r>
          <w:r>
            <w:rPr>
              <w:spacing w:val="-2"/>
            </w:rPr>
            <w:t> </w:t>
          </w:r>
          <w:r>
            <w:rPr/>
            <w:t>Report</w:t>
            <w:tab/>
            <w:t>4</w:t>
          </w:r>
        </w:p>
        <w:p>
          <w:pPr>
            <w:pStyle w:val="TOC1"/>
            <w:tabs>
              <w:tab w:pos="8592" w:val="right" w:leader="dot"/>
            </w:tabs>
          </w:pPr>
          <w:hyperlink w:history="true" w:anchor="_TOC_250002">
            <w:r>
              <w:rPr/>
              <w:t>General Structure of Annual Reviews of </w:t>
            </w:r>
            <w:r>
              <w:rPr>
                <w:spacing w:val="-5"/>
              </w:rPr>
              <w:t>Dr. </w:t>
            </w:r>
            <w:r>
              <w:rPr/>
              <w:t>Villarruel, as Conducted</w:t>
            </w:r>
            <w:r>
              <w:rPr>
                <w:spacing w:val="-26"/>
              </w:rPr>
              <w:t> </w:t>
            </w:r>
            <w:r>
              <w:rPr/>
              <w:t>by</w:t>
            </w:r>
            <w:r>
              <w:rPr>
                <w:spacing w:val="-3"/>
              </w:rPr>
              <w:t> </w:t>
            </w:r>
            <w:r>
              <w:rPr>
                <w:spacing w:val="-4"/>
              </w:rPr>
              <w:t>UCFA</w:t>
              <w:tab/>
            </w:r>
            <w:r>
              <w:rPr/>
              <w:t>4</w:t>
            </w:r>
          </w:hyperlink>
        </w:p>
        <w:p>
          <w:pPr>
            <w:pStyle w:val="TOC1"/>
            <w:tabs>
              <w:tab w:pos="8592" w:val="right" w:leader="dot"/>
            </w:tabs>
          </w:pPr>
          <w:r>
            <w:rPr/>
            <w:t>Synopsis of </w:t>
          </w:r>
          <w:r>
            <w:rPr>
              <w:spacing w:val="-5"/>
            </w:rPr>
            <w:t>Dr. </w:t>
          </w:r>
          <w:r>
            <w:rPr/>
            <w:t>Villalrruel’s Annual Review from the 2019</w:t>
          </w:r>
          <w:r>
            <w:rPr>
              <w:spacing w:val="-19"/>
            </w:rPr>
            <w:t> </w:t>
          </w:r>
          <w:r>
            <w:rPr/>
            <w:t>Calendar</w:t>
          </w:r>
          <w:r>
            <w:rPr>
              <w:spacing w:val="-2"/>
            </w:rPr>
            <w:t> </w:t>
          </w:r>
          <w:r>
            <w:rPr>
              <w:spacing w:val="-6"/>
            </w:rPr>
            <w:t>Year</w:t>
            <w:tab/>
          </w:r>
          <w:r>
            <w:rPr/>
            <w:t>5</w:t>
          </w:r>
        </w:p>
        <w:p>
          <w:pPr>
            <w:pStyle w:val="TOC1"/>
            <w:tabs>
              <w:tab w:pos="8592" w:val="right" w:leader="dot"/>
            </w:tabs>
          </w:pPr>
          <w:r>
            <w:rPr/>
            <w:t>Synopsis of </w:t>
          </w:r>
          <w:r>
            <w:rPr>
              <w:spacing w:val="-5"/>
            </w:rPr>
            <w:t>Dr. </w:t>
          </w:r>
          <w:r>
            <w:rPr/>
            <w:t>Villalrruel’s Annual Review from the 2020</w:t>
          </w:r>
          <w:r>
            <w:rPr>
              <w:spacing w:val="-19"/>
            </w:rPr>
            <w:t> </w:t>
          </w:r>
          <w:r>
            <w:rPr/>
            <w:t>Calendar</w:t>
          </w:r>
          <w:r>
            <w:rPr>
              <w:spacing w:val="-2"/>
            </w:rPr>
            <w:t> </w:t>
          </w:r>
          <w:r>
            <w:rPr>
              <w:spacing w:val="-6"/>
            </w:rPr>
            <w:t>Year</w:t>
            <w:tab/>
          </w:r>
          <w:r>
            <w:rPr/>
            <w:t>6</w:t>
          </w:r>
        </w:p>
        <w:p>
          <w:pPr>
            <w:pStyle w:val="TOC1"/>
            <w:tabs>
              <w:tab w:pos="8592" w:val="right" w:leader="dot"/>
            </w:tabs>
          </w:pPr>
          <w:r>
            <w:rPr/>
            <w:t>Synopsis of </w:t>
          </w:r>
          <w:r>
            <w:rPr>
              <w:spacing w:val="-5"/>
            </w:rPr>
            <w:t>Dr. </w:t>
          </w:r>
          <w:r>
            <w:rPr/>
            <w:t>Villalrruel’s Annual Review from the 2021</w:t>
          </w:r>
          <w:r>
            <w:rPr>
              <w:spacing w:val="-19"/>
            </w:rPr>
            <w:t> </w:t>
          </w:r>
          <w:r>
            <w:rPr/>
            <w:t>Calendar</w:t>
          </w:r>
          <w:r>
            <w:rPr>
              <w:spacing w:val="-2"/>
            </w:rPr>
            <w:t> </w:t>
          </w:r>
          <w:r>
            <w:rPr>
              <w:spacing w:val="-6"/>
            </w:rPr>
            <w:t>Year</w:t>
            <w:tab/>
          </w:r>
          <w:r>
            <w:rPr/>
            <w:t>7</w:t>
          </w:r>
        </w:p>
        <w:p>
          <w:pPr>
            <w:pStyle w:val="TOC1"/>
            <w:tabs>
              <w:tab w:pos="8592" w:val="right" w:leader="dot"/>
            </w:tabs>
          </w:pPr>
          <w:r>
            <w:rPr/>
            <w:t>Synopsis of </w:t>
          </w:r>
          <w:r>
            <w:rPr>
              <w:spacing w:val="-5"/>
            </w:rPr>
            <w:t>Dr. </w:t>
          </w:r>
          <w:r>
            <w:rPr/>
            <w:t>Villalrruel’s Annual Review from the 2022</w:t>
          </w:r>
          <w:r>
            <w:rPr>
              <w:spacing w:val="-19"/>
            </w:rPr>
            <w:t> </w:t>
          </w:r>
          <w:r>
            <w:rPr/>
            <w:t>Calendar</w:t>
          </w:r>
          <w:r>
            <w:rPr>
              <w:spacing w:val="-2"/>
            </w:rPr>
            <w:t> </w:t>
          </w:r>
          <w:r>
            <w:rPr>
              <w:spacing w:val="-6"/>
            </w:rPr>
            <w:t>Year</w:t>
            <w:tab/>
          </w:r>
          <w:r>
            <w:rPr/>
            <w:t>8</w:t>
          </w:r>
        </w:p>
        <w:p>
          <w:pPr>
            <w:pStyle w:val="TOC1"/>
            <w:tabs>
              <w:tab w:pos="8592" w:val="right" w:leader="dot"/>
            </w:tabs>
          </w:pPr>
          <w:hyperlink w:history="true" w:anchor="_TOC_250001">
            <w:r>
              <w:rPr/>
              <w:t>Feedback from</w:t>
            </w:r>
            <w:r>
              <w:rPr>
                <w:spacing w:val="-3"/>
              </w:rPr>
              <w:t> </w:t>
            </w:r>
            <w:r>
              <w:rPr>
                <w:spacing w:val="-4"/>
              </w:rPr>
              <w:t>FASA</w:t>
            </w:r>
            <w:r>
              <w:rPr>
                <w:spacing w:val="-1"/>
              </w:rPr>
              <w:t> </w:t>
            </w:r>
            <w:r>
              <w:rPr/>
              <w:t>Directors</w:t>
              <w:tab/>
              <w:t>9</w:t>
            </w:r>
          </w:hyperlink>
        </w:p>
        <w:p>
          <w:pPr>
            <w:pStyle w:val="TOC1"/>
            <w:tabs>
              <w:tab w:pos="8714" w:val="right" w:leader="dot"/>
            </w:tabs>
          </w:pPr>
          <w:hyperlink w:history="true" w:anchor="_TOC_250000">
            <w:r>
              <w:rPr/>
              <w:t>Professional Development Activities</w:t>
            </w:r>
            <w:r>
              <w:rPr>
                <w:spacing w:val="-5"/>
              </w:rPr>
              <w:t> </w:t>
            </w:r>
            <w:r>
              <w:rPr/>
              <w:t>and</w:t>
            </w:r>
            <w:r>
              <w:rPr>
                <w:spacing w:val="-2"/>
              </w:rPr>
              <w:t> </w:t>
            </w:r>
            <w:r>
              <w:rPr/>
              <w:t>Outreach</w:t>
              <w:tab/>
              <w:t>12</w:t>
            </w:r>
          </w:hyperlink>
        </w:p>
        <w:p>
          <w:pPr>
            <w:pStyle w:val="TOC1"/>
            <w:tabs>
              <w:tab w:pos="8714" w:val="right" w:leader="dot"/>
            </w:tabs>
            <w:spacing w:before="242"/>
          </w:pPr>
          <w:r>
            <w:rPr>
              <w:spacing w:val="-5"/>
            </w:rPr>
            <w:t>Dr. </w:t>
          </w:r>
          <w:r>
            <w:rPr/>
            <w:t>Villarruel’s</w:t>
          </w:r>
          <w:r>
            <w:rPr>
              <w:spacing w:val="2"/>
            </w:rPr>
            <w:t> </w:t>
          </w:r>
          <w:r>
            <w:rPr/>
            <w:t>Self</w:t>
          </w:r>
          <w:r>
            <w:rPr>
              <w:spacing w:val="-2"/>
            </w:rPr>
            <w:t> </w:t>
          </w:r>
          <w:r>
            <w:rPr/>
            <w:t>Reflections</w:t>
            <w:tab/>
            <w:t>13</w:t>
          </w:r>
        </w:p>
        <w:p>
          <w:pPr>
            <w:pStyle w:val="TOC1"/>
            <w:tabs>
              <w:tab w:pos="8714" w:val="right" w:leader="dot"/>
            </w:tabs>
            <w:spacing w:before="242"/>
          </w:pPr>
          <w:r>
            <w:rPr/>
            <w:t>Appendix 1, 2019 </w:t>
          </w:r>
          <w:r>
            <w:rPr>
              <w:spacing w:val="-4"/>
            </w:rPr>
            <w:t>UCFA </w:t>
          </w:r>
          <w:r>
            <w:rPr/>
            <w:t>FG</w:t>
          </w:r>
          <w:r>
            <w:rPr>
              <w:spacing w:val="-3"/>
            </w:rPr>
            <w:t> </w:t>
          </w:r>
          <w:r>
            <w:rPr/>
            <w:t>Official</w:t>
          </w:r>
          <w:r>
            <w:rPr>
              <w:spacing w:val="-2"/>
            </w:rPr>
            <w:t> </w:t>
          </w:r>
          <w:r>
            <w:rPr/>
            <w:t>Review</w:t>
            <w:tab/>
            <w:t>15</w:t>
          </w:r>
        </w:p>
        <w:p>
          <w:pPr>
            <w:pStyle w:val="TOC1"/>
            <w:tabs>
              <w:tab w:pos="8714" w:val="right" w:leader="dot"/>
            </w:tabs>
            <w:spacing w:before="242"/>
          </w:pPr>
          <w:r>
            <w:rPr/>
            <w:t>Appendix 2, 2020 </w:t>
          </w:r>
          <w:r>
            <w:rPr>
              <w:spacing w:val="-4"/>
            </w:rPr>
            <w:t>UCFA </w:t>
          </w:r>
          <w:r>
            <w:rPr/>
            <w:t>FG</w:t>
          </w:r>
          <w:r>
            <w:rPr>
              <w:spacing w:val="-3"/>
            </w:rPr>
            <w:t> </w:t>
          </w:r>
          <w:r>
            <w:rPr/>
            <w:t>Official</w:t>
          </w:r>
          <w:r>
            <w:rPr>
              <w:spacing w:val="-2"/>
            </w:rPr>
            <w:t> </w:t>
          </w:r>
          <w:r>
            <w:rPr/>
            <w:t>Review</w:t>
            <w:tab/>
            <w:t>21</w:t>
          </w:r>
        </w:p>
        <w:p>
          <w:pPr>
            <w:pStyle w:val="TOC1"/>
            <w:tabs>
              <w:tab w:pos="8714" w:val="right" w:leader="dot"/>
            </w:tabs>
            <w:spacing w:before="242"/>
          </w:pPr>
          <w:r>
            <w:rPr/>
            <w:t>Appendix 3, 2021 </w:t>
          </w:r>
          <w:r>
            <w:rPr>
              <w:spacing w:val="-4"/>
            </w:rPr>
            <w:t>UCFA </w:t>
          </w:r>
          <w:r>
            <w:rPr/>
            <w:t>FG</w:t>
          </w:r>
          <w:r>
            <w:rPr>
              <w:spacing w:val="-3"/>
            </w:rPr>
            <w:t> </w:t>
          </w:r>
          <w:r>
            <w:rPr/>
            <w:t>Official</w:t>
          </w:r>
          <w:r>
            <w:rPr>
              <w:spacing w:val="-2"/>
            </w:rPr>
            <w:t> </w:t>
          </w:r>
          <w:r>
            <w:rPr/>
            <w:t>Review</w:t>
            <w:tab/>
            <w:t>27</w:t>
          </w:r>
        </w:p>
        <w:p>
          <w:pPr>
            <w:pStyle w:val="TOC1"/>
            <w:tabs>
              <w:tab w:pos="8714" w:val="right" w:leader="dot"/>
            </w:tabs>
            <w:spacing w:before="242"/>
          </w:pPr>
          <w:r>
            <w:rPr/>
            <w:t>Appendix 4, 2022 </w:t>
          </w:r>
          <w:r>
            <w:rPr>
              <w:spacing w:val="-4"/>
            </w:rPr>
            <w:t>UCFA </w:t>
          </w:r>
          <w:r>
            <w:rPr/>
            <w:t>FG</w:t>
          </w:r>
          <w:r>
            <w:rPr>
              <w:spacing w:val="-3"/>
            </w:rPr>
            <w:t> </w:t>
          </w:r>
          <w:r>
            <w:rPr/>
            <w:t>Official</w:t>
          </w:r>
          <w:r>
            <w:rPr>
              <w:spacing w:val="-2"/>
            </w:rPr>
            <w:t> </w:t>
          </w:r>
          <w:r>
            <w:rPr/>
            <w:t>Review</w:t>
            <w:tab/>
            <w:t>34</w:t>
          </w:r>
        </w:p>
      </w:sdtContent>
    </w:sdt>
    <w:p>
      <w:pPr>
        <w:spacing w:after="0"/>
        <w:sectPr>
          <w:pgSz w:w="12240" w:h="15840"/>
          <w:pgMar w:header="0" w:footer="724" w:top="1360" w:bottom="1000" w:left="1340" w:right="1300"/>
        </w:sectPr>
      </w:pPr>
    </w:p>
    <w:p>
      <w:pPr>
        <w:pStyle w:val="Heading1"/>
        <w:rPr>
          <w:u w:val="none"/>
        </w:rPr>
      </w:pPr>
      <w:bookmarkStart w:name="_TOC_250003" w:id="2"/>
      <w:r>
        <w:rPr>
          <w:rFonts w:ascii="Times New Roman"/>
          <w:b w:val="0"/>
          <w:spacing w:val="-60"/>
          <w:u w:val="thick"/>
        </w:rPr>
        <w:t> </w:t>
      </w:r>
      <w:bookmarkEnd w:id="2"/>
      <w:r>
        <w:rPr>
          <w:u w:val="thick"/>
        </w:rPr>
        <w:t>Faculty Grievance Office Activities for the Period Under Review</w:t>
      </w:r>
    </w:p>
    <w:p>
      <w:pPr>
        <w:pStyle w:val="BodyText"/>
        <w:spacing w:before="41"/>
        <w:ind w:left="100"/>
      </w:pPr>
      <w:r>
        <w:rPr/>
        <w:t>During the period under review, the FG Office received a total of 30 formal grievances (range: 2</w:t>
      </w:r>
    </w:p>
    <w:p>
      <w:pPr>
        <w:pStyle w:val="ListParagraph"/>
        <w:numPr>
          <w:ilvl w:val="0"/>
          <w:numId w:val="1"/>
        </w:numPr>
        <w:tabs>
          <w:tab w:pos="235" w:val="left" w:leader="none"/>
        </w:tabs>
        <w:spacing w:line="276" w:lineRule="auto" w:before="38" w:after="0"/>
        <w:ind w:left="100" w:right="190" w:firstLine="0"/>
        <w:jc w:val="left"/>
        <w:rPr>
          <w:sz w:val="22"/>
        </w:rPr>
      </w:pPr>
      <w:r>
        <w:rPr>
          <w:spacing w:val="-9"/>
          <w:sz w:val="22"/>
        </w:rPr>
        <w:t>11 </w:t>
      </w:r>
      <w:r>
        <w:rPr>
          <w:sz w:val="22"/>
        </w:rPr>
        <w:t>per </w:t>
      </w:r>
      <w:r>
        <w:rPr>
          <w:spacing w:val="-4"/>
          <w:sz w:val="22"/>
        </w:rPr>
        <w:t>year, </w:t>
      </w:r>
      <w:r>
        <w:rPr>
          <w:spacing w:val="-6"/>
          <w:sz w:val="22"/>
        </w:rPr>
        <w:t>Table </w:t>
      </w:r>
      <w:r>
        <w:rPr>
          <w:sz w:val="22"/>
        </w:rPr>
        <w:t>1). In this same period, </w:t>
      </w:r>
      <w:r>
        <w:rPr>
          <w:spacing w:val="-5"/>
          <w:sz w:val="22"/>
        </w:rPr>
        <w:t>Dr. </w:t>
      </w:r>
      <w:r>
        <w:rPr>
          <w:sz w:val="22"/>
        </w:rPr>
        <w:t>Villarruel engaged in 468 Conferences with </w:t>
      </w:r>
      <w:r>
        <w:rPr>
          <w:spacing w:val="-3"/>
          <w:sz w:val="22"/>
        </w:rPr>
        <w:t>faculty, </w:t>
      </w:r>
      <w:r>
        <w:rPr>
          <w:sz w:val="22"/>
        </w:rPr>
        <w:t>administrators, and other individuals, e.g., attorneys, as appropriate; (range 99 - 156 per </w:t>
      </w:r>
      <w:r>
        <w:rPr>
          <w:spacing w:val="-4"/>
          <w:sz w:val="22"/>
        </w:rPr>
        <w:t>year, </w:t>
      </w:r>
      <w:r>
        <w:rPr>
          <w:spacing w:val="-6"/>
          <w:sz w:val="22"/>
        </w:rPr>
        <w:t>Table </w:t>
      </w:r>
      <w:r>
        <w:rPr>
          <w:sz w:val="22"/>
        </w:rPr>
        <w:t>1). Of these conferences, 60% were with </w:t>
      </w:r>
      <w:r>
        <w:rPr>
          <w:spacing w:val="-3"/>
          <w:sz w:val="22"/>
        </w:rPr>
        <w:t>faculty, </w:t>
      </w:r>
      <w:r>
        <w:rPr>
          <w:sz w:val="22"/>
        </w:rPr>
        <w:t>35% were with administrators, and 5%</w:t>
      </w:r>
      <w:r>
        <w:rPr>
          <w:spacing w:val="-5"/>
          <w:sz w:val="22"/>
        </w:rPr>
        <w:t> </w:t>
      </w:r>
      <w:r>
        <w:rPr>
          <w:sz w:val="22"/>
        </w:rPr>
        <w:t>were</w:t>
      </w:r>
      <w:r>
        <w:rPr>
          <w:spacing w:val="-5"/>
          <w:sz w:val="22"/>
        </w:rPr>
        <w:t> </w:t>
      </w:r>
      <w:r>
        <w:rPr>
          <w:sz w:val="22"/>
        </w:rPr>
        <w:t>with</w:t>
      </w:r>
      <w:r>
        <w:rPr>
          <w:spacing w:val="-4"/>
          <w:sz w:val="22"/>
        </w:rPr>
        <w:t> </w:t>
      </w:r>
      <w:r>
        <w:rPr>
          <w:sz w:val="22"/>
        </w:rPr>
        <w:t>other</w:t>
      </w:r>
      <w:r>
        <w:rPr>
          <w:spacing w:val="-5"/>
          <w:sz w:val="22"/>
        </w:rPr>
        <w:t> </w:t>
      </w:r>
      <w:r>
        <w:rPr>
          <w:sz w:val="22"/>
        </w:rPr>
        <w:t>relevant</w:t>
      </w:r>
      <w:r>
        <w:rPr>
          <w:spacing w:val="-4"/>
          <w:sz w:val="22"/>
        </w:rPr>
        <w:t> </w:t>
      </w:r>
      <w:r>
        <w:rPr>
          <w:sz w:val="22"/>
        </w:rPr>
        <w:t>individuals.</w:t>
      </w:r>
      <w:r>
        <w:rPr>
          <w:spacing w:val="-5"/>
          <w:sz w:val="22"/>
        </w:rPr>
        <w:t> </w:t>
      </w:r>
      <w:r>
        <w:rPr>
          <w:sz w:val="22"/>
        </w:rPr>
        <w:t>These</w:t>
      </w:r>
      <w:r>
        <w:rPr>
          <w:spacing w:val="-4"/>
          <w:sz w:val="22"/>
        </w:rPr>
        <w:t> </w:t>
      </w:r>
      <w:r>
        <w:rPr>
          <w:sz w:val="22"/>
        </w:rPr>
        <w:t>conferences</w:t>
      </w:r>
      <w:r>
        <w:rPr>
          <w:spacing w:val="-5"/>
          <w:sz w:val="22"/>
        </w:rPr>
        <w:t> </w:t>
      </w:r>
      <w:r>
        <w:rPr>
          <w:sz w:val="22"/>
        </w:rPr>
        <w:t>occurred</w:t>
      </w:r>
      <w:r>
        <w:rPr>
          <w:spacing w:val="-4"/>
          <w:sz w:val="22"/>
        </w:rPr>
        <w:t> </w:t>
      </w:r>
      <w:r>
        <w:rPr>
          <w:sz w:val="22"/>
        </w:rPr>
        <w:t>over</w:t>
      </w:r>
      <w:r>
        <w:rPr>
          <w:spacing w:val="-5"/>
          <w:sz w:val="22"/>
        </w:rPr>
        <w:t> </w:t>
      </w:r>
      <w:r>
        <w:rPr>
          <w:sz w:val="22"/>
        </w:rPr>
        <w:t>phone,</w:t>
      </w:r>
      <w:r>
        <w:rPr>
          <w:spacing w:val="-5"/>
          <w:sz w:val="22"/>
        </w:rPr>
        <w:t> </w:t>
      </w:r>
      <w:r>
        <w:rPr>
          <w:sz w:val="22"/>
        </w:rPr>
        <w:t>zoom,</w:t>
      </w:r>
      <w:r>
        <w:rPr>
          <w:spacing w:val="-4"/>
          <w:sz w:val="22"/>
        </w:rPr>
        <w:t> </w:t>
      </w:r>
      <w:r>
        <w:rPr>
          <w:sz w:val="22"/>
        </w:rPr>
        <w:t>and</w:t>
      </w:r>
    </w:p>
    <w:p>
      <w:pPr>
        <w:pStyle w:val="BodyText"/>
        <w:spacing w:line="276" w:lineRule="auto"/>
        <w:ind w:left="100" w:right="370"/>
      </w:pPr>
      <w:r>
        <w:rPr/>
        <w:t>in-person. During the pandemic, an increasing number of these consultations occurred over phone and zoom. Finally, Dr. Villarruel responded to a total of 1747 email inquiries in his capacity as the FG Official (range 271 - ~700 per year, Table 1). Of these, 54% were with faculty, and 32% were with administrators; 14% were with other relevant individuals (Table 1).</w:t>
      </w:r>
    </w:p>
    <w:p>
      <w:pPr>
        <w:pStyle w:val="BodyText"/>
        <w:spacing w:before="3"/>
        <w:rPr>
          <w:sz w:val="25"/>
        </w:rPr>
      </w:pPr>
    </w:p>
    <w:p>
      <w:pPr>
        <w:pStyle w:val="Heading2"/>
        <w:spacing w:after="21"/>
      </w:pPr>
      <w:r>
        <w:rPr/>
        <w:t>Table 1: FG Office Activity 2019-2022</w:t>
      </w: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800"/>
        <w:gridCol w:w="1100"/>
        <w:gridCol w:w="1160"/>
        <w:gridCol w:w="1100"/>
        <w:gridCol w:w="1200"/>
      </w:tblGrid>
      <w:tr>
        <w:trPr>
          <w:trHeight w:val="529" w:hRule="atLeast"/>
        </w:trPr>
        <w:tc>
          <w:tcPr>
            <w:tcW w:w="4800" w:type="dxa"/>
          </w:tcPr>
          <w:p>
            <w:pPr>
              <w:pStyle w:val="TableParagraph"/>
              <w:spacing w:before="117"/>
              <w:jc w:val="left"/>
              <w:rPr>
                <w:b/>
                <w:sz w:val="24"/>
              </w:rPr>
            </w:pPr>
            <w:r>
              <w:rPr>
                <w:b/>
                <w:sz w:val="24"/>
              </w:rPr>
              <w:t>FG Office Activity</w:t>
            </w:r>
          </w:p>
        </w:tc>
        <w:tc>
          <w:tcPr>
            <w:tcW w:w="1100" w:type="dxa"/>
          </w:tcPr>
          <w:p>
            <w:pPr>
              <w:pStyle w:val="TableParagraph"/>
              <w:spacing w:before="117"/>
              <w:ind w:left="296"/>
              <w:jc w:val="left"/>
              <w:rPr>
                <w:b/>
                <w:sz w:val="24"/>
              </w:rPr>
            </w:pPr>
            <w:r>
              <w:rPr>
                <w:b/>
                <w:sz w:val="24"/>
              </w:rPr>
              <w:t>2019</w:t>
            </w:r>
          </w:p>
        </w:tc>
        <w:tc>
          <w:tcPr>
            <w:tcW w:w="1160" w:type="dxa"/>
          </w:tcPr>
          <w:p>
            <w:pPr>
              <w:pStyle w:val="TableParagraph"/>
              <w:spacing w:before="117"/>
              <w:ind w:left="309" w:right="294"/>
              <w:rPr>
                <w:b/>
                <w:sz w:val="24"/>
              </w:rPr>
            </w:pPr>
            <w:r>
              <w:rPr>
                <w:b/>
                <w:sz w:val="24"/>
              </w:rPr>
              <w:t>2020</w:t>
            </w:r>
          </w:p>
        </w:tc>
        <w:tc>
          <w:tcPr>
            <w:tcW w:w="1100" w:type="dxa"/>
          </w:tcPr>
          <w:p>
            <w:pPr>
              <w:pStyle w:val="TableParagraph"/>
              <w:spacing w:before="117"/>
              <w:ind w:left="281" w:right="261"/>
              <w:rPr>
                <w:b/>
                <w:sz w:val="24"/>
              </w:rPr>
            </w:pPr>
            <w:r>
              <w:rPr>
                <w:b/>
                <w:sz w:val="24"/>
              </w:rPr>
              <w:t>2021</w:t>
            </w:r>
          </w:p>
        </w:tc>
        <w:tc>
          <w:tcPr>
            <w:tcW w:w="1200" w:type="dxa"/>
          </w:tcPr>
          <w:p>
            <w:pPr>
              <w:pStyle w:val="TableParagraph"/>
              <w:spacing w:before="117"/>
              <w:ind w:left="290" w:right="275"/>
              <w:rPr>
                <w:b/>
                <w:sz w:val="24"/>
              </w:rPr>
            </w:pPr>
            <w:r>
              <w:rPr>
                <w:b/>
                <w:sz w:val="24"/>
              </w:rPr>
              <w:t>2022</w:t>
            </w:r>
          </w:p>
        </w:tc>
      </w:tr>
      <w:tr>
        <w:trPr>
          <w:trHeight w:val="790" w:hRule="atLeast"/>
        </w:trPr>
        <w:tc>
          <w:tcPr>
            <w:tcW w:w="4800" w:type="dxa"/>
          </w:tcPr>
          <w:p>
            <w:pPr>
              <w:pStyle w:val="TableParagraph"/>
              <w:spacing w:before="119"/>
              <w:jc w:val="left"/>
              <w:rPr>
                <w:sz w:val="24"/>
              </w:rPr>
            </w:pPr>
            <w:r>
              <w:rPr>
                <w:sz w:val="24"/>
              </w:rPr>
              <w:t>Formal Grievances Filed</w:t>
            </w:r>
          </w:p>
          <w:p>
            <w:pPr>
              <w:pStyle w:val="TableParagraph"/>
              <w:spacing w:before="42"/>
              <w:jc w:val="left"/>
              <w:rPr>
                <w:sz w:val="18"/>
              </w:rPr>
            </w:pPr>
            <w:r>
              <w:rPr>
                <w:sz w:val="18"/>
              </w:rPr>
              <w:t>(# Resolved informally, or withdrawn)</w:t>
            </w:r>
          </w:p>
        </w:tc>
        <w:tc>
          <w:tcPr>
            <w:tcW w:w="1100" w:type="dxa"/>
          </w:tcPr>
          <w:p>
            <w:pPr>
              <w:pStyle w:val="TableParagraph"/>
              <w:spacing w:before="119"/>
              <w:ind w:left="257"/>
              <w:jc w:val="left"/>
              <w:rPr>
                <w:sz w:val="24"/>
              </w:rPr>
            </w:pPr>
            <w:r>
              <w:rPr>
                <w:sz w:val="24"/>
              </w:rPr>
              <w:t>10 (2)</w:t>
            </w:r>
          </w:p>
        </w:tc>
        <w:tc>
          <w:tcPr>
            <w:tcW w:w="1160" w:type="dxa"/>
          </w:tcPr>
          <w:p>
            <w:pPr>
              <w:pStyle w:val="TableParagraph"/>
              <w:spacing w:before="119"/>
              <w:ind w:left="309" w:right="294"/>
              <w:rPr>
                <w:sz w:val="24"/>
              </w:rPr>
            </w:pPr>
            <w:r>
              <w:rPr>
                <w:sz w:val="24"/>
              </w:rPr>
              <w:t>7 (1)</w:t>
            </w:r>
          </w:p>
        </w:tc>
        <w:tc>
          <w:tcPr>
            <w:tcW w:w="1100" w:type="dxa"/>
          </w:tcPr>
          <w:p>
            <w:pPr>
              <w:pStyle w:val="TableParagraph"/>
              <w:spacing w:before="119"/>
              <w:ind w:left="281" w:right="261"/>
              <w:rPr>
                <w:sz w:val="24"/>
              </w:rPr>
            </w:pPr>
            <w:r>
              <w:rPr>
                <w:sz w:val="24"/>
              </w:rPr>
              <w:t>2 (1)</w:t>
            </w:r>
          </w:p>
        </w:tc>
        <w:tc>
          <w:tcPr>
            <w:tcW w:w="1200" w:type="dxa"/>
          </w:tcPr>
          <w:p>
            <w:pPr>
              <w:pStyle w:val="TableParagraph"/>
              <w:spacing w:before="119"/>
              <w:ind w:left="290" w:right="275"/>
              <w:rPr>
                <w:sz w:val="24"/>
              </w:rPr>
            </w:pPr>
            <w:r>
              <w:rPr>
                <w:sz w:val="24"/>
              </w:rPr>
              <w:t>11 (2)</w:t>
            </w:r>
          </w:p>
        </w:tc>
      </w:tr>
      <w:tr>
        <w:trPr>
          <w:trHeight w:val="769" w:hRule="atLeast"/>
        </w:trPr>
        <w:tc>
          <w:tcPr>
            <w:tcW w:w="4800" w:type="dxa"/>
          </w:tcPr>
          <w:p>
            <w:pPr>
              <w:pStyle w:val="TableParagraph"/>
              <w:spacing w:before="113"/>
              <w:jc w:val="left"/>
              <w:rPr>
                <w:sz w:val="24"/>
              </w:rPr>
            </w:pPr>
            <w:r>
              <w:rPr>
                <w:sz w:val="24"/>
              </w:rPr>
              <w:t>Conferences</w:t>
            </w:r>
          </w:p>
          <w:p>
            <w:pPr>
              <w:pStyle w:val="TableParagraph"/>
              <w:spacing w:before="43"/>
              <w:jc w:val="left"/>
              <w:rPr>
                <w:sz w:val="16"/>
              </w:rPr>
            </w:pPr>
            <w:r>
              <w:rPr>
                <w:sz w:val="16"/>
              </w:rPr>
              <w:t>Via Zoom/Phone/In Person</w:t>
            </w:r>
          </w:p>
        </w:tc>
        <w:tc>
          <w:tcPr>
            <w:tcW w:w="1100" w:type="dxa"/>
          </w:tcPr>
          <w:p>
            <w:pPr>
              <w:pStyle w:val="TableParagraph"/>
              <w:spacing w:before="113"/>
              <w:ind w:left="357"/>
              <w:jc w:val="left"/>
              <w:rPr>
                <w:sz w:val="24"/>
              </w:rPr>
            </w:pPr>
            <w:r>
              <w:rPr>
                <w:sz w:val="24"/>
              </w:rPr>
              <w:t>156</w:t>
            </w:r>
          </w:p>
        </w:tc>
        <w:tc>
          <w:tcPr>
            <w:tcW w:w="1160" w:type="dxa"/>
          </w:tcPr>
          <w:p>
            <w:pPr>
              <w:pStyle w:val="TableParagraph"/>
              <w:spacing w:before="113"/>
              <w:ind w:left="309" w:right="294"/>
              <w:rPr>
                <w:sz w:val="24"/>
              </w:rPr>
            </w:pPr>
            <w:r>
              <w:rPr>
                <w:sz w:val="24"/>
              </w:rPr>
              <w:t>102</w:t>
            </w:r>
          </w:p>
        </w:tc>
        <w:tc>
          <w:tcPr>
            <w:tcW w:w="1100" w:type="dxa"/>
          </w:tcPr>
          <w:p>
            <w:pPr>
              <w:pStyle w:val="TableParagraph"/>
              <w:spacing w:before="113"/>
              <w:ind w:left="281" w:right="261"/>
              <w:rPr>
                <w:sz w:val="24"/>
              </w:rPr>
            </w:pPr>
            <w:r>
              <w:rPr>
                <w:sz w:val="24"/>
              </w:rPr>
              <w:t>111</w:t>
            </w:r>
          </w:p>
        </w:tc>
        <w:tc>
          <w:tcPr>
            <w:tcW w:w="1200" w:type="dxa"/>
          </w:tcPr>
          <w:p>
            <w:pPr>
              <w:pStyle w:val="TableParagraph"/>
              <w:spacing w:before="113"/>
              <w:ind w:left="290" w:right="275"/>
              <w:rPr>
                <w:sz w:val="24"/>
              </w:rPr>
            </w:pPr>
            <w:r>
              <w:rPr>
                <w:sz w:val="24"/>
              </w:rPr>
              <w:t>99</w:t>
            </w:r>
          </w:p>
        </w:tc>
      </w:tr>
      <w:tr>
        <w:trPr>
          <w:trHeight w:val="770" w:hRule="atLeast"/>
        </w:trPr>
        <w:tc>
          <w:tcPr>
            <w:tcW w:w="4800" w:type="dxa"/>
          </w:tcPr>
          <w:p>
            <w:pPr>
              <w:pStyle w:val="TableParagraph"/>
              <w:jc w:val="left"/>
              <w:rPr>
                <w:sz w:val="24"/>
              </w:rPr>
            </w:pPr>
            <w:r>
              <w:rPr>
                <w:sz w:val="24"/>
              </w:rPr>
              <w:t>Inquiries/Contacts</w:t>
            </w:r>
          </w:p>
          <w:p>
            <w:pPr>
              <w:pStyle w:val="TableParagraph"/>
              <w:spacing w:before="43"/>
              <w:jc w:val="left"/>
              <w:rPr>
                <w:sz w:val="18"/>
              </w:rPr>
            </w:pPr>
            <w:r>
              <w:rPr>
                <w:sz w:val="18"/>
              </w:rPr>
              <w:t>Via email</w:t>
            </w:r>
          </w:p>
        </w:tc>
        <w:tc>
          <w:tcPr>
            <w:tcW w:w="1100" w:type="dxa"/>
          </w:tcPr>
          <w:p>
            <w:pPr>
              <w:pStyle w:val="TableParagraph"/>
              <w:ind w:left="357"/>
              <w:jc w:val="left"/>
              <w:rPr>
                <w:sz w:val="24"/>
              </w:rPr>
            </w:pPr>
            <w:r>
              <w:rPr>
                <w:sz w:val="24"/>
              </w:rPr>
              <w:t>522</w:t>
            </w:r>
          </w:p>
        </w:tc>
        <w:tc>
          <w:tcPr>
            <w:tcW w:w="1160" w:type="dxa"/>
          </w:tcPr>
          <w:p>
            <w:pPr>
              <w:pStyle w:val="TableParagraph"/>
              <w:ind w:left="309" w:right="294"/>
              <w:rPr>
                <w:sz w:val="24"/>
              </w:rPr>
            </w:pPr>
            <w:r>
              <w:rPr>
                <w:sz w:val="24"/>
              </w:rPr>
              <w:t>700</w:t>
            </w:r>
          </w:p>
        </w:tc>
        <w:tc>
          <w:tcPr>
            <w:tcW w:w="1100" w:type="dxa"/>
          </w:tcPr>
          <w:p>
            <w:pPr>
              <w:pStyle w:val="TableParagraph"/>
              <w:ind w:left="281" w:right="261"/>
              <w:rPr>
                <w:sz w:val="24"/>
              </w:rPr>
            </w:pPr>
            <w:r>
              <w:rPr>
                <w:sz w:val="24"/>
              </w:rPr>
              <w:t>271</w:t>
            </w:r>
          </w:p>
        </w:tc>
        <w:tc>
          <w:tcPr>
            <w:tcW w:w="1200" w:type="dxa"/>
          </w:tcPr>
          <w:p>
            <w:pPr>
              <w:pStyle w:val="TableParagraph"/>
              <w:ind w:left="290" w:right="275"/>
              <w:rPr>
                <w:sz w:val="24"/>
              </w:rPr>
            </w:pPr>
            <w:r>
              <w:rPr>
                <w:sz w:val="24"/>
              </w:rPr>
              <w:t>543</w:t>
            </w:r>
          </w:p>
        </w:tc>
      </w:tr>
    </w:tbl>
    <w:p>
      <w:pPr>
        <w:pStyle w:val="BodyText"/>
        <w:rPr>
          <w:b/>
          <w:sz w:val="24"/>
        </w:rPr>
      </w:pPr>
    </w:p>
    <w:p>
      <w:pPr>
        <w:pStyle w:val="BodyText"/>
        <w:rPr>
          <w:b/>
          <w:sz w:val="32"/>
        </w:rPr>
      </w:pPr>
    </w:p>
    <w:p>
      <w:pPr>
        <w:spacing w:before="1"/>
        <w:ind w:left="100" w:right="0" w:firstLine="0"/>
        <w:jc w:val="left"/>
        <w:rPr>
          <w:b/>
          <w:sz w:val="24"/>
        </w:rPr>
      </w:pPr>
      <w:r>
        <w:rPr>
          <w:rFonts w:ascii="Times New Roman"/>
          <w:spacing w:val="-60"/>
          <w:sz w:val="24"/>
          <w:u w:val="thick"/>
        </w:rPr>
        <w:t> </w:t>
      </w:r>
      <w:r>
        <w:rPr>
          <w:b/>
          <w:sz w:val="24"/>
          <w:u w:val="thick"/>
        </w:rPr>
        <w:t>Data Sources Considered in the Writing of This Report</w:t>
      </w:r>
    </w:p>
    <w:p>
      <w:pPr>
        <w:pStyle w:val="BodyText"/>
        <w:spacing w:before="41"/>
        <w:ind w:left="100"/>
      </w:pPr>
      <w:r>
        <w:rPr/>
        <w:t>Multiple sources of data were incorporated into the writing of this report.</w:t>
      </w:r>
    </w:p>
    <w:p>
      <w:pPr>
        <w:pStyle w:val="ListParagraph"/>
        <w:numPr>
          <w:ilvl w:val="1"/>
          <w:numId w:val="1"/>
        </w:numPr>
        <w:tabs>
          <w:tab w:pos="820" w:val="left" w:leader="none"/>
        </w:tabs>
        <w:spacing w:line="240" w:lineRule="auto" w:before="38" w:after="0"/>
        <w:ind w:left="820" w:right="0" w:hanging="360"/>
        <w:jc w:val="left"/>
        <w:rPr>
          <w:sz w:val="22"/>
        </w:rPr>
      </w:pPr>
      <w:r>
        <w:rPr>
          <w:sz w:val="22"/>
        </w:rPr>
        <w:t>The Annual </w:t>
      </w:r>
      <w:r>
        <w:rPr>
          <w:spacing w:val="-5"/>
          <w:sz w:val="22"/>
        </w:rPr>
        <w:t>Yearly </w:t>
      </w:r>
      <w:r>
        <w:rPr>
          <w:spacing w:val="-4"/>
          <w:sz w:val="22"/>
        </w:rPr>
        <w:t>UCFA </w:t>
      </w:r>
      <w:r>
        <w:rPr>
          <w:sz w:val="22"/>
        </w:rPr>
        <w:t>Reviews of </w:t>
      </w:r>
      <w:r>
        <w:rPr>
          <w:spacing w:val="-5"/>
          <w:sz w:val="22"/>
        </w:rPr>
        <w:t>Dr. </w:t>
      </w:r>
      <w:r>
        <w:rPr>
          <w:sz w:val="22"/>
        </w:rPr>
        <w:t>Villarruel and the FG</w:t>
      </w:r>
      <w:r>
        <w:rPr>
          <w:spacing w:val="-6"/>
          <w:sz w:val="22"/>
        </w:rPr>
        <w:t> </w:t>
      </w:r>
      <w:r>
        <w:rPr>
          <w:sz w:val="22"/>
        </w:rPr>
        <w:t>Office.</w:t>
      </w:r>
    </w:p>
    <w:p>
      <w:pPr>
        <w:pStyle w:val="ListParagraph"/>
        <w:numPr>
          <w:ilvl w:val="1"/>
          <w:numId w:val="1"/>
        </w:numPr>
        <w:tabs>
          <w:tab w:pos="820" w:val="left" w:leader="none"/>
        </w:tabs>
        <w:spacing w:line="240" w:lineRule="auto" w:before="38" w:after="0"/>
        <w:ind w:left="820" w:right="0" w:hanging="360"/>
        <w:jc w:val="left"/>
        <w:rPr>
          <w:sz w:val="22"/>
        </w:rPr>
      </w:pPr>
      <w:r>
        <w:rPr>
          <w:sz w:val="22"/>
        </w:rPr>
        <w:t>Feedback from the Directors of the Faculty and Academic Staff Affairs</w:t>
      </w:r>
      <w:r>
        <w:rPr>
          <w:spacing w:val="-33"/>
          <w:sz w:val="22"/>
        </w:rPr>
        <w:t> </w:t>
      </w:r>
      <w:r>
        <w:rPr>
          <w:sz w:val="22"/>
        </w:rPr>
        <w:t>Office.</w:t>
      </w:r>
    </w:p>
    <w:p>
      <w:pPr>
        <w:pStyle w:val="ListParagraph"/>
        <w:numPr>
          <w:ilvl w:val="1"/>
          <w:numId w:val="1"/>
        </w:numPr>
        <w:tabs>
          <w:tab w:pos="820" w:val="left" w:leader="none"/>
        </w:tabs>
        <w:spacing w:line="240" w:lineRule="auto" w:before="38" w:after="0"/>
        <w:ind w:left="820" w:right="0" w:hanging="360"/>
        <w:jc w:val="left"/>
        <w:rPr>
          <w:sz w:val="22"/>
        </w:rPr>
      </w:pPr>
      <w:r>
        <w:rPr>
          <w:sz w:val="22"/>
        </w:rPr>
        <w:t>A review of </w:t>
      </w:r>
      <w:r>
        <w:rPr>
          <w:spacing w:val="-5"/>
          <w:sz w:val="22"/>
        </w:rPr>
        <w:t>Dr. </w:t>
      </w:r>
      <w:r>
        <w:rPr>
          <w:sz w:val="22"/>
        </w:rPr>
        <w:t>Villarruel’s professional development and outreach</w:t>
      </w:r>
      <w:r>
        <w:rPr>
          <w:spacing w:val="-21"/>
          <w:sz w:val="22"/>
        </w:rPr>
        <w:t> </w:t>
      </w:r>
      <w:r>
        <w:rPr>
          <w:sz w:val="22"/>
        </w:rPr>
        <w:t>activities.</w:t>
      </w:r>
    </w:p>
    <w:p>
      <w:pPr>
        <w:pStyle w:val="ListParagraph"/>
        <w:numPr>
          <w:ilvl w:val="1"/>
          <w:numId w:val="1"/>
        </w:numPr>
        <w:tabs>
          <w:tab w:pos="820" w:val="left" w:leader="none"/>
        </w:tabs>
        <w:spacing w:line="240" w:lineRule="auto" w:before="38" w:after="0"/>
        <w:ind w:left="820" w:right="0" w:hanging="360"/>
        <w:jc w:val="left"/>
        <w:rPr>
          <w:sz w:val="22"/>
        </w:rPr>
      </w:pPr>
      <w:r>
        <w:rPr>
          <w:spacing w:val="-5"/>
          <w:sz w:val="22"/>
        </w:rPr>
        <w:t>Dr. </w:t>
      </w:r>
      <w:r>
        <w:rPr>
          <w:sz w:val="22"/>
        </w:rPr>
        <w:t>Villarruel’s Annual Self</w:t>
      </w:r>
      <w:r>
        <w:rPr>
          <w:spacing w:val="-1"/>
          <w:sz w:val="22"/>
        </w:rPr>
        <w:t> </w:t>
      </w:r>
      <w:r>
        <w:rPr>
          <w:sz w:val="22"/>
        </w:rPr>
        <w:t>Reflections.</w:t>
      </w:r>
    </w:p>
    <w:p>
      <w:pPr>
        <w:pStyle w:val="BodyText"/>
        <w:rPr>
          <w:sz w:val="24"/>
        </w:rPr>
      </w:pPr>
    </w:p>
    <w:p>
      <w:pPr>
        <w:pStyle w:val="BodyText"/>
        <w:spacing w:before="2"/>
        <w:rPr>
          <w:sz w:val="32"/>
        </w:rPr>
      </w:pPr>
    </w:p>
    <w:p>
      <w:pPr>
        <w:pStyle w:val="Heading1"/>
        <w:spacing w:before="0"/>
        <w:rPr>
          <w:u w:val="none"/>
        </w:rPr>
      </w:pPr>
      <w:bookmarkStart w:name="_TOC_250002" w:id="3"/>
      <w:r>
        <w:rPr>
          <w:rFonts w:ascii="Times New Roman"/>
          <w:b w:val="0"/>
          <w:spacing w:val="-60"/>
          <w:u w:val="thick"/>
        </w:rPr>
        <w:t> </w:t>
      </w:r>
      <w:r>
        <w:rPr>
          <w:u w:val="thick"/>
        </w:rPr>
        <w:t>General Structure of Annual Reviews of </w:t>
      </w:r>
      <w:r>
        <w:rPr>
          <w:spacing w:val="-5"/>
          <w:u w:val="thick"/>
        </w:rPr>
        <w:t>Dr. </w:t>
      </w:r>
      <w:r>
        <w:rPr>
          <w:u w:val="thick"/>
        </w:rPr>
        <w:t>Villarruel, as Conducted by </w:t>
      </w:r>
      <w:bookmarkEnd w:id="3"/>
      <w:r>
        <w:rPr>
          <w:spacing w:val="-4"/>
          <w:u w:val="thick"/>
        </w:rPr>
        <w:t>UCFA</w:t>
      </w:r>
    </w:p>
    <w:p>
      <w:pPr>
        <w:pStyle w:val="BodyText"/>
        <w:spacing w:line="276" w:lineRule="auto" w:before="42"/>
        <w:ind w:left="100" w:right="117"/>
      </w:pPr>
      <w:r>
        <w:rPr/>
        <w:t>Dr. Villarruel was evaluated each year from 2019-2022 (inclusive) by the University Committee on Faculty Affairs. The evaluations relied heavily on a survey that was sent out to faculty and administrators who engaged with the FG Office for the respective year under review. The survey instrument was largely the same each year, and was co-designed by the UCFA Personnel Subcommittee and Dr. Villarruel. The survey was administered and analyzed by a third party - the MSU Institute for Public Policy and Social Research - who provided aggregate and anonymized results back to the UCFA Personnel Subcommittee for their review.</w:t>
      </w:r>
    </w:p>
    <w:p>
      <w:pPr>
        <w:spacing w:after="0" w:line="276" w:lineRule="auto"/>
        <w:sectPr>
          <w:pgSz w:w="12240" w:h="15840"/>
          <w:pgMar w:header="0" w:footer="724" w:top="1360" w:bottom="1000" w:left="1340" w:right="1300"/>
        </w:sectPr>
      </w:pPr>
    </w:p>
    <w:p>
      <w:pPr>
        <w:spacing w:line="276" w:lineRule="auto" w:before="80"/>
        <w:ind w:left="100" w:right="1209" w:firstLine="0"/>
        <w:jc w:val="left"/>
        <w:rPr>
          <w:i/>
          <w:sz w:val="22"/>
        </w:rPr>
      </w:pPr>
      <w:r>
        <w:rPr>
          <w:rFonts w:ascii="Times New Roman" w:hAnsi="Times New Roman"/>
          <w:spacing w:val="-60"/>
          <w:sz w:val="24"/>
          <w:u w:val="thick"/>
        </w:rPr>
        <w:t> </w:t>
      </w:r>
      <w:r>
        <w:rPr>
          <w:b/>
          <w:sz w:val="24"/>
          <w:u w:val="thick"/>
        </w:rPr>
        <w:t>Synopsis of </w:t>
      </w:r>
      <w:r>
        <w:rPr>
          <w:b/>
          <w:spacing w:val="-5"/>
          <w:sz w:val="24"/>
          <w:u w:val="thick"/>
        </w:rPr>
        <w:t>Dr. </w:t>
      </w:r>
      <w:r>
        <w:rPr>
          <w:b/>
          <w:sz w:val="24"/>
          <w:u w:val="thick"/>
        </w:rPr>
        <w:t>Villarruel’s Annual Review from the 2019 Calendar </w:t>
      </w:r>
      <w:r>
        <w:rPr>
          <w:b/>
          <w:spacing w:val="-3"/>
          <w:sz w:val="24"/>
          <w:u w:val="thick"/>
        </w:rPr>
        <w:t>Year</w:t>
      </w:r>
      <w:r>
        <w:rPr>
          <w:b/>
          <w:spacing w:val="-3"/>
          <w:sz w:val="24"/>
        </w:rPr>
        <w:t> </w:t>
      </w:r>
      <w:r>
        <w:rPr>
          <w:sz w:val="22"/>
        </w:rPr>
        <w:t>In the 2019 calendar </w:t>
      </w:r>
      <w:r>
        <w:rPr>
          <w:spacing w:val="-4"/>
          <w:sz w:val="22"/>
        </w:rPr>
        <w:t>year, </w:t>
      </w:r>
      <w:r>
        <w:rPr>
          <w:sz w:val="22"/>
        </w:rPr>
        <w:t>125 individuals were solicited for feedback regarding their interactions</w:t>
      </w:r>
      <w:r>
        <w:rPr>
          <w:spacing w:val="-6"/>
          <w:sz w:val="22"/>
        </w:rPr>
        <w:t> </w:t>
      </w:r>
      <w:r>
        <w:rPr>
          <w:sz w:val="22"/>
        </w:rPr>
        <w:t>with</w:t>
      </w:r>
      <w:r>
        <w:rPr>
          <w:spacing w:val="-6"/>
          <w:sz w:val="22"/>
        </w:rPr>
        <w:t> </w:t>
      </w:r>
      <w:r>
        <w:rPr>
          <w:sz w:val="22"/>
        </w:rPr>
        <w:t>the</w:t>
      </w:r>
      <w:r>
        <w:rPr>
          <w:spacing w:val="-5"/>
          <w:sz w:val="22"/>
        </w:rPr>
        <w:t> </w:t>
      </w:r>
      <w:r>
        <w:rPr>
          <w:sz w:val="22"/>
        </w:rPr>
        <w:t>FG</w:t>
      </w:r>
      <w:r>
        <w:rPr>
          <w:spacing w:val="-6"/>
          <w:sz w:val="22"/>
        </w:rPr>
        <w:t> </w:t>
      </w:r>
      <w:r>
        <w:rPr>
          <w:sz w:val="22"/>
        </w:rPr>
        <w:t>Office</w:t>
      </w:r>
      <w:r>
        <w:rPr>
          <w:spacing w:val="-6"/>
          <w:sz w:val="22"/>
        </w:rPr>
        <w:t> </w:t>
      </w:r>
      <w:r>
        <w:rPr>
          <w:sz w:val="22"/>
        </w:rPr>
        <w:t>and</w:t>
      </w:r>
      <w:r>
        <w:rPr>
          <w:spacing w:val="-5"/>
          <w:sz w:val="22"/>
        </w:rPr>
        <w:t> </w:t>
      </w:r>
      <w:r>
        <w:rPr>
          <w:sz w:val="22"/>
        </w:rPr>
        <w:t>with</w:t>
      </w:r>
      <w:r>
        <w:rPr>
          <w:spacing w:val="-6"/>
          <w:sz w:val="22"/>
        </w:rPr>
        <w:t> </w:t>
      </w:r>
      <w:r>
        <w:rPr>
          <w:spacing w:val="-5"/>
          <w:sz w:val="22"/>
        </w:rPr>
        <w:t>Dr.</w:t>
      </w:r>
      <w:r>
        <w:rPr>
          <w:spacing w:val="-6"/>
          <w:sz w:val="22"/>
        </w:rPr>
        <w:t> </w:t>
      </w:r>
      <w:r>
        <w:rPr>
          <w:sz w:val="22"/>
        </w:rPr>
        <w:t>Villarruel.</w:t>
      </w:r>
      <w:r>
        <w:rPr>
          <w:spacing w:val="-5"/>
          <w:sz w:val="22"/>
        </w:rPr>
        <w:t> </w:t>
      </w:r>
      <w:r>
        <w:rPr>
          <w:sz w:val="22"/>
        </w:rPr>
        <w:t>Of</w:t>
      </w:r>
      <w:r>
        <w:rPr>
          <w:spacing w:val="-6"/>
          <w:sz w:val="22"/>
        </w:rPr>
        <w:t> </w:t>
      </w:r>
      <w:r>
        <w:rPr>
          <w:sz w:val="22"/>
        </w:rPr>
        <w:t>those,</w:t>
      </w:r>
      <w:r>
        <w:rPr>
          <w:spacing w:val="-6"/>
          <w:sz w:val="22"/>
        </w:rPr>
        <w:t> </w:t>
      </w:r>
      <w:r>
        <w:rPr>
          <w:sz w:val="22"/>
        </w:rPr>
        <w:t>39</w:t>
      </w:r>
      <w:r>
        <w:rPr>
          <w:spacing w:val="-5"/>
          <w:sz w:val="22"/>
        </w:rPr>
        <w:t> </w:t>
      </w:r>
      <w:r>
        <w:rPr>
          <w:sz w:val="22"/>
        </w:rPr>
        <w:t>provided</w:t>
      </w:r>
      <w:r>
        <w:rPr>
          <w:spacing w:val="-6"/>
          <w:sz w:val="22"/>
        </w:rPr>
        <w:t> </w:t>
      </w:r>
      <w:r>
        <w:rPr>
          <w:sz w:val="22"/>
        </w:rPr>
        <w:t>feedback. </w:t>
      </w:r>
      <w:r>
        <w:rPr>
          <w:i/>
          <w:sz w:val="22"/>
        </w:rPr>
        <w:t>Report</w:t>
      </w:r>
      <w:r>
        <w:rPr>
          <w:i/>
          <w:spacing w:val="-2"/>
          <w:sz w:val="22"/>
        </w:rPr>
        <w:t> </w:t>
      </w:r>
      <w:r>
        <w:rPr>
          <w:i/>
          <w:sz w:val="22"/>
        </w:rPr>
        <w:t>Highlights:</w:t>
      </w:r>
    </w:p>
    <w:p>
      <w:pPr>
        <w:pStyle w:val="ListParagraph"/>
        <w:numPr>
          <w:ilvl w:val="0"/>
          <w:numId w:val="2"/>
        </w:numPr>
        <w:tabs>
          <w:tab w:pos="819" w:val="left" w:leader="none"/>
          <w:tab w:pos="820" w:val="left" w:leader="none"/>
        </w:tabs>
        <w:spacing w:line="254" w:lineRule="auto" w:before="0" w:after="0"/>
        <w:ind w:left="820" w:right="240" w:hanging="360"/>
        <w:jc w:val="left"/>
        <w:rPr>
          <w:sz w:val="22"/>
        </w:rPr>
      </w:pPr>
      <w:r>
        <w:rPr>
          <w:sz w:val="22"/>
        </w:rPr>
        <w:t>The</w:t>
      </w:r>
      <w:r>
        <w:rPr>
          <w:spacing w:val="-6"/>
          <w:sz w:val="22"/>
        </w:rPr>
        <w:t> </w:t>
      </w:r>
      <w:r>
        <w:rPr>
          <w:sz w:val="22"/>
        </w:rPr>
        <w:t>FG</w:t>
      </w:r>
      <w:r>
        <w:rPr>
          <w:spacing w:val="-6"/>
          <w:sz w:val="22"/>
        </w:rPr>
        <w:t> </w:t>
      </w:r>
      <w:r>
        <w:rPr>
          <w:sz w:val="22"/>
        </w:rPr>
        <w:t>Office</w:t>
      </w:r>
      <w:r>
        <w:rPr>
          <w:spacing w:val="-5"/>
          <w:sz w:val="22"/>
        </w:rPr>
        <w:t> </w:t>
      </w:r>
      <w:r>
        <w:rPr>
          <w:sz w:val="22"/>
        </w:rPr>
        <w:t>received</w:t>
      </w:r>
      <w:r>
        <w:rPr>
          <w:spacing w:val="-6"/>
          <w:sz w:val="22"/>
        </w:rPr>
        <w:t> </w:t>
      </w:r>
      <w:r>
        <w:rPr>
          <w:sz w:val="22"/>
        </w:rPr>
        <w:t>high</w:t>
      </w:r>
      <w:r>
        <w:rPr>
          <w:spacing w:val="-5"/>
          <w:sz w:val="22"/>
        </w:rPr>
        <w:t> </w:t>
      </w:r>
      <w:r>
        <w:rPr>
          <w:sz w:val="22"/>
        </w:rPr>
        <w:t>ratings</w:t>
      </w:r>
      <w:r>
        <w:rPr>
          <w:spacing w:val="-6"/>
          <w:sz w:val="22"/>
        </w:rPr>
        <w:t> </w:t>
      </w:r>
      <w:r>
        <w:rPr>
          <w:sz w:val="22"/>
        </w:rPr>
        <w:t>for</w:t>
      </w:r>
      <w:r>
        <w:rPr>
          <w:spacing w:val="-5"/>
          <w:sz w:val="22"/>
        </w:rPr>
        <w:t> </w:t>
      </w:r>
      <w:r>
        <w:rPr>
          <w:sz w:val="22"/>
        </w:rPr>
        <w:t>being</w:t>
      </w:r>
      <w:r>
        <w:rPr>
          <w:spacing w:val="-6"/>
          <w:sz w:val="22"/>
        </w:rPr>
        <w:t> </w:t>
      </w:r>
      <w:r>
        <w:rPr>
          <w:sz w:val="22"/>
        </w:rPr>
        <w:t>approachable,</w:t>
      </w:r>
      <w:r>
        <w:rPr>
          <w:spacing w:val="-5"/>
          <w:sz w:val="22"/>
        </w:rPr>
        <w:t> </w:t>
      </w:r>
      <w:r>
        <w:rPr>
          <w:sz w:val="22"/>
        </w:rPr>
        <w:t>conducting</w:t>
      </w:r>
      <w:r>
        <w:rPr>
          <w:spacing w:val="-6"/>
          <w:sz w:val="22"/>
        </w:rPr>
        <w:t> </w:t>
      </w:r>
      <w:r>
        <w:rPr>
          <w:sz w:val="22"/>
        </w:rPr>
        <w:t>work</w:t>
      </w:r>
      <w:r>
        <w:rPr>
          <w:spacing w:val="-5"/>
          <w:sz w:val="22"/>
        </w:rPr>
        <w:t> </w:t>
      </w:r>
      <w:r>
        <w:rPr>
          <w:sz w:val="22"/>
        </w:rPr>
        <w:t>in</w:t>
      </w:r>
      <w:r>
        <w:rPr>
          <w:spacing w:val="-6"/>
          <w:sz w:val="22"/>
        </w:rPr>
        <w:t> </w:t>
      </w:r>
      <w:r>
        <w:rPr>
          <w:sz w:val="22"/>
        </w:rPr>
        <w:t>a</w:t>
      </w:r>
      <w:r>
        <w:rPr>
          <w:spacing w:val="-5"/>
          <w:sz w:val="22"/>
        </w:rPr>
        <w:t> </w:t>
      </w:r>
      <w:r>
        <w:rPr>
          <w:sz w:val="22"/>
        </w:rPr>
        <w:t>timely </w:t>
      </w:r>
      <w:r>
        <w:rPr>
          <w:spacing w:val="-3"/>
          <w:sz w:val="22"/>
        </w:rPr>
        <w:t>manner, </w:t>
      </w:r>
      <w:r>
        <w:rPr>
          <w:sz w:val="22"/>
        </w:rPr>
        <w:t>their knowledge of university policies and regulations, their clear communication, and for their penchant for attempting to resolve conflicts</w:t>
      </w:r>
      <w:r>
        <w:rPr>
          <w:spacing w:val="-35"/>
          <w:sz w:val="22"/>
        </w:rPr>
        <w:t> </w:t>
      </w:r>
      <w:r>
        <w:rPr>
          <w:spacing w:val="-3"/>
          <w:sz w:val="22"/>
        </w:rPr>
        <w:t>informally.</w:t>
      </w:r>
    </w:p>
    <w:p>
      <w:pPr>
        <w:pStyle w:val="ListParagraph"/>
        <w:numPr>
          <w:ilvl w:val="0"/>
          <w:numId w:val="2"/>
        </w:numPr>
        <w:tabs>
          <w:tab w:pos="819" w:val="left" w:leader="none"/>
          <w:tab w:pos="820" w:val="left" w:leader="none"/>
        </w:tabs>
        <w:spacing w:line="254" w:lineRule="auto" w:before="0" w:after="0"/>
        <w:ind w:left="820" w:right="729" w:hanging="360"/>
        <w:jc w:val="left"/>
        <w:rPr>
          <w:sz w:val="22"/>
        </w:rPr>
      </w:pPr>
      <w:r>
        <w:rPr>
          <w:spacing w:val="-5"/>
          <w:sz w:val="22"/>
        </w:rPr>
        <w:t>Dr.</w:t>
      </w:r>
      <w:r>
        <w:rPr>
          <w:spacing w:val="-6"/>
          <w:sz w:val="22"/>
        </w:rPr>
        <w:t> </w:t>
      </w:r>
      <w:r>
        <w:rPr>
          <w:sz w:val="22"/>
        </w:rPr>
        <w:t>Villarruel</w:t>
      </w:r>
      <w:r>
        <w:rPr>
          <w:spacing w:val="-5"/>
          <w:sz w:val="22"/>
        </w:rPr>
        <w:t> </w:t>
      </w:r>
      <w:r>
        <w:rPr>
          <w:sz w:val="22"/>
        </w:rPr>
        <w:t>consistently</w:t>
      </w:r>
      <w:r>
        <w:rPr>
          <w:spacing w:val="-5"/>
          <w:sz w:val="22"/>
        </w:rPr>
        <w:t> </w:t>
      </w:r>
      <w:r>
        <w:rPr>
          <w:sz w:val="22"/>
        </w:rPr>
        <w:t>rated</w:t>
      </w:r>
      <w:r>
        <w:rPr>
          <w:spacing w:val="-6"/>
          <w:sz w:val="22"/>
        </w:rPr>
        <w:t> </w:t>
      </w:r>
      <w:r>
        <w:rPr>
          <w:sz w:val="22"/>
        </w:rPr>
        <w:t>very</w:t>
      </w:r>
      <w:r>
        <w:rPr>
          <w:spacing w:val="-5"/>
          <w:sz w:val="22"/>
        </w:rPr>
        <w:t> </w:t>
      </w:r>
      <w:r>
        <w:rPr>
          <w:sz w:val="22"/>
        </w:rPr>
        <w:t>highly</w:t>
      </w:r>
      <w:r>
        <w:rPr>
          <w:spacing w:val="-5"/>
          <w:sz w:val="22"/>
        </w:rPr>
        <w:t> </w:t>
      </w:r>
      <w:r>
        <w:rPr>
          <w:sz w:val="22"/>
        </w:rPr>
        <w:t>across</w:t>
      </w:r>
      <w:r>
        <w:rPr>
          <w:spacing w:val="-6"/>
          <w:sz w:val="22"/>
        </w:rPr>
        <w:t> </w:t>
      </w:r>
      <w:r>
        <w:rPr>
          <w:sz w:val="22"/>
        </w:rPr>
        <w:t>almost</w:t>
      </w:r>
      <w:r>
        <w:rPr>
          <w:spacing w:val="-5"/>
          <w:sz w:val="22"/>
        </w:rPr>
        <w:t> </w:t>
      </w:r>
      <w:r>
        <w:rPr>
          <w:sz w:val="22"/>
        </w:rPr>
        <w:t>all</w:t>
      </w:r>
      <w:r>
        <w:rPr>
          <w:spacing w:val="-5"/>
          <w:sz w:val="22"/>
        </w:rPr>
        <w:t> </w:t>
      </w:r>
      <w:r>
        <w:rPr>
          <w:sz w:val="22"/>
        </w:rPr>
        <w:t>axes</w:t>
      </w:r>
      <w:r>
        <w:rPr>
          <w:spacing w:val="-6"/>
          <w:sz w:val="22"/>
        </w:rPr>
        <w:t> </w:t>
      </w:r>
      <w:r>
        <w:rPr>
          <w:sz w:val="22"/>
        </w:rPr>
        <w:t>of</w:t>
      </w:r>
      <w:r>
        <w:rPr>
          <w:spacing w:val="-5"/>
          <w:sz w:val="22"/>
        </w:rPr>
        <w:t> </w:t>
      </w:r>
      <w:r>
        <w:rPr>
          <w:sz w:val="22"/>
        </w:rPr>
        <w:t>the</w:t>
      </w:r>
      <w:r>
        <w:rPr>
          <w:spacing w:val="-5"/>
          <w:sz w:val="22"/>
        </w:rPr>
        <w:t> </w:t>
      </w:r>
      <w:r>
        <w:rPr>
          <w:sz w:val="22"/>
        </w:rPr>
        <w:t>survey</w:t>
      </w:r>
      <w:r>
        <w:rPr>
          <w:spacing w:val="-5"/>
          <w:sz w:val="22"/>
        </w:rPr>
        <w:t> </w:t>
      </w:r>
      <w:r>
        <w:rPr>
          <w:sz w:val="22"/>
        </w:rPr>
        <w:t>that pertained to respondent perception of his job performance. For</w:t>
      </w:r>
      <w:r>
        <w:rPr>
          <w:spacing w:val="-27"/>
          <w:sz w:val="22"/>
        </w:rPr>
        <w:t> </w:t>
      </w:r>
      <w:r>
        <w:rPr>
          <w:sz w:val="22"/>
        </w:rPr>
        <w:t>example:</w:t>
      </w:r>
    </w:p>
    <w:p>
      <w:pPr>
        <w:pStyle w:val="ListParagraph"/>
        <w:numPr>
          <w:ilvl w:val="1"/>
          <w:numId w:val="2"/>
        </w:numPr>
        <w:tabs>
          <w:tab w:pos="1539" w:val="left" w:leader="none"/>
          <w:tab w:pos="1540" w:val="left" w:leader="none"/>
        </w:tabs>
        <w:spacing w:line="254" w:lineRule="auto" w:before="0" w:after="0"/>
        <w:ind w:left="1540" w:right="228" w:hanging="360"/>
        <w:jc w:val="left"/>
        <w:rPr>
          <w:sz w:val="22"/>
        </w:rPr>
      </w:pPr>
      <w:r>
        <w:rPr>
          <w:sz w:val="22"/>
        </w:rPr>
        <w:t>78.2%</w:t>
      </w:r>
      <w:r>
        <w:rPr>
          <w:spacing w:val="-6"/>
          <w:sz w:val="22"/>
        </w:rPr>
        <w:t> </w:t>
      </w:r>
      <w:r>
        <w:rPr>
          <w:sz w:val="22"/>
        </w:rPr>
        <w:t>of</w:t>
      </w:r>
      <w:r>
        <w:rPr>
          <w:spacing w:val="-5"/>
          <w:sz w:val="22"/>
        </w:rPr>
        <w:t> </w:t>
      </w:r>
      <w:r>
        <w:rPr>
          <w:sz w:val="22"/>
        </w:rPr>
        <w:t>respondents</w:t>
      </w:r>
      <w:r>
        <w:rPr>
          <w:spacing w:val="-5"/>
          <w:sz w:val="22"/>
        </w:rPr>
        <w:t> </w:t>
      </w:r>
      <w:r>
        <w:rPr>
          <w:i/>
          <w:sz w:val="22"/>
        </w:rPr>
        <w:t>Somewhat</w:t>
      </w:r>
      <w:r>
        <w:rPr>
          <w:i/>
          <w:spacing w:val="-5"/>
          <w:sz w:val="22"/>
        </w:rPr>
        <w:t> </w:t>
      </w:r>
      <w:r>
        <w:rPr>
          <w:sz w:val="22"/>
        </w:rPr>
        <w:t>or</w:t>
      </w:r>
      <w:r>
        <w:rPr>
          <w:spacing w:val="-6"/>
          <w:sz w:val="22"/>
        </w:rPr>
        <w:t> </w:t>
      </w:r>
      <w:r>
        <w:rPr>
          <w:i/>
          <w:sz w:val="22"/>
        </w:rPr>
        <w:t>strongly</w:t>
      </w:r>
      <w:r>
        <w:rPr>
          <w:i/>
          <w:spacing w:val="-5"/>
          <w:sz w:val="22"/>
        </w:rPr>
        <w:t> </w:t>
      </w:r>
      <w:r>
        <w:rPr>
          <w:i/>
          <w:sz w:val="22"/>
        </w:rPr>
        <w:t>agreed</w:t>
      </w:r>
      <w:r>
        <w:rPr>
          <w:i/>
          <w:spacing w:val="-5"/>
          <w:sz w:val="22"/>
        </w:rPr>
        <w:t> </w:t>
      </w:r>
      <w:r>
        <w:rPr>
          <w:sz w:val="22"/>
        </w:rPr>
        <w:t>that</w:t>
      </w:r>
      <w:r>
        <w:rPr>
          <w:spacing w:val="-5"/>
          <w:sz w:val="22"/>
        </w:rPr>
        <w:t> Dr. </w:t>
      </w:r>
      <w:r>
        <w:rPr>
          <w:sz w:val="22"/>
        </w:rPr>
        <w:t>Villarruel</w:t>
      </w:r>
      <w:r>
        <w:rPr>
          <w:spacing w:val="-6"/>
          <w:sz w:val="22"/>
        </w:rPr>
        <w:t> </w:t>
      </w:r>
      <w:r>
        <w:rPr>
          <w:sz w:val="22"/>
        </w:rPr>
        <w:t>acted</w:t>
      </w:r>
      <w:r>
        <w:rPr>
          <w:spacing w:val="-5"/>
          <w:sz w:val="22"/>
        </w:rPr>
        <w:t> </w:t>
      </w:r>
      <w:r>
        <w:rPr>
          <w:sz w:val="22"/>
        </w:rPr>
        <w:t>as</w:t>
      </w:r>
      <w:r>
        <w:rPr>
          <w:spacing w:val="-5"/>
          <w:sz w:val="22"/>
        </w:rPr>
        <w:t> </w:t>
      </w:r>
      <w:r>
        <w:rPr>
          <w:sz w:val="22"/>
        </w:rPr>
        <w:t>a fair and impartial</w:t>
      </w:r>
      <w:r>
        <w:rPr>
          <w:spacing w:val="-4"/>
          <w:sz w:val="22"/>
        </w:rPr>
        <w:t> </w:t>
      </w:r>
      <w:r>
        <w:rPr>
          <w:spacing w:val="-3"/>
          <w:sz w:val="22"/>
        </w:rPr>
        <w:t>advisor.</w:t>
      </w:r>
    </w:p>
    <w:p>
      <w:pPr>
        <w:pStyle w:val="ListParagraph"/>
        <w:numPr>
          <w:ilvl w:val="1"/>
          <w:numId w:val="2"/>
        </w:numPr>
        <w:tabs>
          <w:tab w:pos="1539" w:val="left" w:leader="none"/>
          <w:tab w:pos="1540" w:val="left" w:leader="none"/>
        </w:tabs>
        <w:spacing w:line="254" w:lineRule="auto" w:before="0" w:after="0"/>
        <w:ind w:left="1540" w:right="1426" w:hanging="360"/>
        <w:jc w:val="left"/>
        <w:rPr>
          <w:sz w:val="22"/>
        </w:rPr>
      </w:pPr>
      <w:r>
        <w:rPr>
          <w:sz w:val="22"/>
        </w:rPr>
        <w:t>80%</w:t>
      </w:r>
      <w:r>
        <w:rPr>
          <w:spacing w:val="-6"/>
          <w:sz w:val="22"/>
        </w:rPr>
        <w:t> </w:t>
      </w:r>
      <w:r>
        <w:rPr>
          <w:sz w:val="22"/>
        </w:rPr>
        <w:t>of</w:t>
      </w:r>
      <w:r>
        <w:rPr>
          <w:spacing w:val="-6"/>
          <w:sz w:val="22"/>
        </w:rPr>
        <w:t> </w:t>
      </w:r>
      <w:r>
        <w:rPr>
          <w:sz w:val="22"/>
        </w:rPr>
        <w:t>respondents</w:t>
      </w:r>
      <w:r>
        <w:rPr>
          <w:spacing w:val="-6"/>
          <w:sz w:val="22"/>
        </w:rPr>
        <w:t> </w:t>
      </w:r>
      <w:r>
        <w:rPr>
          <w:i/>
          <w:sz w:val="22"/>
        </w:rPr>
        <w:t>Somewhat</w:t>
      </w:r>
      <w:r>
        <w:rPr>
          <w:i/>
          <w:spacing w:val="-6"/>
          <w:sz w:val="22"/>
        </w:rPr>
        <w:t> </w:t>
      </w:r>
      <w:r>
        <w:rPr>
          <w:sz w:val="22"/>
        </w:rPr>
        <w:t>or</w:t>
      </w:r>
      <w:r>
        <w:rPr>
          <w:spacing w:val="-6"/>
          <w:sz w:val="22"/>
        </w:rPr>
        <w:t> </w:t>
      </w:r>
      <w:r>
        <w:rPr>
          <w:i/>
          <w:sz w:val="22"/>
        </w:rPr>
        <w:t>Strongly</w:t>
      </w:r>
      <w:r>
        <w:rPr>
          <w:i/>
          <w:spacing w:val="-6"/>
          <w:sz w:val="22"/>
        </w:rPr>
        <w:t> </w:t>
      </w:r>
      <w:r>
        <w:rPr>
          <w:i/>
          <w:sz w:val="22"/>
        </w:rPr>
        <w:t>Agreed</w:t>
      </w:r>
      <w:r>
        <w:rPr>
          <w:i/>
          <w:spacing w:val="-5"/>
          <w:sz w:val="22"/>
        </w:rPr>
        <w:t> </w:t>
      </w:r>
      <w:r>
        <w:rPr>
          <w:sz w:val="22"/>
        </w:rPr>
        <w:t>that</w:t>
      </w:r>
      <w:r>
        <w:rPr>
          <w:spacing w:val="-6"/>
          <w:sz w:val="22"/>
        </w:rPr>
        <w:t> </w:t>
      </w:r>
      <w:r>
        <w:rPr>
          <w:spacing w:val="-5"/>
          <w:sz w:val="22"/>
        </w:rPr>
        <w:t>Dr.</w:t>
      </w:r>
      <w:r>
        <w:rPr>
          <w:spacing w:val="-6"/>
          <w:sz w:val="22"/>
        </w:rPr>
        <w:t> </w:t>
      </w:r>
      <w:r>
        <w:rPr>
          <w:sz w:val="22"/>
        </w:rPr>
        <w:t>Villarruel demonstrated concern for and awareness of issues of</w:t>
      </w:r>
      <w:r>
        <w:rPr>
          <w:spacing w:val="-23"/>
          <w:sz w:val="22"/>
        </w:rPr>
        <w:t> </w:t>
      </w:r>
      <w:r>
        <w:rPr>
          <w:spacing w:val="-3"/>
          <w:sz w:val="22"/>
        </w:rPr>
        <w:t>diversity.</w:t>
      </w:r>
    </w:p>
    <w:p>
      <w:pPr>
        <w:pStyle w:val="ListParagraph"/>
        <w:numPr>
          <w:ilvl w:val="1"/>
          <w:numId w:val="2"/>
        </w:numPr>
        <w:tabs>
          <w:tab w:pos="1539" w:val="left" w:leader="none"/>
          <w:tab w:pos="1540" w:val="left" w:leader="none"/>
        </w:tabs>
        <w:spacing w:line="254" w:lineRule="auto" w:before="0" w:after="0"/>
        <w:ind w:left="1540" w:right="1243" w:hanging="360"/>
        <w:jc w:val="left"/>
        <w:rPr>
          <w:sz w:val="22"/>
        </w:rPr>
      </w:pPr>
      <w:r>
        <w:rPr>
          <w:sz w:val="22"/>
        </w:rPr>
        <w:t>78.2%</w:t>
      </w:r>
      <w:r>
        <w:rPr>
          <w:spacing w:val="-7"/>
          <w:sz w:val="22"/>
        </w:rPr>
        <w:t> </w:t>
      </w:r>
      <w:r>
        <w:rPr>
          <w:sz w:val="22"/>
        </w:rPr>
        <w:t>of</w:t>
      </w:r>
      <w:r>
        <w:rPr>
          <w:spacing w:val="-6"/>
          <w:sz w:val="22"/>
        </w:rPr>
        <w:t> </w:t>
      </w:r>
      <w:r>
        <w:rPr>
          <w:sz w:val="22"/>
        </w:rPr>
        <w:t>respondents</w:t>
      </w:r>
      <w:r>
        <w:rPr>
          <w:spacing w:val="-6"/>
          <w:sz w:val="22"/>
        </w:rPr>
        <w:t> </w:t>
      </w:r>
      <w:r>
        <w:rPr>
          <w:i/>
          <w:sz w:val="22"/>
        </w:rPr>
        <w:t>Somewhat</w:t>
      </w:r>
      <w:r>
        <w:rPr>
          <w:i/>
          <w:spacing w:val="-6"/>
          <w:sz w:val="22"/>
        </w:rPr>
        <w:t> </w:t>
      </w:r>
      <w:r>
        <w:rPr>
          <w:sz w:val="22"/>
        </w:rPr>
        <w:t>or</w:t>
      </w:r>
      <w:r>
        <w:rPr>
          <w:spacing w:val="-6"/>
          <w:sz w:val="22"/>
        </w:rPr>
        <w:t> </w:t>
      </w:r>
      <w:r>
        <w:rPr>
          <w:i/>
          <w:sz w:val="22"/>
        </w:rPr>
        <w:t>Strongly</w:t>
      </w:r>
      <w:r>
        <w:rPr>
          <w:i/>
          <w:spacing w:val="-6"/>
          <w:sz w:val="22"/>
        </w:rPr>
        <w:t> </w:t>
      </w:r>
      <w:r>
        <w:rPr>
          <w:i/>
          <w:sz w:val="22"/>
        </w:rPr>
        <w:t>Agreed</w:t>
      </w:r>
      <w:r>
        <w:rPr>
          <w:i/>
          <w:spacing w:val="-6"/>
          <w:sz w:val="22"/>
        </w:rPr>
        <w:t> </w:t>
      </w:r>
      <w:r>
        <w:rPr>
          <w:sz w:val="22"/>
        </w:rPr>
        <w:t>that</w:t>
      </w:r>
      <w:r>
        <w:rPr>
          <w:spacing w:val="-6"/>
          <w:sz w:val="22"/>
        </w:rPr>
        <w:t> </w:t>
      </w:r>
      <w:r>
        <w:rPr>
          <w:spacing w:val="-5"/>
          <w:sz w:val="22"/>
        </w:rPr>
        <w:t>Dr.</w:t>
      </w:r>
      <w:r>
        <w:rPr>
          <w:spacing w:val="-6"/>
          <w:sz w:val="22"/>
        </w:rPr>
        <w:t> </w:t>
      </w:r>
      <w:r>
        <w:rPr>
          <w:sz w:val="22"/>
        </w:rPr>
        <w:t>Villarruel administered grievances in a fair</w:t>
      </w:r>
      <w:r>
        <w:rPr>
          <w:spacing w:val="-8"/>
          <w:sz w:val="22"/>
        </w:rPr>
        <w:t> </w:t>
      </w:r>
      <w:r>
        <w:rPr>
          <w:spacing w:val="-3"/>
          <w:sz w:val="22"/>
        </w:rPr>
        <w:t>manner.</w:t>
      </w:r>
    </w:p>
    <w:p>
      <w:pPr>
        <w:pStyle w:val="ListParagraph"/>
        <w:numPr>
          <w:ilvl w:val="1"/>
          <w:numId w:val="2"/>
        </w:numPr>
        <w:tabs>
          <w:tab w:pos="1539" w:val="left" w:leader="none"/>
          <w:tab w:pos="1540" w:val="left" w:leader="none"/>
        </w:tabs>
        <w:spacing w:line="254" w:lineRule="auto" w:before="0" w:after="0"/>
        <w:ind w:left="1540" w:right="1243" w:hanging="360"/>
        <w:jc w:val="left"/>
        <w:rPr>
          <w:sz w:val="22"/>
        </w:rPr>
      </w:pPr>
      <w:r>
        <w:rPr>
          <w:sz w:val="22"/>
        </w:rPr>
        <w:t>83.3%</w:t>
      </w:r>
      <w:r>
        <w:rPr>
          <w:spacing w:val="-7"/>
          <w:sz w:val="22"/>
        </w:rPr>
        <w:t> </w:t>
      </w:r>
      <w:r>
        <w:rPr>
          <w:sz w:val="22"/>
        </w:rPr>
        <w:t>of</w:t>
      </w:r>
      <w:r>
        <w:rPr>
          <w:spacing w:val="-6"/>
          <w:sz w:val="22"/>
        </w:rPr>
        <w:t> </w:t>
      </w:r>
      <w:r>
        <w:rPr>
          <w:sz w:val="22"/>
        </w:rPr>
        <w:t>respondents</w:t>
      </w:r>
      <w:r>
        <w:rPr>
          <w:spacing w:val="-6"/>
          <w:sz w:val="22"/>
        </w:rPr>
        <w:t> </w:t>
      </w:r>
      <w:r>
        <w:rPr>
          <w:i/>
          <w:sz w:val="22"/>
        </w:rPr>
        <w:t>Somewhat</w:t>
      </w:r>
      <w:r>
        <w:rPr>
          <w:i/>
          <w:spacing w:val="-6"/>
          <w:sz w:val="22"/>
        </w:rPr>
        <w:t> </w:t>
      </w:r>
      <w:r>
        <w:rPr>
          <w:sz w:val="22"/>
        </w:rPr>
        <w:t>or</w:t>
      </w:r>
      <w:r>
        <w:rPr>
          <w:spacing w:val="-6"/>
          <w:sz w:val="22"/>
        </w:rPr>
        <w:t> </w:t>
      </w:r>
      <w:r>
        <w:rPr>
          <w:i/>
          <w:sz w:val="22"/>
        </w:rPr>
        <w:t>Strongly</w:t>
      </w:r>
      <w:r>
        <w:rPr>
          <w:i/>
          <w:spacing w:val="-6"/>
          <w:sz w:val="22"/>
        </w:rPr>
        <w:t> </w:t>
      </w:r>
      <w:r>
        <w:rPr>
          <w:i/>
          <w:sz w:val="22"/>
        </w:rPr>
        <w:t>Agreed</w:t>
      </w:r>
      <w:r>
        <w:rPr>
          <w:i/>
          <w:spacing w:val="-6"/>
          <w:sz w:val="22"/>
        </w:rPr>
        <w:t> </w:t>
      </w:r>
      <w:r>
        <w:rPr>
          <w:sz w:val="22"/>
        </w:rPr>
        <w:t>that</w:t>
      </w:r>
      <w:r>
        <w:rPr>
          <w:spacing w:val="-6"/>
          <w:sz w:val="22"/>
        </w:rPr>
        <w:t> </w:t>
      </w:r>
      <w:r>
        <w:rPr>
          <w:spacing w:val="-5"/>
          <w:sz w:val="22"/>
        </w:rPr>
        <w:t>Dr.</w:t>
      </w:r>
      <w:r>
        <w:rPr>
          <w:spacing w:val="-6"/>
          <w:sz w:val="22"/>
        </w:rPr>
        <w:t> </w:t>
      </w:r>
      <w:r>
        <w:rPr>
          <w:sz w:val="22"/>
        </w:rPr>
        <w:t>Villarruel maintained</w:t>
      </w:r>
      <w:r>
        <w:rPr>
          <w:spacing w:val="-2"/>
          <w:sz w:val="22"/>
        </w:rPr>
        <w:t> </w:t>
      </w:r>
      <w:r>
        <w:rPr>
          <w:spacing w:val="-3"/>
          <w:sz w:val="22"/>
        </w:rPr>
        <w:t>neutrality.</w:t>
      </w:r>
    </w:p>
    <w:p>
      <w:pPr>
        <w:pStyle w:val="ListParagraph"/>
        <w:numPr>
          <w:ilvl w:val="0"/>
          <w:numId w:val="2"/>
        </w:numPr>
        <w:tabs>
          <w:tab w:pos="819" w:val="left" w:leader="none"/>
          <w:tab w:pos="820" w:val="left" w:leader="none"/>
        </w:tabs>
        <w:spacing w:line="276" w:lineRule="auto" w:before="0" w:after="0"/>
        <w:ind w:left="820" w:right="484" w:hanging="360"/>
        <w:jc w:val="left"/>
        <w:rPr>
          <w:sz w:val="22"/>
        </w:rPr>
      </w:pPr>
      <w:r>
        <w:rPr>
          <w:sz w:val="22"/>
        </w:rPr>
        <w:t>The lowest scores pertained to the perception of some respondents that </w:t>
      </w:r>
      <w:r>
        <w:rPr>
          <w:spacing w:val="-5"/>
          <w:sz w:val="22"/>
        </w:rPr>
        <w:t>Dr. </w:t>
      </w:r>
      <w:r>
        <w:rPr>
          <w:sz w:val="22"/>
        </w:rPr>
        <w:t>Villarruel was not able to “</w:t>
      </w:r>
      <w:r>
        <w:rPr>
          <w:i/>
          <w:sz w:val="22"/>
        </w:rPr>
        <w:t>[Act] as an effective mediator between parties.</w:t>
      </w:r>
      <w:r>
        <w:rPr>
          <w:sz w:val="22"/>
        </w:rPr>
        <w:t>” In this case, 25% of respondents</w:t>
      </w:r>
      <w:r>
        <w:rPr>
          <w:spacing w:val="-7"/>
          <w:sz w:val="22"/>
        </w:rPr>
        <w:t> </w:t>
      </w:r>
      <w:r>
        <w:rPr>
          <w:sz w:val="22"/>
        </w:rPr>
        <w:t>either</w:t>
      </w:r>
      <w:r>
        <w:rPr>
          <w:spacing w:val="-6"/>
          <w:sz w:val="22"/>
        </w:rPr>
        <w:t> </w:t>
      </w:r>
      <w:r>
        <w:rPr>
          <w:i/>
          <w:sz w:val="22"/>
        </w:rPr>
        <w:t>Somewhat</w:t>
      </w:r>
      <w:r>
        <w:rPr>
          <w:i/>
          <w:spacing w:val="-6"/>
          <w:sz w:val="22"/>
        </w:rPr>
        <w:t> </w:t>
      </w:r>
      <w:r>
        <w:rPr>
          <w:sz w:val="22"/>
        </w:rPr>
        <w:t>or</w:t>
      </w:r>
      <w:r>
        <w:rPr>
          <w:spacing w:val="-6"/>
          <w:sz w:val="22"/>
        </w:rPr>
        <w:t> </w:t>
      </w:r>
      <w:r>
        <w:rPr>
          <w:i/>
          <w:sz w:val="22"/>
        </w:rPr>
        <w:t>Strongly</w:t>
      </w:r>
      <w:r>
        <w:rPr>
          <w:i/>
          <w:spacing w:val="-7"/>
          <w:sz w:val="22"/>
        </w:rPr>
        <w:t> </w:t>
      </w:r>
      <w:r>
        <w:rPr>
          <w:i/>
          <w:sz w:val="22"/>
        </w:rPr>
        <w:t>Disagreed</w:t>
      </w:r>
      <w:r>
        <w:rPr>
          <w:i/>
          <w:spacing w:val="-6"/>
          <w:sz w:val="22"/>
        </w:rPr>
        <w:t> </w:t>
      </w:r>
      <w:r>
        <w:rPr>
          <w:sz w:val="22"/>
        </w:rPr>
        <w:t>that</w:t>
      </w:r>
      <w:r>
        <w:rPr>
          <w:spacing w:val="-6"/>
          <w:sz w:val="22"/>
        </w:rPr>
        <w:t> </w:t>
      </w:r>
      <w:r>
        <w:rPr>
          <w:sz w:val="22"/>
        </w:rPr>
        <w:t>he</w:t>
      </w:r>
      <w:r>
        <w:rPr>
          <w:spacing w:val="-6"/>
          <w:sz w:val="22"/>
        </w:rPr>
        <w:t> </w:t>
      </w:r>
      <w:r>
        <w:rPr>
          <w:sz w:val="22"/>
        </w:rPr>
        <w:t>was</w:t>
      </w:r>
      <w:r>
        <w:rPr>
          <w:spacing w:val="-6"/>
          <w:sz w:val="22"/>
        </w:rPr>
        <w:t> </w:t>
      </w:r>
      <w:r>
        <w:rPr>
          <w:sz w:val="22"/>
        </w:rPr>
        <w:t>effective,</w:t>
      </w:r>
      <w:r>
        <w:rPr>
          <w:spacing w:val="-7"/>
          <w:sz w:val="22"/>
        </w:rPr>
        <w:t> </w:t>
      </w:r>
      <w:r>
        <w:rPr>
          <w:sz w:val="22"/>
        </w:rPr>
        <w:t>while</w:t>
      </w:r>
      <w:r>
        <w:rPr>
          <w:spacing w:val="-6"/>
          <w:sz w:val="22"/>
        </w:rPr>
        <w:t> </w:t>
      </w:r>
      <w:r>
        <w:rPr>
          <w:sz w:val="22"/>
        </w:rPr>
        <w:t>65% </w:t>
      </w:r>
      <w:r>
        <w:rPr>
          <w:i/>
          <w:sz w:val="22"/>
        </w:rPr>
        <w:t>Somewhat </w:t>
      </w:r>
      <w:r>
        <w:rPr>
          <w:sz w:val="22"/>
        </w:rPr>
        <w:t>or </w:t>
      </w:r>
      <w:r>
        <w:rPr>
          <w:i/>
          <w:sz w:val="22"/>
        </w:rPr>
        <w:t>Strongly Agreed </w:t>
      </w:r>
      <w:r>
        <w:rPr>
          <w:sz w:val="22"/>
        </w:rPr>
        <w:t>that he was effective, and 10% were</w:t>
      </w:r>
      <w:r>
        <w:rPr>
          <w:spacing w:val="-32"/>
          <w:sz w:val="22"/>
        </w:rPr>
        <w:t> </w:t>
      </w:r>
      <w:r>
        <w:rPr>
          <w:sz w:val="22"/>
        </w:rPr>
        <w:t>neutral.</w:t>
      </w:r>
    </w:p>
    <w:p>
      <w:pPr>
        <w:pStyle w:val="ListParagraph"/>
        <w:numPr>
          <w:ilvl w:val="0"/>
          <w:numId w:val="2"/>
        </w:numPr>
        <w:tabs>
          <w:tab w:pos="819" w:val="left" w:leader="none"/>
          <w:tab w:pos="820" w:val="left" w:leader="none"/>
        </w:tabs>
        <w:spacing w:line="276" w:lineRule="auto" w:before="0" w:after="0"/>
        <w:ind w:left="820" w:right="471" w:hanging="360"/>
        <w:jc w:val="left"/>
        <w:rPr>
          <w:sz w:val="22"/>
        </w:rPr>
      </w:pPr>
      <w:r>
        <w:rPr>
          <w:sz w:val="22"/>
        </w:rPr>
        <w:t>His</w:t>
      </w:r>
      <w:r>
        <w:rPr>
          <w:spacing w:val="-7"/>
          <w:sz w:val="22"/>
        </w:rPr>
        <w:t> </w:t>
      </w:r>
      <w:r>
        <w:rPr>
          <w:sz w:val="22"/>
        </w:rPr>
        <w:t>ratings</w:t>
      </w:r>
      <w:r>
        <w:rPr>
          <w:spacing w:val="-6"/>
          <w:sz w:val="22"/>
        </w:rPr>
        <w:t> </w:t>
      </w:r>
      <w:r>
        <w:rPr>
          <w:sz w:val="22"/>
        </w:rPr>
        <w:t>did</w:t>
      </w:r>
      <w:r>
        <w:rPr>
          <w:spacing w:val="-6"/>
          <w:sz w:val="22"/>
        </w:rPr>
        <w:t> </w:t>
      </w:r>
      <w:r>
        <w:rPr>
          <w:sz w:val="22"/>
        </w:rPr>
        <w:t>not</w:t>
      </w:r>
      <w:r>
        <w:rPr>
          <w:spacing w:val="-6"/>
          <w:sz w:val="22"/>
        </w:rPr>
        <w:t> </w:t>
      </w:r>
      <w:r>
        <w:rPr>
          <w:sz w:val="22"/>
        </w:rPr>
        <w:t>qualitatively</w:t>
      </w:r>
      <w:r>
        <w:rPr>
          <w:spacing w:val="-7"/>
          <w:sz w:val="22"/>
        </w:rPr>
        <w:t> </w:t>
      </w:r>
      <w:r>
        <w:rPr>
          <w:sz w:val="22"/>
        </w:rPr>
        <w:t>or</w:t>
      </w:r>
      <w:r>
        <w:rPr>
          <w:spacing w:val="-6"/>
          <w:sz w:val="22"/>
        </w:rPr>
        <w:t> </w:t>
      </w:r>
      <w:r>
        <w:rPr>
          <w:sz w:val="22"/>
        </w:rPr>
        <w:t>quantitatively</w:t>
      </w:r>
      <w:r>
        <w:rPr>
          <w:spacing w:val="-6"/>
          <w:sz w:val="22"/>
        </w:rPr>
        <w:t> </w:t>
      </w:r>
      <w:r>
        <w:rPr>
          <w:sz w:val="22"/>
        </w:rPr>
        <w:t>differ</w:t>
      </w:r>
      <w:r>
        <w:rPr>
          <w:spacing w:val="-6"/>
          <w:sz w:val="22"/>
        </w:rPr>
        <w:t> </w:t>
      </w:r>
      <w:r>
        <w:rPr>
          <w:sz w:val="22"/>
        </w:rPr>
        <w:t>between</w:t>
      </w:r>
      <w:r>
        <w:rPr>
          <w:spacing w:val="-6"/>
          <w:sz w:val="22"/>
        </w:rPr>
        <w:t> </w:t>
      </w:r>
      <w:r>
        <w:rPr>
          <w:sz w:val="22"/>
        </w:rPr>
        <w:t>those</w:t>
      </w:r>
      <w:r>
        <w:rPr>
          <w:spacing w:val="-7"/>
          <w:sz w:val="22"/>
        </w:rPr>
        <w:t> </w:t>
      </w:r>
      <w:r>
        <w:rPr>
          <w:sz w:val="22"/>
        </w:rPr>
        <w:t>who</w:t>
      </w:r>
      <w:r>
        <w:rPr>
          <w:spacing w:val="-6"/>
          <w:sz w:val="22"/>
        </w:rPr>
        <w:t> </w:t>
      </w:r>
      <w:r>
        <w:rPr>
          <w:sz w:val="22"/>
        </w:rPr>
        <w:t>identified</w:t>
      </w:r>
      <w:r>
        <w:rPr>
          <w:spacing w:val="-6"/>
          <w:sz w:val="22"/>
        </w:rPr>
        <w:t> </w:t>
      </w:r>
      <w:r>
        <w:rPr>
          <w:sz w:val="22"/>
        </w:rPr>
        <w:t>as being a member of an underrepresented group, and those who did</w:t>
      </w:r>
      <w:r>
        <w:rPr>
          <w:spacing w:val="-25"/>
          <w:sz w:val="22"/>
        </w:rPr>
        <w:t> </w:t>
      </w:r>
      <w:r>
        <w:rPr>
          <w:sz w:val="22"/>
        </w:rPr>
        <w:t>not.</w:t>
      </w:r>
    </w:p>
    <w:p>
      <w:pPr>
        <w:pStyle w:val="ListParagraph"/>
        <w:numPr>
          <w:ilvl w:val="0"/>
          <w:numId w:val="2"/>
        </w:numPr>
        <w:tabs>
          <w:tab w:pos="819" w:val="left" w:leader="none"/>
          <w:tab w:pos="820" w:val="left" w:leader="none"/>
        </w:tabs>
        <w:spacing w:line="240" w:lineRule="auto" w:before="0" w:after="0"/>
        <w:ind w:left="820" w:right="0" w:hanging="360"/>
        <w:jc w:val="left"/>
        <w:rPr>
          <w:sz w:val="22"/>
        </w:rPr>
      </w:pPr>
      <w:r>
        <w:rPr>
          <w:sz w:val="22"/>
        </w:rPr>
        <w:t>Open-ended feedback commended the FG Office on being welcoming and</w:t>
      </w:r>
      <w:r>
        <w:rPr>
          <w:spacing w:val="-40"/>
          <w:sz w:val="22"/>
        </w:rPr>
        <w:t> </w:t>
      </w:r>
      <w:r>
        <w:rPr>
          <w:sz w:val="22"/>
        </w:rPr>
        <w:t>inclusive.</w:t>
      </w:r>
    </w:p>
    <w:p>
      <w:pPr>
        <w:pStyle w:val="ListParagraph"/>
        <w:numPr>
          <w:ilvl w:val="0"/>
          <w:numId w:val="2"/>
        </w:numPr>
        <w:tabs>
          <w:tab w:pos="819" w:val="left" w:leader="none"/>
          <w:tab w:pos="820" w:val="left" w:leader="none"/>
        </w:tabs>
        <w:spacing w:line="276" w:lineRule="auto" w:before="38" w:after="0"/>
        <w:ind w:left="820" w:right="260" w:hanging="360"/>
        <w:jc w:val="left"/>
        <w:rPr>
          <w:sz w:val="22"/>
        </w:rPr>
      </w:pPr>
      <w:r>
        <w:rPr>
          <w:spacing w:val="-5"/>
          <w:sz w:val="22"/>
        </w:rPr>
        <w:t>Dr. </w:t>
      </w:r>
      <w:r>
        <w:rPr>
          <w:sz w:val="22"/>
        </w:rPr>
        <w:t>Villarruel’s self-reflection noted successes on updating the Faculty Grievance </w:t>
      </w:r>
      <w:r>
        <w:rPr>
          <w:spacing w:val="-4"/>
          <w:sz w:val="22"/>
        </w:rPr>
        <w:t>Policy, </w:t>
      </w:r>
      <w:r>
        <w:rPr>
          <w:sz w:val="22"/>
        </w:rPr>
        <w:t>and on keeping the FG Office accessible for </w:t>
      </w:r>
      <w:r>
        <w:rPr>
          <w:spacing w:val="-3"/>
          <w:sz w:val="22"/>
        </w:rPr>
        <w:t>Faculty, </w:t>
      </w:r>
      <w:r>
        <w:rPr>
          <w:sz w:val="22"/>
        </w:rPr>
        <w:t>Staff, and Administrators. He also noted an intention to collaborate more effectively with the Associate FG</w:t>
      </w:r>
      <w:r>
        <w:rPr>
          <w:spacing w:val="-40"/>
          <w:sz w:val="22"/>
        </w:rPr>
        <w:t> </w:t>
      </w:r>
      <w:r>
        <w:rPr>
          <w:sz w:val="22"/>
        </w:rPr>
        <w:t>Official.</w:t>
      </w:r>
    </w:p>
    <w:p>
      <w:pPr>
        <w:pStyle w:val="ListParagraph"/>
        <w:numPr>
          <w:ilvl w:val="0"/>
          <w:numId w:val="2"/>
        </w:numPr>
        <w:tabs>
          <w:tab w:pos="819" w:val="left" w:leader="none"/>
          <w:tab w:pos="820" w:val="left" w:leader="none"/>
        </w:tabs>
        <w:spacing w:line="276" w:lineRule="auto" w:before="0" w:after="0"/>
        <w:ind w:left="820" w:right="285" w:hanging="360"/>
        <w:jc w:val="left"/>
        <w:rPr>
          <w:sz w:val="22"/>
        </w:rPr>
      </w:pPr>
      <w:r>
        <w:rPr>
          <w:sz w:val="22"/>
        </w:rPr>
        <w:t>Overall,</w:t>
      </w:r>
      <w:r>
        <w:rPr>
          <w:spacing w:val="-6"/>
          <w:sz w:val="22"/>
        </w:rPr>
        <w:t> </w:t>
      </w:r>
      <w:r>
        <w:rPr>
          <w:sz w:val="22"/>
        </w:rPr>
        <w:t>the</w:t>
      </w:r>
      <w:r>
        <w:rPr>
          <w:spacing w:val="-6"/>
          <w:sz w:val="22"/>
        </w:rPr>
        <w:t> </w:t>
      </w:r>
      <w:r>
        <w:rPr>
          <w:sz w:val="22"/>
        </w:rPr>
        <w:t>review</w:t>
      </w:r>
      <w:r>
        <w:rPr>
          <w:spacing w:val="-5"/>
          <w:sz w:val="22"/>
        </w:rPr>
        <w:t> </w:t>
      </w:r>
      <w:r>
        <w:rPr>
          <w:sz w:val="22"/>
        </w:rPr>
        <w:t>found</w:t>
      </w:r>
      <w:r>
        <w:rPr>
          <w:spacing w:val="-6"/>
          <w:sz w:val="22"/>
        </w:rPr>
        <w:t> </w:t>
      </w:r>
      <w:r>
        <w:rPr>
          <w:spacing w:val="-5"/>
          <w:sz w:val="22"/>
        </w:rPr>
        <w:t>Dr.</w:t>
      </w:r>
      <w:r>
        <w:rPr>
          <w:spacing w:val="-6"/>
          <w:sz w:val="22"/>
        </w:rPr>
        <w:t> </w:t>
      </w:r>
      <w:r>
        <w:rPr>
          <w:sz w:val="22"/>
        </w:rPr>
        <w:t>Villarruel’s</w:t>
      </w:r>
      <w:r>
        <w:rPr>
          <w:spacing w:val="-5"/>
          <w:sz w:val="22"/>
        </w:rPr>
        <w:t> </w:t>
      </w:r>
      <w:r>
        <w:rPr>
          <w:sz w:val="22"/>
        </w:rPr>
        <w:t>performance</w:t>
      </w:r>
      <w:r>
        <w:rPr>
          <w:spacing w:val="-6"/>
          <w:sz w:val="22"/>
        </w:rPr>
        <w:t> </w:t>
      </w:r>
      <w:r>
        <w:rPr>
          <w:sz w:val="22"/>
        </w:rPr>
        <w:t>in</w:t>
      </w:r>
      <w:r>
        <w:rPr>
          <w:spacing w:val="-5"/>
          <w:sz w:val="22"/>
        </w:rPr>
        <w:t> </w:t>
      </w:r>
      <w:r>
        <w:rPr>
          <w:sz w:val="22"/>
        </w:rPr>
        <w:t>the</w:t>
      </w:r>
      <w:r>
        <w:rPr>
          <w:spacing w:val="-6"/>
          <w:sz w:val="22"/>
        </w:rPr>
        <w:t> </w:t>
      </w:r>
      <w:r>
        <w:rPr>
          <w:sz w:val="22"/>
        </w:rPr>
        <w:t>position</w:t>
      </w:r>
      <w:r>
        <w:rPr>
          <w:spacing w:val="-6"/>
          <w:sz w:val="22"/>
        </w:rPr>
        <w:t> </w:t>
      </w:r>
      <w:r>
        <w:rPr>
          <w:sz w:val="22"/>
        </w:rPr>
        <w:t>as</w:t>
      </w:r>
      <w:r>
        <w:rPr>
          <w:spacing w:val="-5"/>
          <w:sz w:val="22"/>
        </w:rPr>
        <w:t> </w:t>
      </w:r>
      <w:r>
        <w:rPr>
          <w:sz w:val="22"/>
        </w:rPr>
        <w:t>FG</w:t>
      </w:r>
      <w:r>
        <w:rPr>
          <w:spacing w:val="-6"/>
          <w:sz w:val="22"/>
        </w:rPr>
        <w:t> </w:t>
      </w:r>
      <w:r>
        <w:rPr>
          <w:sz w:val="22"/>
        </w:rPr>
        <w:t>Official</w:t>
      </w:r>
      <w:r>
        <w:rPr>
          <w:spacing w:val="-5"/>
          <w:sz w:val="22"/>
        </w:rPr>
        <w:t> </w:t>
      </w:r>
      <w:r>
        <w:rPr>
          <w:sz w:val="22"/>
        </w:rPr>
        <w:t>to</w:t>
      </w:r>
      <w:r>
        <w:rPr>
          <w:spacing w:val="-6"/>
          <w:sz w:val="22"/>
        </w:rPr>
        <w:t> </w:t>
      </w:r>
      <w:r>
        <w:rPr>
          <w:sz w:val="22"/>
        </w:rPr>
        <w:t>be effective, characterizing the survey data as “</w:t>
      </w:r>
      <w:r>
        <w:rPr>
          <w:i/>
          <w:sz w:val="22"/>
        </w:rPr>
        <w:t>extremely positive with no areas being </w:t>
      </w:r>
      <w:r>
        <w:rPr>
          <w:i/>
          <w:sz w:val="22"/>
        </w:rPr>
        <w:t>problematic.</w:t>
      </w:r>
      <w:r>
        <w:rPr>
          <w:sz w:val="22"/>
        </w:rPr>
        <w:t>”</w:t>
      </w:r>
    </w:p>
    <w:p>
      <w:pPr>
        <w:pStyle w:val="ListParagraph"/>
        <w:numPr>
          <w:ilvl w:val="0"/>
          <w:numId w:val="2"/>
        </w:numPr>
        <w:tabs>
          <w:tab w:pos="819" w:val="left" w:leader="none"/>
          <w:tab w:pos="820" w:val="left" w:leader="none"/>
        </w:tabs>
        <w:spacing w:line="240" w:lineRule="auto" w:before="0" w:after="0"/>
        <w:ind w:left="820" w:right="0" w:hanging="360"/>
        <w:jc w:val="left"/>
        <w:rPr>
          <w:sz w:val="22"/>
        </w:rPr>
      </w:pPr>
      <w:r>
        <w:rPr>
          <w:sz w:val="22"/>
        </w:rPr>
        <w:t>The full 2019 calendar year review is attached as </w:t>
      </w:r>
      <w:r>
        <w:rPr>
          <w:i/>
          <w:sz w:val="22"/>
        </w:rPr>
        <w:t>Appendix</w:t>
      </w:r>
      <w:r>
        <w:rPr>
          <w:i/>
          <w:spacing w:val="-18"/>
          <w:sz w:val="22"/>
        </w:rPr>
        <w:t> </w:t>
      </w:r>
      <w:r>
        <w:rPr>
          <w:i/>
          <w:sz w:val="22"/>
        </w:rPr>
        <w:t>1</w:t>
      </w:r>
      <w:r>
        <w:rPr>
          <w:sz w:val="22"/>
        </w:rPr>
        <w:t>.</w:t>
      </w:r>
    </w:p>
    <w:p>
      <w:pPr>
        <w:spacing w:after="0" w:line="240" w:lineRule="auto"/>
        <w:jc w:val="left"/>
        <w:rPr>
          <w:sz w:val="22"/>
        </w:rPr>
        <w:sectPr>
          <w:pgSz w:w="12240" w:h="15840"/>
          <w:pgMar w:header="0" w:footer="724" w:top="1360" w:bottom="1000" w:left="1340" w:right="1300"/>
        </w:sectPr>
      </w:pPr>
    </w:p>
    <w:p>
      <w:pPr>
        <w:pStyle w:val="Heading1"/>
        <w:rPr>
          <w:u w:val="none"/>
        </w:rPr>
      </w:pPr>
      <w:r>
        <w:rPr>
          <w:rFonts w:ascii="Times New Roman" w:hAnsi="Times New Roman"/>
          <w:b w:val="0"/>
          <w:spacing w:val="-60"/>
          <w:u w:val="thick"/>
        </w:rPr>
        <w:t> </w:t>
      </w:r>
      <w:r>
        <w:rPr>
          <w:u w:val="thick"/>
        </w:rPr>
        <w:t>Synopsis of </w:t>
      </w:r>
      <w:r>
        <w:rPr>
          <w:spacing w:val="-5"/>
          <w:u w:val="thick"/>
        </w:rPr>
        <w:t>Dr. </w:t>
      </w:r>
      <w:r>
        <w:rPr>
          <w:u w:val="thick"/>
        </w:rPr>
        <w:t>Villarruel’s Annual Review from the 2020 Calendar </w:t>
      </w:r>
      <w:r>
        <w:rPr>
          <w:spacing w:val="-3"/>
          <w:u w:val="thick"/>
        </w:rPr>
        <w:t>Year</w:t>
      </w:r>
    </w:p>
    <w:p>
      <w:pPr>
        <w:pStyle w:val="BodyText"/>
        <w:spacing w:line="276" w:lineRule="auto" w:before="41"/>
        <w:ind w:left="100"/>
      </w:pPr>
      <w:r>
        <w:rPr/>
        <w:t>In the 2020 calendar year, 90 individuals were solicited for feedback regarding their interactions with the FG Office and with Dr. Villarruel. Of those, 34 provided feedback.</w:t>
      </w:r>
    </w:p>
    <w:p>
      <w:pPr>
        <w:spacing w:before="0"/>
        <w:ind w:left="100" w:right="0" w:firstLine="0"/>
        <w:jc w:val="left"/>
        <w:rPr>
          <w:i/>
          <w:sz w:val="22"/>
        </w:rPr>
      </w:pPr>
      <w:r>
        <w:rPr>
          <w:i/>
          <w:sz w:val="22"/>
        </w:rPr>
        <w:t>Report Highlights:</w:t>
      </w:r>
    </w:p>
    <w:p>
      <w:pPr>
        <w:pStyle w:val="ListParagraph"/>
        <w:numPr>
          <w:ilvl w:val="0"/>
          <w:numId w:val="2"/>
        </w:numPr>
        <w:tabs>
          <w:tab w:pos="819" w:val="left" w:leader="none"/>
          <w:tab w:pos="820" w:val="left" w:leader="none"/>
        </w:tabs>
        <w:spacing w:line="254" w:lineRule="auto" w:before="38" w:after="0"/>
        <w:ind w:left="820" w:right="251" w:hanging="360"/>
        <w:jc w:val="left"/>
        <w:rPr>
          <w:sz w:val="22"/>
        </w:rPr>
      </w:pPr>
      <w:r>
        <w:rPr>
          <w:sz w:val="22"/>
        </w:rPr>
        <w:t>The</w:t>
      </w:r>
      <w:r>
        <w:rPr>
          <w:spacing w:val="-6"/>
          <w:sz w:val="22"/>
        </w:rPr>
        <w:t> </w:t>
      </w:r>
      <w:r>
        <w:rPr>
          <w:sz w:val="22"/>
        </w:rPr>
        <w:t>FG</w:t>
      </w:r>
      <w:r>
        <w:rPr>
          <w:spacing w:val="-6"/>
          <w:sz w:val="22"/>
        </w:rPr>
        <w:t> </w:t>
      </w:r>
      <w:r>
        <w:rPr>
          <w:sz w:val="22"/>
        </w:rPr>
        <w:t>Office</w:t>
      </w:r>
      <w:r>
        <w:rPr>
          <w:spacing w:val="-5"/>
          <w:sz w:val="22"/>
        </w:rPr>
        <w:t> </w:t>
      </w:r>
      <w:r>
        <w:rPr>
          <w:sz w:val="22"/>
        </w:rPr>
        <w:t>received</w:t>
      </w:r>
      <w:r>
        <w:rPr>
          <w:spacing w:val="-6"/>
          <w:sz w:val="22"/>
        </w:rPr>
        <w:t> </w:t>
      </w:r>
      <w:r>
        <w:rPr>
          <w:sz w:val="22"/>
        </w:rPr>
        <w:t>high</w:t>
      </w:r>
      <w:r>
        <w:rPr>
          <w:spacing w:val="-5"/>
          <w:sz w:val="22"/>
        </w:rPr>
        <w:t> </w:t>
      </w:r>
      <w:r>
        <w:rPr>
          <w:sz w:val="22"/>
        </w:rPr>
        <w:t>ratings</w:t>
      </w:r>
      <w:r>
        <w:rPr>
          <w:spacing w:val="-6"/>
          <w:sz w:val="22"/>
        </w:rPr>
        <w:t> </w:t>
      </w:r>
      <w:r>
        <w:rPr>
          <w:sz w:val="22"/>
        </w:rPr>
        <w:t>for</w:t>
      </w:r>
      <w:r>
        <w:rPr>
          <w:spacing w:val="-6"/>
          <w:sz w:val="22"/>
        </w:rPr>
        <w:t> </w:t>
      </w:r>
      <w:r>
        <w:rPr>
          <w:sz w:val="22"/>
        </w:rPr>
        <w:t>being</w:t>
      </w:r>
      <w:r>
        <w:rPr>
          <w:spacing w:val="-5"/>
          <w:sz w:val="22"/>
        </w:rPr>
        <w:t> </w:t>
      </w:r>
      <w:r>
        <w:rPr>
          <w:sz w:val="22"/>
        </w:rPr>
        <w:t>approachable,</w:t>
      </w:r>
      <w:r>
        <w:rPr>
          <w:spacing w:val="-6"/>
          <w:sz w:val="22"/>
        </w:rPr>
        <w:t> </w:t>
      </w:r>
      <w:r>
        <w:rPr>
          <w:sz w:val="22"/>
        </w:rPr>
        <w:t>responding</w:t>
      </w:r>
      <w:r>
        <w:rPr>
          <w:spacing w:val="-5"/>
          <w:sz w:val="22"/>
        </w:rPr>
        <w:t> </w:t>
      </w:r>
      <w:r>
        <w:rPr>
          <w:sz w:val="22"/>
        </w:rPr>
        <w:t>to</w:t>
      </w:r>
      <w:r>
        <w:rPr>
          <w:spacing w:val="-6"/>
          <w:sz w:val="22"/>
        </w:rPr>
        <w:t> </w:t>
      </w:r>
      <w:r>
        <w:rPr>
          <w:sz w:val="22"/>
        </w:rPr>
        <w:t>inquiries</w:t>
      </w:r>
      <w:r>
        <w:rPr>
          <w:spacing w:val="-5"/>
          <w:sz w:val="22"/>
        </w:rPr>
        <w:t> </w:t>
      </w:r>
      <w:r>
        <w:rPr>
          <w:sz w:val="22"/>
        </w:rPr>
        <w:t>in</w:t>
      </w:r>
      <w:r>
        <w:rPr>
          <w:spacing w:val="-6"/>
          <w:sz w:val="22"/>
        </w:rPr>
        <w:t> </w:t>
      </w:r>
      <w:r>
        <w:rPr>
          <w:sz w:val="22"/>
        </w:rPr>
        <w:t>a timely </w:t>
      </w:r>
      <w:r>
        <w:rPr>
          <w:spacing w:val="-3"/>
          <w:sz w:val="22"/>
        </w:rPr>
        <w:t>manner, </w:t>
      </w:r>
      <w:r>
        <w:rPr>
          <w:sz w:val="22"/>
        </w:rPr>
        <w:t>for their knowledge of university policies and regulations, and their willingness to schedule meetings at times that were convenient for</w:t>
      </w:r>
      <w:r>
        <w:rPr>
          <w:spacing w:val="-35"/>
          <w:sz w:val="22"/>
        </w:rPr>
        <w:t> </w:t>
      </w:r>
      <w:r>
        <w:rPr>
          <w:sz w:val="22"/>
        </w:rPr>
        <w:t>respondents.</w:t>
      </w:r>
    </w:p>
    <w:p>
      <w:pPr>
        <w:pStyle w:val="ListParagraph"/>
        <w:numPr>
          <w:ilvl w:val="0"/>
          <w:numId w:val="2"/>
        </w:numPr>
        <w:tabs>
          <w:tab w:pos="819" w:val="left" w:leader="none"/>
          <w:tab w:pos="820" w:val="left" w:leader="none"/>
        </w:tabs>
        <w:spacing w:line="254" w:lineRule="auto" w:before="0" w:after="0"/>
        <w:ind w:left="820" w:right="729" w:hanging="360"/>
        <w:jc w:val="left"/>
        <w:rPr>
          <w:sz w:val="22"/>
        </w:rPr>
      </w:pPr>
      <w:r>
        <w:rPr>
          <w:spacing w:val="-5"/>
          <w:sz w:val="22"/>
        </w:rPr>
        <w:t>Dr.</w:t>
      </w:r>
      <w:r>
        <w:rPr>
          <w:spacing w:val="-6"/>
          <w:sz w:val="22"/>
        </w:rPr>
        <w:t> </w:t>
      </w:r>
      <w:r>
        <w:rPr>
          <w:sz w:val="22"/>
        </w:rPr>
        <w:t>Villarruel</w:t>
      </w:r>
      <w:r>
        <w:rPr>
          <w:spacing w:val="-5"/>
          <w:sz w:val="22"/>
        </w:rPr>
        <w:t> </w:t>
      </w:r>
      <w:r>
        <w:rPr>
          <w:sz w:val="22"/>
        </w:rPr>
        <w:t>consistently</w:t>
      </w:r>
      <w:r>
        <w:rPr>
          <w:spacing w:val="-5"/>
          <w:sz w:val="22"/>
        </w:rPr>
        <w:t> </w:t>
      </w:r>
      <w:r>
        <w:rPr>
          <w:sz w:val="22"/>
        </w:rPr>
        <w:t>rated</w:t>
      </w:r>
      <w:r>
        <w:rPr>
          <w:spacing w:val="-6"/>
          <w:sz w:val="22"/>
        </w:rPr>
        <w:t> </w:t>
      </w:r>
      <w:r>
        <w:rPr>
          <w:sz w:val="22"/>
        </w:rPr>
        <w:t>very</w:t>
      </w:r>
      <w:r>
        <w:rPr>
          <w:spacing w:val="-5"/>
          <w:sz w:val="22"/>
        </w:rPr>
        <w:t> </w:t>
      </w:r>
      <w:r>
        <w:rPr>
          <w:sz w:val="22"/>
        </w:rPr>
        <w:t>highly</w:t>
      </w:r>
      <w:r>
        <w:rPr>
          <w:spacing w:val="-5"/>
          <w:sz w:val="22"/>
        </w:rPr>
        <w:t> </w:t>
      </w:r>
      <w:r>
        <w:rPr>
          <w:sz w:val="22"/>
        </w:rPr>
        <w:t>across</w:t>
      </w:r>
      <w:r>
        <w:rPr>
          <w:spacing w:val="-6"/>
          <w:sz w:val="22"/>
        </w:rPr>
        <w:t> </w:t>
      </w:r>
      <w:r>
        <w:rPr>
          <w:sz w:val="22"/>
        </w:rPr>
        <w:t>almost</w:t>
      </w:r>
      <w:r>
        <w:rPr>
          <w:spacing w:val="-5"/>
          <w:sz w:val="22"/>
        </w:rPr>
        <w:t> </w:t>
      </w:r>
      <w:r>
        <w:rPr>
          <w:sz w:val="22"/>
        </w:rPr>
        <w:t>all</w:t>
      </w:r>
      <w:r>
        <w:rPr>
          <w:spacing w:val="-5"/>
          <w:sz w:val="22"/>
        </w:rPr>
        <w:t> </w:t>
      </w:r>
      <w:r>
        <w:rPr>
          <w:sz w:val="22"/>
        </w:rPr>
        <w:t>axes</w:t>
      </w:r>
      <w:r>
        <w:rPr>
          <w:spacing w:val="-6"/>
          <w:sz w:val="22"/>
        </w:rPr>
        <w:t> </w:t>
      </w:r>
      <w:r>
        <w:rPr>
          <w:sz w:val="22"/>
        </w:rPr>
        <w:t>of</w:t>
      </w:r>
      <w:r>
        <w:rPr>
          <w:spacing w:val="-5"/>
          <w:sz w:val="22"/>
        </w:rPr>
        <w:t> </w:t>
      </w:r>
      <w:r>
        <w:rPr>
          <w:sz w:val="22"/>
        </w:rPr>
        <w:t>the</w:t>
      </w:r>
      <w:r>
        <w:rPr>
          <w:spacing w:val="-5"/>
          <w:sz w:val="22"/>
        </w:rPr>
        <w:t> </w:t>
      </w:r>
      <w:r>
        <w:rPr>
          <w:sz w:val="22"/>
        </w:rPr>
        <w:t>survey</w:t>
      </w:r>
      <w:r>
        <w:rPr>
          <w:spacing w:val="-5"/>
          <w:sz w:val="22"/>
        </w:rPr>
        <w:t> </w:t>
      </w:r>
      <w:r>
        <w:rPr>
          <w:sz w:val="22"/>
        </w:rPr>
        <w:t>that pertained to respondent perception of his job performance. For</w:t>
      </w:r>
      <w:r>
        <w:rPr>
          <w:spacing w:val="-27"/>
          <w:sz w:val="22"/>
        </w:rPr>
        <w:t> </w:t>
      </w:r>
      <w:r>
        <w:rPr>
          <w:sz w:val="22"/>
        </w:rPr>
        <w:t>example:</w:t>
      </w:r>
    </w:p>
    <w:p>
      <w:pPr>
        <w:pStyle w:val="ListParagraph"/>
        <w:numPr>
          <w:ilvl w:val="1"/>
          <w:numId w:val="2"/>
        </w:numPr>
        <w:tabs>
          <w:tab w:pos="1539" w:val="left" w:leader="none"/>
          <w:tab w:pos="1540" w:val="left" w:leader="none"/>
        </w:tabs>
        <w:spacing w:line="254" w:lineRule="auto" w:before="0" w:after="0"/>
        <w:ind w:left="1540" w:right="191" w:hanging="360"/>
        <w:jc w:val="left"/>
        <w:rPr>
          <w:sz w:val="22"/>
        </w:rPr>
      </w:pPr>
      <w:r>
        <w:rPr>
          <w:sz w:val="22"/>
        </w:rPr>
        <w:t>85.7%</w:t>
      </w:r>
      <w:r>
        <w:rPr>
          <w:spacing w:val="-6"/>
          <w:sz w:val="22"/>
        </w:rPr>
        <w:t> </w:t>
      </w:r>
      <w:r>
        <w:rPr>
          <w:sz w:val="22"/>
        </w:rPr>
        <w:t>of</w:t>
      </w:r>
      <w:r>
        <w:rPr>
          <w:spacing w:val="-5"/>
          <w:sz w:val="22"/>
        </w:rPr>
        <w:t> </w:t>
      </w:r>
      <w:r>
        <w:rPr>
          <w:sz w:val="22"/>
        </w:rPr>
        <w:t>respondents</w:t>
      </w:r>
      <w:r>
        <w:rPr>
          <w:spacing w:val="-5"/>
          <w:sz w:val="22"/>
        </w:rPr>
        <w:t> </w:t>
      </w:r>
      <w:r>
        <w:rPr>
          <w:i/>
          <w:sz w:val="22"/>
        </w:rPr>
        <w:t>Somewhat</w:t>
      </w:r>
      <w:r>
        <w:rPr>
          <w:i/>
          <w:spacing w:val="-5"/>
          <w:sz w:val="22"/>
        </w:rPr>
        <w:t> </w:t>
      </w:r>
      <w:r>
        <w:rPr>
          <w:sz w:val="22"/>
        </w:rPr>
        <w:t>or</w:t>
      </w:r>
      <w:r>
        <w:rPr>
          <w:spacing w:val="-6"/>
          <w:sz w:val="22"/>
        </w:rPr>
        <w:t> </w:t>
      </w:r>
      <w:r>
        <w:rPr>
          <w:i/>
          <w:sz w:val="22"/>
        </w:rPr>
        <w:t>Strongly</w:t>
      </w:r>
      <w:r>
        <w:rPr>
          <w:i/>
          <w:spacing w:val="-5"/>
          <w:sz w:val="22"/>
        </w:rPr>
        <w:t> </w:t>
      </w:r>
      <w:r>
        <w:rPr>
          <w:i/>
          <w:sz w:val="22"/>
        </w:rPr>
        <w:t>agreed</w:t>
      </w:r>
      <w:r>
        <w:rPr>
          <w:i/>
          <w:spacing w:val="-5"/>
          <w:sz w:val="22"/>
        </w:rPr>
        <w:t> </w:t>
      </w:r>
      <w:r>
        <w:rPr>
          <w:sz w:val="22"/>
        </w:rPr>
        <w:t>that</w:t>
      </w:r>
      <w:r>
        <w:rPr>
          <w:spacing w:val="-5"/>
          <w:sz w:val="22"/>
        </w:rPr>
        <w:t> Dr. </w:t>
      </w:r>
      <w:r>
        <w:rPr>
          <w:sz w:val="22"/>
        </w:rPr>
        <w:t>Villarruel</w:t>
      </w:r>
      <w:r>
        <w:rPr>
          <w:spacing w:val="-6"/>
          <w:sz w:val="22"/>
        </w:rPr>
        <w:t> </w:t>
      </w:r>
      <w:r>
        <w:rPr>
          <w:sz w:val="22"/>
        </w:rPr>
        <w:t>acted</w:t>
      </w:r>
      <w:r>
        <w:rPr>
          <w:spacing w:val="-5"/>
          <w:sz w:val="22"/>
        </w:rPr>
        <w:t> </w:t>
      </w:r>
      <w:r>
        <w:rPr>
          <w:sz w:val="22"/>
        </w:rPr>
        <w:t>as</w:t>
      </w:r>
      <w:r>
        <w:rPr>
          <w:spacing w:val="-5"/>
          <w:sz w:val="22"/>
        </w:rPr>
        <w:t> </w:t>
      </w:r>
      <w:r>
        <w:rPr>
          <w:sz w:val="22"/>
        </w:rPr>
        <w:t>a fair and impartial</w:t>
      </w:r>
      <w:r>
        <w:rPr>
          <w:spacing w:val="-4"/>
          <w:sz w:val="22"/>
        </w:rPr>
        <w:t> </w:t>
      </w:r>
      <w:r>
        <w:rPr>
          <w:spacing w:val="-3"/>
          <w:sz w:val="22"/>
        </w:rPr>
        <w:t>advisor.</w:t>
      </w:r>
    </w:p>
    <w:p>
      <w:pPr>
        <w:pStyle w:val="ListParagraph"/>
        <w:numPr>
          <w:ilvl w:val="1"/>
          <w:numId w:val="2"/>
        </w:numPr>
        <w:tabs>
          <w:tab w:pos="1539" w:val="left" w:leader="none"/>
          <w:tab w:pos="1540" w:val="left" w:leader="none"/>
        </w:tabs>
        <w:spacing w:line="254" w:lineRule="auto" w:before="0" w:after="0"/>
        <w:ind w:left="1540" w:right="668" w:hanging="360"/>
        <w:jc w:val="left"/>
        <w:rPr>
          <w:sz w:val="22"/>
        </w:rPr>
      </w:pPr>
      <w:r>
        <w:rPr>
          <w:sz w:val="22"/>
        </w:rPr>
        <w:t>84%</w:t>
      </w:r>
      <w:r>
        <w:rPr>
          <w:spacing w:val="-6"/>
          <w:sz w:val="22"/>
        </w:rPr>
        <w:t> </w:t>
      </w:r>
      <w:r>
        <w:rPr>
          <w:sz w:val="22"/>
        </w:rPr>
        <w:t>of</w:t>
      </w:r>
      <w:r>
        <w:rPr>
          <w:spacing w:val="-5"/>
          <w:sz w:val="22"/>
        </w:rPr>
        <w:t> </w:t>
      </w:r>
      <w:r>
        <w:rPr>
          <w:sz w:val="22"/>
        </w:rPr>
        <w:t>respondents</w:t>
      </w:r>
      <w:r>
        <w:rPr>
          <w:spacing w:val="-5"/>
          <w:sz w:val="22"/>
        </w:rPr>
        <w:t> </w:t>
      </w:r>
      <w:r>
        <w:rPr>
          <w:i/>
          <w:sz w:val="22"/>
        </w:rPr>
        <w:t>Somewhat</w:t>
      </w:r>
      <w:r>
        <w:rPr>
          <w:i/>
          <w:spacing w:val="-6"/>
          <w:sz w:val="22"/>
        </w:rPr>
        <w:t> </w:t>
      </w:r>
      <w:r>
        <w:rPr>
          <w:sz w:val="22"/>
        </w:rPr>
        <w:t>or</w:t>
      </w:r>
      <w:r>
        <w:rPr>
          <w:spacing w:val="-5"/>
          <w:sz w:val="22"/>
        </w:rPr>
        <w:t> </w:t>
      </w:r>
      <w:r>
        <w:rPr>
          <w:i/>
          <w:sz w:val="22"/>
        </w:rPr>
        <w:t>Strongly</w:t>
      </w:r>
      <w:r>
        <w:rPr>
          <w:i/>
          <w:spacing w:val="-5"/>
          <w:sz w:val="22"/>
        </w:rPr>
        <w:t> </w:t>
      </w:r>
      <w:r>
        <w:rPr>
          <w:i/>
          <w:sz w:val="22"/>
        </w:rPr>
        <w:t>Agreed</w:t>
      </w:r>
      <w:r>
        <w:rPr>
          <w:i/>
          <w:spacing w:val="-5"/>
          <w:sz w:val="22"/>
        </w:rPr>
        <w:t> </w:t>
      </w:r>
      <w:r>
        <w:rPr>
          <w:sz w:val="22"/>
        </w:rPr>
        <w:t>that</w:t>
      </w:r>
      <w:r>
        <w:rPr>
          <w:spacing w:val="-6"/>
          <w:sz w:val="22"/>
        </w:rPr>
        <w:t> </w:t>
      </w:r>
      <w:r>
        <w:rPr>
          <w:spacing w:val="-5"/>
          <w:sz w:val="22"/>
        </w:rPr>
        <w:t>Dr. </w:t>
      </w:r>
      <w:r>
        <w:rPr>
          <w:sz w:val="22"/>
        </w:rPr>
        <w:t>Villarruel</w:t>
      </w:r>
      <w:r>
        <w:rPr>
          <w:spacing w:val="-5"/>
          <w:sz w:val="22"/>
        </w:rPr>
        <w:t> </w:t>
      </w:r>
      <w:r>
        <w:rPr>
          <w:sz w:val="22"/>
        </w:rPr>
        <w:t>was</w:t>
      </w:r>
      <w:r>
        <w:rPr>
          <w:spacing w:val="-5"/>
          <w:sz w:val="22"/>
        </w:rPr>
        <w:t> </w:t>
      </w:r>
      <w:r>
        <w:rPr>
          <w:sz w:val="22"/>
        </w:rPr>
        <w:t>an effective problem</w:t>
      </w:r>
      <w:r>
        <w:rPr>
          <w:spacing w:val="-3"/>
          <w:sz w:val="22"/>
        </w:rPr>
        <w:t> solver.</w:t>
      </w:r>
    </w:p>
    <w:p>
      <w:pPr>
        <w:pStyle w:val="ListParagraph"/>
        <w:numPr>
          <w:ilvl w:val="1"/>
          <w:numId w:val="2"/>
        </w:numPr>
        <w:tabs>
          <w:tab w:pos="1539" w:val="left" w:leader="none"/>
          <w:tab w:pos="1540" w:val="left" w:leader="none"/>
        </w:tabs>
        <w:spacing w:line="254" w:lineRule="auto" w:before="0" w:after="0"/>
        <w:ind w:left="1540" w:right="1243" w:hanging="360"/>
        <w:jc w:val="left"/>
        <w:rPr>
          <w:sz w:val="22"/>
        </w:rPr>
      </w:pPr>
      <w:r>
        <w:rPr>
          <w:sz w:val="22"/>
        </w:rPr>
        <w:t>92.3%</w:t>
      </w:r>
      <w:r>
        <w:rPr>
          <w:spacing w:val="-7"/>
          <w:sz w:val="22"/>
        </w:rPr>
        <w:t> </w:t>
      </w:r>
      <w:r>
        <w:rPr>
          <w:sz w:val="22"/>
        </w:rPr>
        <w:t>of</w:t>
      </w:r>
      <w:r>
        <w:rPr>
          <w:spacing w:val="-6"/>
          <w:sz w:val="22"/>
        </w:rPr>
        <w:t> </w:t>
      </w:r>
      <w:r>
        <w:rPr>
          <w:sz w:val="22"/>
        </w:rPr>
        <w:t>respondents</w:t>
      </w:r>
      <w:r>
        <w:rPr>
          <w:spacing w:val="-6"/>
          <w:sz w:val="22"/>
        </w:rPr>
        <w:t> </w:t>
      </w:r>
      <w:r>
        <w:rPr>
          <w:i/>
          <w:sz w:val="22"/>
        </w:rPr>
        <w:t>Somewhat</w:t>
      </w:r>
      <w:r>
        <w:rPr>
          <w:i/>
          <w:spacing w:val="-6"/>
          <w:sz w:val="22"/>
        </w:rPr>
        <w:t> </w:t>
      </w:r>
      <w:r>
        <w:rPr>
          <w:sz w:val="22"/>
        </w:rPr>
        <w:t>or</w:t>
      </w:r>
      <w:r>
        <w:rPr>
          <w:spacing w:val="-6"/>
          <w:sz w:val="22"/>
        </w:rPr>
        <w:t> </w:t>
      </w:r>
      <w:r>
        <w:rPr>
          <w:i/>
          <w:sz w:val="22"/>
        </w:rPr>
        <w:t>Strongly</w:t>
      </w:r>
      <w:r>
        <w:rPr>
          <w:i/>
          <w:spacing w:val="-6"/>
          <w:sz w:val="22"/>
        </w:rPr>
        <w:t> </w:t>
      </w:r>
      <w:r>
        <w:rPr>
          <w:i/>
          <w:sz w:val="22"/>
        </w:rPr>
        <w:t>Agreed</w:t>
      </w:r>
      <w:r>
        <w:rPr>
          <w:i/>
          <w:spacing w:val="-6"/>
          <w:sz w:val="22"/>
        </w:rPr>
        <w:t> </w:t>
      </w:r>
      <w:r>
        <w:rPr>
          <w:sz w:val="22"/>
        </w:rPr>
        <w:t>that</w:t>
      </w:r>
      <w:r>
        <w:rPr>
          <w:spacing w:val="-6"/>
          <w:sz w:val="22"/>
        </w:rPr>
        <w:t> </w:t>
      </w:r>
      <w:r>
        <w:rPr>
          <w:spacing w:val="-5"/>
          <w:sz w:val="22"/>
        </w:rPr>
        <w:t>Dr.</w:t>
      </w:r>
      <w:r>
        <w:rPr>
          <w:spacing w:val="-6"/>
          <w:sz w:val="22"/>
        </w:rPr>
        <w:t> </w:t>
      </w:r>
      <w:r>
        <w:rPr>
          <w:sz w:val="22"/>
        </w:rPr>
        <w:t>Villarruel maintained</w:t>
      </w:r>
      <w:r>
        <w:rPr>
          <w:spacing w:val="-2"/>
          <w:sz w:val="22"/>
        </w:rPr>
        <w:t> </w:t>
      </w:r>
      <w:r>
        <w:rPr>
          <w:sz w:val="22"/>
        </w:rPr>
        <w:t>confidentiality.</w:t>
      </w:r>
    </w:p>
    <w:p>
      <w:pPr>
        <w:pStyle w:val="ListParagraph"/>
        <w:numPr>
          <w:ilvl w:val="1"/>
          <w:numId w:val="2"/>
        </w:numPr>
        <w:tabs>
          <w:tab w:pos="1539" w:val="left" w:leader="none"/>
          <w:tab w:pos="1540" w:val="left" w:leader="none"/>
        </w:tabs>
        <w:spacing w:line="254" w:lineRule="auto" w:before="0" w:after="0"/>
        <w:ind w:left="1540" w:right="1243" w:hanging="360"/>
        <w:jc w:val="left"/>
        <w:rPr>
          <w:sz w:val="22"/>
        </w:rPr>
      </w:pPr>
      <w:r>
        <w:rPr>
          <w:sz w:val="22"/>
        </w:rPr>
        <w:t>88.9%</w:t>
      </w:r>
      <w:r>
        <w:rPr>
          <w:spacing w:val="-7"/>
          <w:sz w:val="22"/>
        </w:rPr>
        <w:t> </w:t>
      </w:r>
      <w:r>
        <w:rPr>
          <w:sz w:val="22"/>
        </w:rPr>
        <w:t>of</w:t>
      </w:r>
      <w:r>
        <w:rPr>
          <w:spacing w:val="-6"/>
          <w:sz w:val="22"/>
        </w:rPr>
        <w:t> </w:t>
      </w:r>
      <w:r>
        <w:rPr>
          <w:sz w:val="22"/>
        </w:rPr>
        <w:t>respondents</w:t>
      </w:r>
      <w:r>
        <w:rPr>
          <w:spacing w:val="-6"/>
          <w:sz w:val="22"/>
        </w:rPr>
        <w:t> </w:t>
      </w:r>
      <w:r>
        <w:rPr>
          <w:i/>
          <w:sz w:val="22"/>
        </w:rPr>
        <w:t>Somewhat</w:t>
      </w:r>
      <w:r>
        <w:rPr>
          <w:i/>
          <w:spacing w:val="-6"/>
          <w:sz w:val="22"/>
        </w:rPr>
        <w:t> </w:t>
      </w:r>
      <w:r>
        <w:rPr>
          <w:sz w:val="22"/>
        </w:rPr>
        <w:t>or</w:t>
      </w:r>
      <w:r>
        <w:rPr>
          <w:spacing w:val="-6"/>
          <w:sz w:val="22"/>
        </w:rPr>
        <w:t> </w:t>
      </w:r>
      <w:r>
        <w:rPr>
          <w:i/>
          <w:sz w:val="22"/>
        </w:rPr>
        <w:t>Strongly</w:t>
      </w:r>
      <w:r>
        <w:rPr>
          <w:i/>
          <w:spacing w:val="-6"/>
          <w:sz w:val="22"/>
        </w:rPr>
        <w:t> </w:t>
      </w:r>
      <w:r>
        <w:rPr>
          <w:i/>
          <w:sz w:val="22"/>
        </w:rPr>
        <w:t>Agreed</w:t>
      </w:r>
      <w:r>
        <w:rPr>
          <w:i/>
          <w:spacing w:val="-6"/>
          <w:sz w:val="22"/>
        </w:rPr>
        <w:t> </w:t>
      </w:r>
      <w:r>
        <w:rPr>
          <w:sz w:val="22"/>
        </w:rPr>
        <w:t>that</w:t>
      </w:r>
      <w:r>
        <w:rPr>
          <w:spacing w:val="-6"/>
          <w:sz w:val="22"/>
        </w:rPr>
        <w:t> </w:t>
      </w:r>
      <w:r>
        <w:rPr>
          <w:spacing w:val="-5"/>
          <w:sz w:val="22"/>
        </w:rPr>
        <w:t>Dr.</w:t>
      </w:r>
      <w:r>
        <w:rPr>
          <w:spacing w:val="-6"/>
          <w:sz w:val="22"/>
        </w:rPr>
        <w:t> </w:t>
      </w:r>
      <w:r>
        <w:rPr>
          <w:sz w:val="22"/>
        </w:rPr>
        <w:t>Villarruel maintained</w:t>
      </w:r>
      <w:r>
        <w:rPr>
          <w:spacing w:val="-2"/>
          <w:sz w:val="22"/>
        </w:rPr>
        <w:t> </w:t>
      </w:r>
      <w:r>
        <w:rPr>
          <w:spacing w:val="-3"/>
          <w:sz w:val="22"/>
        </w:rPr>
        <w:t>neutrality.</w:t>
      </w:r>
    </w:p>
    <w:p>
      <w:pPr>
        <w:pStyle w:val="ListParagraph"/>
        <w:numPr>
          <w:ilvl w:val="0"/>
          <w:numId w:val="2"/>
        </w:numPr>
        <w:tabs>
          <w:tab w:pos="819" w:val="left" w:leader="none"/>
          <w:tab w:pos="820" w:val="left" w:leader="none"/>
        </w:tabs>
        <w:spacing w:line="276" w:lineRule="auto" w:before="0" w:after="0"/>
        <w:ind w:left="820" w:right="142" w:hanging="360"/>
        <w:jc w:val="left"/>
        <w:rPr>
          <w:sz w:val="22"/>
        </w:rPr>
      </w:pPr>
      <w:r>
        <w:rPr>
          <w:sz w:val="22"/>
        </w:rPr>
        <w:t>The lowest scores pertained to the belief of some respondents that </w:t>
      </w:r>
      <w:r>
        <w:rPr>
          <w:spacing w:val="-5"/>
          <w:sz w:val="22"/>
        </w:rPr>
        <w:t>Dr. </w:t>
      </w:r>
      <w:r>
        <w:rPr>
          <w:sz w:val="22"/>
        </w:rPr>
        <w:t>Villarruel was not able to “</w:t>
      </w:r>
      <w:r>
        <w:rPr>
          <w:i/>
          <w:sz w:val="22"/>
        </w:rPr>
        <w:t>[Act] as an effective mediator between parties.</w:t>
      </w:r>
      <w:r>
        <w:rPr>
          <w:sz w:val="22"/>
        </w:rPr>
        <w:t>” In this case, 25% of respondents either </w:t>
      </w:r>
      <w:r>
        <w:rPr>
          <w:i/>
          <w:sz w:val="22"/>
        </w:rPr>
        <w:t>Somewhat </w:t>
      </w:r>
      <w:r>
        <w:rPr>
          <w:sz w:val="22"/>
        </w:rPr>
        <w:t>or </w:t>
      </w:r>
      <w:r>
        <w:rPr>
          <w:i/>
          <w:sz w:val="22"/>
        </w:rPr>
        <w:t>Strongly Disagreed </w:t>
      </w:r>
      <w:r>
        <w:rPr>
          <w:sz w:val="22"/>
        </w:rPr>
        <w:t>that he was effective, while 75% </w:t>
      </w:r>
      <w:r>
        <w:rPr>
          <w:i/>
          <w:sz w:val="22"/>
        </w:rPr>
        <w:t>Strongly </w:t>
      </w:r>
      <w:r>
        <w:rPr>
          <w:i/>
          <w:sz w:val="22"/>
        </w:rPr>
        <w:t>Agreed</w:t>
      </w:r>
      <w:r>
        <w:rPr>
          <w:i/>
          <w:spacing w:val="-6"/>
          <w:sz w:val="22"/>
        </w:rPr>
        <w:t> </w:t>
      </w:r>
      <w:r>
        <w:rPr>
          <w:sz w:val="22"/>
        </w:rPr>
        <w:t>that</w:t>
      </w:r>
      <w:r>
        <w:rPr>
          <w:spacing w:val="-5"/>
          <w:sz w:val="22"/>
        </w:rPr>
        <w:t> </w:t>
      </w:r>
      <w:r>
        <w:rPr>
          <w:sz w:val="22"/>
        </w:rPr>
        <w:t>he</w:t>
      </w:r>
      <w:r>
        <w:rPr>
          <w:spacing w:val="-5"/>
          <w:sz w:val="22"/>
        </w:rPr>
        <w:t> </w:t>
      </w:r>
      <w:r>
        <w:rPr>
          <w:sz w:val="22"/>
        </w:rPr>
        <w:t>was</w:t>
      </w:r>
      <w:r>
        <w:rPr>
          <w:spacing w:val="-5"/>
          <w:sz w:val="22"/>
        </w:rPr>
        <w:t> </w:t>
      </w:r>
      <w:r>
        <w:rPr>
          <w:sz w:val="22"/>
        </w:rPr>
        <w:t>effective.</w:t>
      </w:r>
      <w:r>
        <w:rPr>
          <w:spacing w:val="-5"/>
          <w:sz w:val="22"/>
        </w:rPr>
        <w:t> </w:t>
      </w:r>
      <w:r>
        <w:rPr>
          <w:sz w:val="22"/>
        </w:rPr>
        <w:t>It</w:t>
      </w:r>
      <w:r>
        <w:rPr>
          <w:spacing w:val="-5"/>
          <w:sz w:val="22"/>
        </w:rPr>
        <w:t> </w:t>
      </w:r>
      <w:r>
        <w:rPr>
          <w:sz w:val="22"/>
        </w:rPr>
        <w:t>was</w:t>
      </w:r>
      <w:r>
        <w:rPr>
          <w:spacing w:val="-5"/>
          <w:sz w:val="22"/>
        </w:rPr>
        <w:t> </w:t>
      </w:r>
      <w:r>
        <w:rPr>
          <w:sz w:val="22"/>
        </w:rPr>
        <w:t>noted</w:t>
      </w:r>
      <w:r>
        <w:rPr>
          <w:spacing w:val="-5"/>
          <w:sz w:val="22"/>
        </w:rPr>
        <w:t> </w:t>
      </w:r>
      <w:r>
        <w:rPr>
          <w:sz w:val="22"/>
        </w:rPr>
        <w:t>that,</w:t>
      </w:r>
      <w:r>
        <w:rPr>
          <w:spacing w:val="-5"/>
          <w:sz w:val="22"/>
        </w:rPr>
        <w:t> </w:t>
      </w:r>
      <w:r>
        <w:rPr>
          <w:sz w:val="22"/>
        </w:rPr>
        <w:t>while</w:t>
      </w:r>
      <w:r>
        <w:rPr>
          <w:spacing w:val="-5"/>
          <w:sz w:val="22"/>
        </w:rPr>
        <w:t> </w:t>
      </w:r>
      <w:r>
        <w:rPr>
          <w:sz w:val="22"/>
        </w:rPr>
        <w:t>this</w:t>
      </w:r>
      <w:r>
        <w:rPr>
          <w:spacing w:val="-5"/>
          <w:sz w:val="22"/>
        </w:rPr>
        <w:t> </w:t>
      </w:r>
      <w:r>
        <w:rPr>
          <w:sz w:val="22"/>
        </w:rPr>
        <w:t>represented</w:t>
      </w:r>
      <w:r>
        <w:rPr>
          <w:spacing w:val="-5"/>
          <w:sz w:val="22"/>
        </w:rPr>
        <w:t> </w:t>
      </w:r>
      <w:r>
        <w:rPr>
          <w:sz w:val="22"/>
        </w:rPr>
        <w:t>his</w:t>
      </w:r>
      <w:r>
        <w:rPr>
          <w:spacing w:val="-5"/>
          <w:sz w:val="22"/>
        </w:rPr>
        <w:t> </w:t>
      </w:r>
      <w:r>
        <w:rPr>
          <w:sz w:val="22"/>
        </w:rPr>
        <w:t>lowest</w:t>
      </w:r>
      <w:r>
        <w:rPr>
          <w:spacing w:val="-5"/>
          <w:sz w:val="22"/>
        </w:rPr>
        <w:t> </w:t>
      </w:r>
      <w:r>
        <w:rPr>
          <w:sz w:val="22"/>
        </w:rPr>
        <w:t>rating,</w:t>
      </w:r>
      <w:r>
        <w:rPr>
          <w:spacing w:val="-6"/>
          <w:sz w:val="22"/>
        </w:rPr>
        <w:t> </w:t>
      </w:r>
      <w:r>
        <w:rPr>
          <w:sz w:val="22"/>
        </w:rPr>
        <w:t>it was still quite</w:t>
      </w:r>
      <w:r>
        <w:rPr>
          <w:spacing w:val="-4"/>
          <w:sz w:val="22"/>
        </w:rPr>
        <w:t> </w:t>
      </w:r>
      <w:r>
        <w:rPr>
          <w:sz w:val="22"/>
        </w:rPr>
        <w:t>positive.</w:t>
      </w:r>
    </w:p>
    <w:p>
      <w:pPr>
        <w:pStyle w:val="ListParagraph"/>
        <w:numPr>
          <w:ilvl w:val="0"/>
          <w:numId w:val="2"/>
        </w:numPr>
        <w:tabs>
          <w:tab w:pos="819" w:val="left" w:leader="none"/>
          <w:tab w:pos="820" w:val="left" w:leader="none"/>
        </w:tabs>
        <w:spacing w:line="276" w:lineRule="auto" w:before="0" w:after="0"/>
        <w:ind w:left="820" w:right="467" w:hanging="360"/>
        <w:jc w:val="left"/>
        <w:rPr>
          <w:sz w:val="22"/>
        </w:rPr>
      </w:pPr>
      <w:r>
        <w:rPr>
          <w:sz w:val="22"/>
        </w:rPr>
        <w:t>His ratings from those who self-identified as being a member of an underrepresented minority were markedly lower than his ratings from those who did not. </w:t>
      </w:r>
      <w:r>
        <w:rPr>
          <w:spacing w:val="-3"/>
          <w:sz w:val="22"/>
        </w:rPr>
        <w:t>However, </w:t>
      </w:r>
      <w:r>
        <w:rPr>
          <w:sz w:val="22"/>
        </w:rPr>
        <w:t>there was</w:t>
      </w:r>
      <w:r>
        <w:rPr>
          <w:spacing w:val="-6"/>
          <w:sz w:val="22"/>
        </w:rPr>
        <w:t> </w:t>
      </w:r>
      <w:r>
        <w:rPr>
          <w:sz w:val="22"/>
        </w:rPr>
        <w:t>a</w:t>
      </w:r>
      <w:r>
        <w:rPr>
          <w:spacing w:val="-5"/>
          <w:sz w:val="22"/>
        </w:rPr>
        <w:t> </w:t>
      </w:r>
      <w:r>
        <w:rPr>
          <w:sz w:val="22"/>
        </w:rPr>
        <w:t>large</w:t>
      </w:r>
      <w:r>
        <w:rPr>
          <w:spacing w:val="-5"/>
          <w:sz w:val="22"/>
        </w:rPr>
        <w:t> </w:t>
      </w:r>
      <w:r>
        <w:rPr>
          <w:sz w:val="22"/>
        </w:rPr>
        <w:t>discrepancy</w:t>
      </w:r>
      <w:r>
        <w:rPr>
          <w:spacing w:val="-5"/>
          <w:sz w:val="22"/>
        </w:rPr>
        <w:t> </w:t>
      </w:r>
      <w:r>
        <w:rPr>
          <w:sz w:val="22"/>
        </w:rPr>
        <w:t>between</w:t>
      </w:r>
      <w:r>
        <w:rPr>
          <w:spacing w:val="-6"/>
          <w:sz w:val="22"/>
        </w:rPr>
        <w:t> </w:t>
      </w:r>
      <w:r>
        <w:rPr>
          <w:sz w:val="22"/>
        </w:rPr>
        <w:t>the</w:t>
      </w:r>
      <w:r>
        <w:rPr>
          <w:spacing w:val="-5"/>
          <w:sz w:val="22"/>
        </w:rPr>
        <w:t> </w:t>
      </w:r>
      <w:r>
        <w:rPr>
          <w:sz w:val="22"/>
        </w:rPr>
        <w:t>number</w:t>
      </w:r>
      <w:r>
        <w:rPr>
          <w:spacing w:val="-5"/>
          <w:sz w:val="22"/>
        </w:rPr>
        <w:t> </w:t>
      </w:r>
      <w:r>
        <w:rPr>
          <w:sz w:val="22"/>
        </w:rPr>
        <w:t>of</w:t>
      </w:r>
      <w:r>
        <w:rPr>
          <w:spacing w:val="-5"/>
          <w:sz w:val="22"/>
        </w:rPr>
        <w:t> </w:t>
      </w:r>
      <w:r>
        <w:rPr>
          <w:sz w:val="22"/>
        </w:rPr>
        <w:t>survey</w:t>
      </w:r>
      <w:r>
        <w:rPr>
          <w:spacing w:val="-5"/>
          <w:sz w:val="22"/>
        </w:rPr>
        <w:t> </w:t>
      </w:r>
      <w:r>
        <w:rPr>
          <w:sz w:val="22"/>
        </w:rPr>
        <w:t>respondents</w:t>
      </w:r>
      <w:r>
        <w:rPr>
          <w:spacing w:val="-6"/>
          <w:sz w:val="22"/>
        </w:rPr>
        <w:t> </w:t>
      </w:r>
      <w:r>
        <w:rPr>
          <w:sz w:val="22"/>
        </w:rPr>
        <w:t>between</w:t>
      </w:r>
      <w:r>
        <w:rPr>
          <w:spacing w:val="-5"/>
          <w:sz w:val="22"/>
        </w:rPr>
        <w:t> </w:t>
      </w:r>
      <w:r>
        <w:rPr>
          <w:sz w:val="22"/>
        </w:rPr>
        <w:t>the</w:t>
      </w:r>
      <w:r>
        <w:rPr>
          <w:spacing w:val="-5"/>
          <w:sz w:val="22"/>
        </w:rPr>
        <w:t> </w:t>
      </w:r>
      <w:r>
        <w:rPr>
          <w:sz w:val="22"/>
        </w:rPr>
        <w:t>two groups (i.e., approximately 5 vs 26, respectively), and thus any analysis to determine whether the difference was </w:t>
      </w:r>
      <w:r>
        <w:rPr>
          <w:i/>
          <w:sz w:val="22"/>
        </w:rPr>
        <w:t>significant </w:t>
      </w:r>
      <w:r>
        <w:rPr>
          <w:sz w:val="22"/>
        </w:rPr>
        <w:t>suffers from low statistical</w:t>
      </w:r>
      <w:r>
        <w:rPr>
          <w:spacing w:val="-25"/>
          <w:sz w:val="22"/>
        </w:rPr>
        <w:t> </w:t>
      </w:r>
      <w:r>
        <w:rPr>
          <w:spacing w:val="-3"/>
          <w:sz w:val="22"/>
        </w:rPr>
        <w:t>power.</w:t>
      </w:r>
    </w:p>
    <w:p>
      <w:pPr>
        <w:pStyle w:val="ListParagraph"/>
        <w:numPr>
          <w:ilvl w:val="0"/>
          <w:numId w:val="2"/>
        </w:numPr>
        <w:tabs>
          <w:tab w:pos="819" w:val="left" w:leader="none"/>
          <w:tab w:pos="820" w:val="left" w:leader="none"/>
        </w:tabs>
        <w:spacing w:line="276" w:lineRule="auto" w:before="0" w:after="0"/>
        <w:ind w:left="820" w:right="593" w:hanging="360"/>
        <w:jc w:val="left"/>
        <w:rPr>
          <w:sz w:val="22"/>
        </w:rPr>
      </w:pPr>
      <w:r>
        <w:rPr>
          <w:sz w:val="22"/>
        </w:rPr>
        <w:t>Open</w:t>
      </w:r>
      <w:r>
        <w:rPr>
          <w:spacing w:val="-7"/>
          <w:sz w:val="22"/>
        </w:rPr>
        <w:t> </w:t>
      </w:r>
      <w:r>
        <w:rPr>
          <w:sz w:val="22"/>
        </w:rPr>
        <w:t>ended</w:t>
      </w:r>
      <w:r>
        <w:rPr>
          <w:spacing w:val="-6"/>
          <w:sz w:val="22"/>
        </w:rPr>
        <w:t> </w:t>
      </w:r>
      <w:r>
        <w:rPr>
          <w:sz w:val="22"/>
        </w:rPr>
        <w:t>feedback</w:t>
      </w:r>
      <w:r>
        <w:rPr>
          <w:spacing w:val="-6"/>
          <w:sz w:val="22"/>
        </w:rPr>
        <w:t> </w:t>
      </w:r>
      <w:r>
        <w:rPr>
          <w:sz w:val="22"/>
        </w:rPr>
        <w:t>commended</w:t>
      </w:r>
      <w:r>
        <w:rPr>
          <w:spacing w:val="-7"/>
          <w:sz w:val="22"/>
        </w:rPr>
        <w:t> </w:t>
      </w:r>
      <w:r>
        <w:rPr>
          <w:spacing w:val="-5"/>
          <w:sz w:val="22"/>
        </w:rPr>
        <w:t>Dr.</w:t>
      </w:r>
      <w:r>
        <w:rPr>
          <w:spacing w:val="-6"/>
          <w:sz w:val="22"/>
        </w:rPr>
        <w:t> </w:t>
      </w:r>
      <w:r>
        <w:rPr>
          <w:sz w:val="22"/>
        </w:rPr>
        <w:t>Villarruel</w:t>
      </w:r>
      <w:r>
        <w:rPr>
          <w:spacing w:val="-6"/>
          <w:sz w:val="22"/>
        </w:rPr>
        <w:t> </w:t>
      </w:r>
      <w:r>
        <w:rPr>
          <w:sz w:val="22"/>
        </w:rPr>
        <w:t>on</w:t>
      </w:r>
      <w:r>
        <w:rPr>
          <w:spacing w:val="-7"/>
          <w:sz w:val="22"/>
        </w:rPr>
        <w:t> </w:t>
      </w:r>
      <w:r>
        <w:rPr>
          <w:sz w:val="22"/>
        </w:rPr>
        <w:t>being</w:t>
      </w:r>
      <w:r>
        <w:rPr>
          <w:spacing w:val="-6"/>
          <w:sz w:val="22"/>
        </w:rPr>
        <w:t> </w:t>
      </w:r>
      <w:r>
        <w:rPr>
          <w:sz w:val="22"/>
        </w:rPr>
        <w:t>courteous,</w:t>
      </w:r>
      <w:r>
        <w:rPr>
          <w:spacing w:val="-6"/>
          <w:sz w:val="22"/>
        </w:rPr>
        <w:t> </w:t>
      </w:r>
      <w:r>
        <w:rPr>
          <w:sz w:val="22"/>
        </w:rPr>
        <w:t>dedicated,</w:t>
      </w:r>
      <w:r>
        <w:rPr>
          <w:spacing w:val="-7"/>
          <w:sz w:val="22"/>
        </w:rPr>
        <w:t> </w:t>
      </w:r>
      <w:r>
        <w:rPr>
          <w:sz w:val="22"/>
        </w:rPr>
        <w:t>and available.</w:t>
      </w:r>
    </w:p>
    <w:p>
      <w:pPr>
        <w:pStyle w:val="ListParagraph"/>
        <w:numPr>
          <w:ilvl w:val="0"/>
          <w:numId w:val="2"/>
        </w:numPr>
        <w:tabs>
          <w:tab w:pos="819" w:val="left" w:leader="none"/>
          <w:tab w:pos="820" w:val="left" w:leader="none"/>
        </w:tabs>
        <w:spacing w:line="240" w:lineRule="auto" w:before="0" w:after="0"/>
        <w:ind w:left="820" w:right="0" w:hanging="360"/>
        <w:jc w:val="left"/>
        <w:rPr>
          <w:sz w:val="22"/>
        </w:rPr>
      </w:pPr>
      <w:r>
        <w:rPr>
          <w:sz w:val="22"/>
        </w:rPr>
        <w:t>The</w:t>
      </w:r>
      <w:r>
        <w:rPr>
          <w:spacing w:val="-4"/>
          <w:sz w:val="22"/>
        </w:rPr>
        <w:t> </w:t>
      </w:r>
      <w:r>
        <w:rPr>
          <w:sz w:val="22"/>
        </w:rPr>
        <w:t>review</w:t>
      </w:r>
      <w:r>
        <w:rPr>
          <w:spacing w:val="-3"/>
          <w:sz w:val="22"/>
        </w:rPr>
        <w:t> </w:t>
      </w:r>
      <w:r>
        <w:rPr>
          <w:sz w:val="22"/>
        </w:rPr>
        <w:t>for</w:t>
      </w:r>
      <w:r>
        <w:rPr>
          <w:spacing w:val="-3"/>
          <w:sz w:val="22"/>
        </w:rPr>
        <w:t> </w:t>
      </w:r>
      <w:r>
        <w:rPr>
          <w:sz w:val="22"/>
        </w:rPr>
        <w:t>the</w:t>
      </w:r>
      <w:r>
        <w:rPr>
          <w:spacing w:val="-3"/>
          <w:sz w:val="22"/>
        </w:rPr>
        <w:t> </w:t>
      </w:r>
      <w:r>
        <w:rPr>
          <w:sz w:val="22"/>
        </w:rPr>
        <w:t>2020</w:t>
      </w:r>
      <w:r>
        <w:rPr>
          <w:spacing w:val="-3"/>
          <w:sz w:val="22"/>
        </w:rPr>
        <w:t> </w:t>
      </w:r>
      <w:r>
        <w:rPr>
          <w:sz w:val="22"/>
        </w:rPr>
        <w:t>calendar</w:t>
      </w:r>
      <w:r>
        <w:rPr>
          <w:spacing w:val="-3"/>
          <w:sz w:val="22"/>
        </w:rPr>
        <w:t> </w:t>
      </w:r>
      <w:r>
        <w:rPr>
          <w:sz w:val="22"/>
        </w:rPr>
        <w:t>year</w:t>
      </w:r>
      <w:r>
        <w:rPr>
          <w:spacing w:val="-3"/>
          <w:sz w:val="22"/>
        </w:rPr>
        <w:t> </w:t>
      </w:r>
      <w:r>
        <w:rPr>
          <w:sz w:val="22"/>
        </w:rPr>
        <w:t>did</w:t>
      </w:r>
      <w:r>
        <w:rPr>
          <w:spacing w:val="-3"/>
          <w:sz w:val="22"/>
        </w:rPr>
        <w:t> </w:t>
      </w:r>
      <w:r>
        <w:rPr>
          <w:sz w:val="22"/>
        </w:rPr>
        <w:t>not</w:t>
      </w:r>
      <w:r>
        <w:rPr>
          <w:spacing w:val="-4"/>
          <w:sz w:val="22"/>
        </w:rPr>
        <w:t> </w:t>
      </w:r>
      <w:r>
        <w:rPr>
          <w:sz w:val="22"/>
        </w:rPr>
        <w:t>cite</w:t>
      </w:r>
      <w:r>
        <w:rPr>
          <w:spacing w:val="-3"/>
          <w:sz w:val="22"/>
        </w:rPr>
        <w:t> </w:t>
      </w:r>
      <w:r>
        <w:rPr>
          <w:sz w:val="22"/>
        </w:rPr>
        <w:t>any</w:t>
      </w:r>
      <w:r>
        <w:rPr>
          <w:spacing w:val="-3"/>
          <w:sz w:val="22"/>
        </w:rPr>
        <w:t> </w:t>
      </w:r>
      <w:r>
        <w:rPr>
          <w:sz w:val="22"/>
        </w:rPr>
        <w:t>items</w:t>
      </w:r>
      <w:r>
        <w:rPr>
          <w:spacing w:val="-3"/>
          <w:sz w:val="22"/>
        </w:rPr>
        <w:t> </w:t>
      </w:r>
      <w:r>
        <w:rPr>
          <w:sz w:val="22"/>
        </w:rPr>
        <w:t>of</w:t>
      </w:r>
      <w:r>
        <w:rPr>
          <w:spacing w:val="-3"/>
          <w:sz w:val="22"/>
        </w:rPr>
        <w:t> </w:t>
      </w:r>
      <w:r>
        <w:rPr>
          <w:sz w:val="22"/>
        </w:rPr>
        <w:t>self-reflection</w:t>
      </w:r>
      <w:r>
        <w:rPr>
          <w:spacing w:val="-3"/>
          <w:sz w:val="22"/>
        </w:rPr>
        <w:t> </w:t>
      </w:r>
      <w:r>
        <w:rPr>
          <w:sz w:val="22"/>
        </w:rPr>
        <w:t>that</w:t>
      </w:r>
      <w:r>
        <w:rPr>
          <w:spacing w:val="-3"/>
          <w:sz w:val="22"/>
        </w:rPr>
        <w:t> </w:t>
      </w:r>
      <w:r>
        <w:rPr>
          <w:spacing w:val="-5"/>
          <w:sz w:val="22"/>
        </w:rPr>
        <w:t>Dr.</w:t>
      </w:r>
    </w:p>
    <w:p>
      <w:pPr>
        <w:pStyle w:val="BodyText"/>
        <w:spacing w:before="38"/>
        <w:ind w:left="820"/>
      </w:pPr>
      <w:r>
        <w:rPr/>
        <w:t>Villarrual may have provided to the committee for that year under review.</w:t>
      </w:r>
    </w:p>
    <w:p>
      <w:pPr>
        <w:pStyle w:val="ListParagraph"/>
        <w:numPr>
          <w:ilvl w:val="0"/>
          <w:numId w:val="2"/>
        </w:numPr>
        <w:tabs>
          <w:tab w:pos="819" w:val="left" w:leader="none"/>
          <w:tab w:pos="820" w:val="left" w:leader="none"/>
        </w:tabs>
        <w:spacing w:line="276" w:lineRule="auto" w:before="38" w:after="0"/>
        <w:ind w:left="820" w:right="285" w:hanging="360"/>
        <w:jc w:val="left"/>
        <w:rPr>
          <w:sz w:val="22"/>
        </w:rPr>
      </w:pPr>
      <w:r>
        <w:rPr>
          <w:sz w:val="22"/>
        </w:rPr>
        <w:t>Overall,</w:t>
      </w:r>
      <w:r>
        <w:rPr>
          <w:spacing w:val="-6"/>
          <w:sz w:val="22"/>
        </w:rPr>
        <w:t> </w:t>
      </w:r>
      <w:r>
        <w:rPr>
          <w:sz w:val="22"/>
        </w:rPr>
        <w:t>the</w:t>
      </w:r>
      <w:r>
        <w:rPr>
          <w:spacing w:val="-6"/>
          <w:sz w:val="22"/>
        </w:rPr>
        <w:t> </w:t>
      </w:r>
      <w:r>
        <w:rPr>
          <w:sz w:val="22"/>
        </w:rPr>
        <w:t>review</w:t>
      </w:r>
      <w:r>
        <w:rPr>
          <w:spacing w:val="-5"/>
          <w:sz w:val="22"/>
        </w:rPr>
        <w:t> </w:t>
      </w:r>
      <w:r>
        <w:rPr>
          <w:sz w:val="22"/>
        </w:rPr>
        <w:t>found</w:t>
      </w:r>
      <w:r>
        <w:rPr>
          <w:spacing w:val="-6"/>
          <w:sz w:val="22"/>
        </w:rPr>
        <w:t> </w:t>
      </w:r>
      <w:r>
        <w:rPr>
          <w:spacing w:val="-5"/>
          <w:sz w:val="22"/>
        </w:rPr>
        <w:t>Dr.</w:t>
      </w:r>
      <w:r>
        <w:rPr>
          <w:spacing w:val="-6"/>
          <w:sz w:val="22"/>
        </w:rPr>
        <w:t> </w:t>
      </w:r>
      <w:r>
        <w:rPr>
          <w:sz w:val="22"/>
        </w:rPr>
        <w:t>Villarruel’s</w:t>
      </w:r>
      <w:r>
        <w:rPr>
          <w:spacing w:val="-5"/>
          <w:sz w:val="22"/>
        </w:rPr>
        <w:t> </w:t>
      </w:r>
      <w:r>
        <w:rPr>
          <w:sz w:val="22"/>
        </w:rPr>
        <w:t>performance</w:t>
      </w:r>
      <w:r>
        <w:rPr>
          <w:spacing w:val="-6"/>
          <w:sz w:val="22"/>
        </w:rPr>
        <w:t> </w:t>
      </w:r>
      <w:r>
        <w:rPr>
          <w:sz w:val="22"/>
        </w:rPr>
        <w:t>in</w:t>
      </w:r>
      <w:r>
        <w:rPr>
          <w:spacing w:val="-5"/>
          <w:sz w:val="22"/>
        </w:rPr>
        <w:t> </w:t>
      </w:r>
      <w:r>
        <w:rPr>
          <w:sz w:val="22"/>
        </w:rPr>
        <w:t>the</w:t>
      </w:r>
      <w:r>
        <w:rPr>
          <w:spacing w:val="-6"/>
          <w:sz w:val="22"/>
        </w:rPr>
        <w:t> </w:t>
      </w:r>
      <w:r>
        <w:rPr>
          <w:sz w:val="22"/>
        </w:rPr>
        <w:t>position</w:t>
      </w:r>
      <w:r>
        <w:rPr>
          <w:spacing w:val="-6"/>
          <w:sz w:val="22"/>
        </w:rPr>
        <w:t> </w:t>
      </w:r>
      <w:r>
        <w:rPr>
          <w:sz w:val="22"/>
        </w:rPr>
        <w:t>as</w:t>
      </w:r>
      <w:r>
        <w:rPr>
          <w:spacing w:val="-5"/>
          <w:sz w:val="22"/>
        </w:rPr>
        <w:t> </w:t>
      </w:r>
      <w:r>
        <w:rPr>
          <w:sz w:val="22"/>
        </w:rPr>
        <w:t>FG</w:t>
      </w:r>
      <w:r>
        <w:rPr>
          <w:spacing w:val="-6"/>
          <w:sz w:val="22"/>
        </w:rPr>
        <w:t> </w:t>
      </w:r>
      <w:r>
        <w:rPr>
          <w:sz w:val="22"/>
        </w:rPr>
        <w:t>Official</w:t>
      </w:r>
      <w:r>
        <w:rPr>
          <w:spacing w:val="-5"/>
          <w:sz w:val="22"/>
        </w:rPr>
        <w:t> </w:t>
      </w:r>
      <w:r>
        <w:rPr>
          <w:sz w:val="22"/>
        </w:rPr>
        <w:t>to</w:t>
      </w:r>
      <w:r>
        <w:rPr>
          <w:spacing w:val="-6"/>
          <w:sz w:val="22"/>
        </w:rPr>
        <w:t> </w:t>
      </w:r>
      <w:r>
        <w:rPr>
          <w:sz w:val="22"/>
        </w:rPr>
        <w:t>be “</w:t>
      </w:r>
      <w:r>
        <w:rPr>
          <w:i/>
          <w:sz w:val="22"/>
        </w:rPr>
        <w:t>positive with no areas seen as especially</w:t>
      </w:r>
      <w:r>
        <w:rPr>
          <w:i/>
          <w:spacing w:val="-12"/>
          <w:sz w:val="22"/>
        </w:rPr>
        <w:t> </w:t>
      </w:r>
      <w:r>
        <w:rPr>
          <w:i/>
          <w:sz w:val="22"/>
        </w:rPr>
        <w:t>problematic</w:t>
      </w:r>
      <w:r>
        <w:rPr>
          <w:sz w:val="22"/>
        </w:rPr>
        <w:t>.”</w:t>
      </w:r>
    </w:p>
    <w:p>
      <w:pPr>
        <w:pStyle w:val="ListParagraph"/>
        <w:numPr>
          <w:ilvl w:val="0"/>
          <w:numId w:val="2"/>
        </w:numPr>
        <w:tabs>
          <w:tab w:pos="819" w:val="left" w:leader="none"/>
          <w:tab w:pos="820" w:val="left" w:leader="none"/>
        </w:tabs>
        <w:spacing w:line="240" w:lineRule="auto" w:before="0" w:after="0"/>
        <w:ind w:left="820" w:right="0" w:hanging="360"/>
        <w:jc w:val="left"/>
        <w:rPr>
          <w:sz w:val="22"/>
        </w:rPr>
      </w:pPr>
      <w:r>
        <w:rPr>
          <w:sz w:val="22"/>
        </w:rPr>
        <w:t>The full 2020 calendar year review is attached as </w:t>
      </w:r>
      <w:r>
        <w:rPr>
          <w:i/>
          <w:sz w:val="22"/>
        </w:rPr>
        <w:t>Appendix</w:t>
      </w:r>
      <w:r>
        <w:rPr>
          <w:i/>
          <w:spacing w:val="-18"/>
          <w:sz w:val="22"/>
        </w:rPr>
        <w:t> </w:t>
      </w:r>
      <w:r>
        <w:rPr>
          <w:i/>
          <w:sz w:val="22"/>
        </w:rPr>
        <w:t>2</w:t>
      </w:r>
      <w:r>
        <w:rPr>
          <w:sz w:val="22"/>
        </w:rPr>
        <w:t>.</w:t>
      </w:r>
    </w:p>
    <w:p>
      <w:pPr>
        <w:spacing w:after="0" w:line="240" w:lineRule="auto"/>
        <w:jc w:val="left"/>
        <w:rPr>
          <w:sz w:val="22"/>
        </w:rPr>
        <w:sectPr>
          <w:pgSz w:w="12240" w:h="15840"/>
          <w:pgMar w:header="0" w:footer="724" w:top="1360" w:bottom="1000" w:left="1340" w:right="1300"/>
        </w:sectPr>
      </w:pPr>
    </w:p>
    <w:p>
      <w:pPr>
        <w:pStyle w:val="Heading1"/>
        <w:rPr>
          <w:u w:val="none"/>
        </w:rPr>
      </w:pPr>
      <w:r>
        <w:rPr>
          <w:rFonts w:ascii="Times New Roman" w:hAnsi="Times New Roman"/>
          <w:b w:val="0"/>
          <w:spacing w:val="-60"/>
          <w:u w:val="thick"/>
        </w:rPr>
        <w:t> </w:t>
      </w:r>
      <w:r>
        <w:rPr>
          <w:u w:val="thick"/>
        </w:rPr>
        <w:t>Synopsis of the </w:t>
      </w:r>
      <w:r>
        <w:rPr>
          <w:spacing w:val="-5"/>
          <w:u w:val="thick"/>
        </w:rPr>
        <w:t>Dr. </w:t>
      </w:r>
      <w:r>
        <w:rPr>
          <w:u w:val="thick"/>
        </w:rPr>
        <w:t>Villarruel’s Annual Review from the 2021 Calendar </w:t>
      </w:r>
      <w:r>
        <w:rPr>
          <w:spacing w:val="-4"/>
          <w:u w:val="thick"/>
        </w:rPr>
        <w:t>Year</w:t>
      </w:r>
    </w:p>
    <w:p>
      <w:pPr>
        <w:pStyle w:val="BodyText"/>
        <w:spacing w:line="276" w:lineRule="auto" w:before="41"/>
        <w:ind w:left="100"/>
      </w:pPr>
      <w:r>
        <w:rPr/>
        <w:t>In the 2021 calendar year, 82 individuals were solicited for feedback regarding their interactions with the FG Office and with Dr. Villarruel. Of those, 40 provided feedback.</w:t>
      </w:r>
    </w:p>
    <w:p>
      <w:pPr>
        <w:spacing w:before="0"/>
        <w:ind w:left="100" w:right="0" w:firstLine="0"/>
        <w:jc w:val="left"/>
        <w:rPr>
          <w:i/>
          <w:sz w:val="22"/>
        </w:rPr>
      </w:pPr>
      <w:r>
        <w:rPr>
          <w:i/>
          <w:sz w:val="22"/>
        </w:rPr>
        <w:t>Report Highlights:</w:t>
      </w:r>
    </w:p>
    <w:p>
      <w:pPr>
        <w:pStyle w:val="ListParagraph"/>
        <w:numPr>
          <w:ilvl w:val="0"/>
          <w:numId w:val="2"/>
        </w:numPr>
        <w:tabs>
          <w:tab w:pos="819" w:val="left" w:leader="none"/>
          <w:tab w:pos="820" w:val="left" w:leader="none"/>
        </w:tabs>
        <w:spacing w:line="254" w:lineRule="auto" w:before="38" w:after="0"/>
        <w:ind w:left="820" w:right="251" w:hanging="360"/>
        <w:jc w:val="left"/>
        <w:rPr>
          <w:sz w:val="22"/>
        </w:rPr>
      </w:pPr>
      <w:r>
        <w:rPr>
          <w:sz w:val="22"/>
        </w:rPr>
        <w:t>The</w:t>
      </w:r>
      <w:r>
        <w:rPr>
          <w:spacing w:val="-6"/>
          <w:sz w:val="22"/>
        </w:rPr>
        <w:t> </w:t>
      </w:r>
      <w:r>
        <w:rPr>
          <w:sz w:val="22"/>
        </w:rPr>
        <w:t>FG</w:t>
      </w:r>
      <w:r>
        <w:rPr>
          <w:spacing w:val="-6"/>
          <w:sz w:val="22"/>
        </w:rPr>
        <w:t> </w:t>
      </w:r>
      <w:r>
        <w:rPr>
          <w:sz w:val="22"/>
        </w:rPr>
        <w:t>Office</w:t>
      </w:r>
      <w:r>
        <w:rPr>
          <w:spacing w:val="-5"/>
          <w:sz w:val="22"/>
        </w:rPr>
        <w:t> </w:t>
      </w:r>
      <w:r>
        <w:rPr>
          <w:sz w:val="22"/>
        </w:rPr>
        <w:t>received</w:t>
      </w:r>
      <w:r>
        <w:rPr>
          <w:spacing w:val="-6"/>
          <w:sz w:val="22"/>
        </w:rPr>
        <w:t> </w:t>
      </w:r>
      <w:r>
        <w:rPr>
          <w:sz w:val="22"/>
        </w:rPr>
        <w:t>high</w:t>
      </w:r>
      <w:r>
        <w:rPr>
          <w:spacing w:val="-5"/>
          <w:sz w:val="22"/>
        </w:rPr>
        <w:t> </w:t>
      </w:r>
      <w:r>
        <w:rPr>
          <w:sz w:val="22"/>
        </w:rPr>
        <w:t>ratings</w:t>
      </w:r>
      <w:r>
        <w:rPr>
          <w:spacing w:val="-6"/>
          <w:sz w:val="22"/>
        </w:rPr>
        <w:t> </w:t>
      </w:r>
      <w:r>
        <w:rPr>
          <w:sz w:val="22"/>
        </w:rPr>
        <w:t>for</w:t>
      </w:r>
      <w:r>
        <w:rPr>
          <w:spacing w:val="-6"/>
          <w:sz w:val="22"/>
        </w:rPr>
        <w:t> </w:t>
      </w:r>
      <w:r>
        <w:rPr>
          <w:sz w:val="22"/>
        </w:rPr>
        <w:t>being</w:t>
      </w:r>
      <w:r>
        <w:rPr>
          <w:spacing w:val="-5"/>
          <w:sz w:val="22"/>
        </w:rPr>
        <w:t> </w:t>
      </w:r>
      <w:r>
        <w:rPr>
          <w:sz w:val="22"/>
        </w:rPr>
        <w:t>approachable,</w:t>
      </w:r>
      <w:r>
        <w:rPr>
          <w:spacing w:val="-6"/>
          <w:sz w:val="22"/>
        </w:rPr>
        <w:t> </w:t>
      </w:r>
      <w:r>
        <w:rPr>
          <w:sz w:val="22"/>
        </w:rPr>
        <w:t>responding</w:t>
      </w:r>
      <w:r>
        <w:rPr>
          <w:spacing w:val="-5"/>
          <w:sz w:val="22"/>
        </w:rPr>
        <w:t> </w:t>
      </w:r>
      <w:r>
        <w:rPr>
          <w:sz w:val="22"/>
        </w:rPr>
        <w:t>to</w:t>
      </w:r>
      <w:r>
        <w:rPr>
          <w:spacing w:val="-6"/>
          <w:sz w:val="22"/>
        </w:rPr>
        <w:t> </w:t>
      </w:r>
      <w:r>
        <w:rPr>
          <w:sz w:val="22"/>
        </w:rPr>
        <w:t>inquiries</w:t>
      </w:r>
      <w:r>
        <w:rPr>
          <w:spacing w:val="-5"/>
          <w:sz w:val="22"/>
        </w:rPr>
        <w:t> </w:t>
      </w:r>
      <w:r>
        <w:rPr>
          <w:sz w:val="22"/>
        </w:rPr>
        <w:t>in</w:t>
      </w:r>
      <w:r>
        <w:rPr>
          <w:spacing w:val="-6"/>
          <w:sz w:val="22"/>
        </w:rPr>
        <w:t> </w:t>
      </w:r>
      <w:r>
        <w:rPr>
          <w:sz w:val="22"/>
        </w:rPr>
        <w:t>a timely </w:t>
      </w:r>
      <w:r>
        <w:rPr>
          <w:spacing w:val="-3"/>
          <w:sz w:val="22"/>
        </w:rPr>
        <w:t>manner, </w:t>
      </w:r>
      <w:r>
        <w:rPr>
          <w:sz w:val="22"/>
        </w:rPr>
        <w:t>their knowledge of university policies and regulations, and their willingness to schedule meetings at times that were convenient for</w:t>
      </w:r>
      <w:r>
        <w:rPr>
          <w:spacing w:val="-35"/>
          <w:sz w:val="22"/>
        </w:rPr>
        <w:t> </w:t>
      </w:r>
      <w:r>
        <w:rPr>
          <w:sz w:val="22"/>
        </w:rPr>
        <w:t>respondents.</w:t>
      </w:r>
    </w:p>
    <w:p>
      <w:pPr>
        <w:pStyle w:val="ListParagraph"/>
        <w:numPr>
          <w:ilvl w:val="0"/>
          <w:numId w:val="2"/>
        </w:numPr>
        <w:tabs>
          <w:tab w:pos="819" w:val="left" w:leader="none"/>
          <w:tab w:pos="820" w:val="left" w:leader="none"/>
        </w:tabs>
        <w:spacing w:line="254" w:lineRule="auto" w:before="0" w:after="0"/>
        <w:ind w:left="820" w:right="729" w:hanging="360"/>
        <w:jc w:val="left"/>
        <w:rPr>
          <w:sz w:val="22"/>
        </w:rPr>
      </w:pPr>
      <w:r>
        <w:rPr>
          <w:spacing w:val="-5"/>
          <w:sz w:val="22"/>
        </w:rPr>
        <w:t>Dr.</w:t>
      </w:r>
      <w:r>
        <w:rPr>
          <w:spacing w:val="-6"/>
          <w:sz w:val="22"/>
        </w:rPr>
        <w:t> </w:t>
      </w:r>
      <w:r>
        <w:rPr>
          <w:sz w:val="22"/>
        </w:rPr>
        <w:t>Villarruel</w:t>
      </w:r>
      <w:r>
        <w:rPr>
          <w:spacing w:val="-5"/>
          <w:sz w:val="22"/>
        </w:rPr>
        <w:t> </w:t>
      </w:r>
      <w:r>
        <w:rPr>
          <w:sz w:val="22"/>
        </w:rPr>
        <w:t>consistently</w:t>
      </w:r>
      <w:r>
        <w:rPr>
          <w:spacing w:val="-5"/>
          <w:sz w:val="22"/>
        </w:rPr>
        <w:t> </w:t>
      </w:r>
      <w:r>
        <w:rPr>
          <w:sz w:val="22"/>
        </w:rPr>
        <w:t>rated</w:t>
      </w:r>
      <w:r>
        <w:rPr>
          <w:spacing w:val="-6"/>
          <w:sz w:val="22"/>
        </w:rPr>
        <w:t> </w:t>
      </w:r>
      <w:r>
        <w:rPr>
          <w:sz w:val="22"/>
        </w:rPr>
        <w:t>very</w:t>
      </w:r>
      <w:r>
        <w:rPr>
          <w:spacing w:val="-5"/>
          <w:sz w:val="22"/>
        </w:rPr>
        <w:t> </w:t>
      </w:r>
      <w:r>
        <w:rPr>
          <w:sz w:val="22"/>
        </w:rPr>
        <w:t>highly</w:t>
      </w:r>
      <w:r>
        <w:rPr>
          <w:spacing w:val="-5"/>
          <w:sz w:val="22"/>
        </w:rPr>
        <w:t> </w:t>
      </w:r>
      <w:r>
        <w:rPr>
          <w:sz w:val="22"/>
        </w:rPr>
        <w:t>across</w:t>
      </w:r>
      <w:r>
        <w:rPr>
          <w:spacing w:val="-6"/>
          <w:sz w:val="22"/>
        </w:rPr>
        <w:t> </w:t>
      </w:r>
      <w:r>
        <w:rPr>
          <w:sz w:val="22"/>
        </w:rPr>
        <w:t>almost</w:t>
      </w:r>
      <w:r>
        <w:rPr>
          <w:spacing w:val="-5"/>
          <w:sz w:val="22"/>
        </w:rPr>
        <w:t> </w:t>
      </w:r>
      <w:r>
        <w:rPr>
          <w:sz w:val="22"/>
        </w:rPr>
        <w:t>all</w:t>
      </w:r>
      <w:r>
        <w:rPr>
          <w:spacing w:val="-5"/>
          <w:sz w:val="22"/>
        </w:rPr>
        <w:t> </w:t>
      </w:r>
      <w:r>
        <w:rPr>
          <w:sz w:val="22"/>
        </w:rPr>
        <w:t>axes</w:t>
      </w:r>
      <w:r>
        <w:rPr>
          <w:spacing w:val="-6"/>
          <w:sz w:val="22"/>
        </w:rPr>
        <w:t> </w:t>
      </w:r>
      <w:r>
        <w:rPr>
          <w:sz w:val="22"/>
        </w:rPr>
        <w:t>of</w:t>
      </w:r>
      <w:r>
        <w:rPr>
          <w:spacing w:val="-5"/>
          <w:sz w:val="22"/>
        </w:rPr>
        <w:t> </w:t>
      </w:r>
      <w:r>
        <w:rPr>
          <w:sz w:val="22"/>
        </w:rPr>
        <w:t>the</w:t>
      </w:r>
      <w:r>
        <w:rPr>
          <w:spacing w:val="-5"/>
          <w:sz w:val="22"/>
        </w:rPr>
        <w:t> </w:t>
      </w:r>
      <w:r>
        <w:rPr>
          <w:sz w:val="22"/>
        </w:rPr>
        <w:t>survey</w:t>
      </w:r>
      <w:r>
        <w:rPr>
          <w:spacing w:val="-5"/>
          <w:sz w:val="22"/>
        </w:rPr>
        <w:t> </w:t>
      </w:r>
      <w:r>
        <w:rPr>
          <w:sz w:val="22"/>
        </w:rPr>
        <w:t>that pertained to respondent perception of his job performance. For</w:t>
      </w:r>
      <w:r>
        <w:rPr>
          <w:spacing w:val="-27"/>
          <w:sz w:val="22"/>
        </w:rPr>
        <w:t> </w:t>
      </w:r>
      <w:r>
        <w:rPr>
          <w:sz w:val="22"/>
        </w:rPr>
        <w:t>example:</w:t>
      </w:r>
    </w:p>
    <w:p>
      <w:pPr>
        <w:pStyle w:val="ListParagraph"/>
        <w:numPr>
          <w:ilvl w:val="1"/>
          <w:numId w:val="2"/>
        </w:numPr>
        <w:tabs>
          <w:tab w:pos="1539" w:val="left" w:leader="none"/>
          <w:tab w:pos="1540" w:val="left" w:leader="none"/>
        </w:tabs>
        <w:spacing w:line="254" w:lineRule="auto" w:before="0" w:after="0"/>
        <w:ind w:left="1540" w:right="167" w:hanging="360"/>
        <w:jc w:val="left"/>
        <w:rPr>
          <w:sz w:val="22"/>
        </w:rPr>
      </w:pPr>
      <w:r>
        <w:rPr>
          <w:sz w:val="22"/>
        </w:rPr>
        <w:t>77.4%</w:t>
      </w:r>
      <w:r>
        <w:rPr>
          <w:spacing w:val="-6"/>
          <w:sz w:val="22"/>
        </w:rPr>
        <w:t> </w:t>
      </w:r>
      <w:r>
        <w:rPr>
          <w:sz w:val="22"/>
        </w:rPr>
        <w:t>of</w:t>
      </w:r>
      <w:r>
        <w:rPr>
          <w:spacing w:val="-5"/>
          <w:sz w:val="22"/>
        </w:rPr>
        <w:t> </w:t>
      </w:r>
      <w:r>
        <w:rPr>
          <w:sz w:val="22"/>
        </w:rPr>
        <w:t>respondents</w:t>
      </w:r>
      <w:r>
        <w:rPr>
          <w:spacing w:val="-5"/>
          <w:sz w:val="22"/>
        </w:rPr>
        <w:t> </w:t>
      </w:r>
      <w:r>
        <w:rPr>
          <w:i/>
          <w:sz w:val="22"/>
        </w:rPr>
        <w:t>Somewhat</w:t>
      </w:r>
      <w:r>
        <w:rPr>
          <w:i/>
          <w:spacing w:val="-5"/>
          <w:sz w:val="22"/>
        </w:rPr>
        <w:t> </w:t>
      </w:r>
      <w:r>
        <w:rPr>
          <w:sz w:val="22"/>
        </w:rPr>
        <w:t>or</w:t>
      </w:r>
      <w:r>
        <w:rPr>
          <w:spacing w:val="-6"/>
          <w:sz w:val="22"/>
        </w:rPr>
        <w:t> </w:t>
      </w:r>
      <w:r>
        <w:rPr>
          <w:i/>
          <w:sz w:val="22"/>
        </w:rPr>
        <w:t>Strongly</w:t>
      </w:r>
      <w:r>
        <w:rPr>
          <w:i/>
          <w:spacing w:val="-5"/>
          <w:sz w:val="22"/>
        </w:rPr>
        <w:t> </w:t>
      </w:r>
      <w:r>
        <w:rPr>
          <w:i/>
          <w:sz w:val="22"/>
        </w:rPr>
        <w:t>Agreed</w:t>
      </w:r>
      <w:r>
        <w:rPr>
          <w:i/>
          <w:spacing w:val="-5"/>
          <w:sz w:val="22"/>
        </w:rPr>
        <w:t> </w:t>
      </w:r>
      <w:r>
        <w:rPr>
          <w:sz w:val="22"/>
        </w:rPr>
        <w:t>that</w:t>
      </w:r>
      <w:r>
        <w:rPr>
          <w:spacing w:val="-5"/>
          <w:sz w:val="22"/>
        </w:rPr>
        <w:t> Dr. </w:t>
      </w:r>
      <w:r>
        <w:rPr>
          <w:sz w:val="22"/>
        </w:rPr>
        <w:t>Villarruel</w:t>
      </w:r>
      <w:r>
        <w:rPr>
          <w:spacing w:val="-6"/>
          <w:sz w:val="22"/>
        </w:rPr>
        <w:t> </w:t>
      </w:r>
      <w:r>
        <w:rPr>
          <w:sz w:val="22"/>
        </w:rPr>
        <w:t>acted</w:t>
      </w:r>
      <w:r>
        <w:rPr>
          <w:spacing w:val="-5"/>
          <w:sz w:val="22"/>
        </w:rPr>
        <w:t> </w:t>
      </w:r>
      <w:r>
        <w:rPr>
          <w:sz w:val="22"/>
        </w:rPr>
        <w:t>as</w:t>
      </w:r>
      <w:r>
        <w:rPr>
          <w:spacing w:val="-5"/>
          <w:sz w:val="22"/>
        </w:rPr>
        <w:t> </w:t>
      </w:r>
      <w:r>
        <w:rPr>
          <w:sz w:val="22"/>
        </w:rPr>
        <w:t>a fair and impartial</w:t>
      </w:r>
      <w:r>
        <w:rPr>
          <w:spacing w:val="-4"/>
          <w:sz w:val="22"/>
        </w:rPr>
        <w:t> </w:t>
      </w:r>
      <w:r>
        <w:rPr>
          <w:spacing w:val="-3"/>
          <w:sz w:val="22"/>
        </w:rPr>
        <w:t>advisor.</w:t>
      </w:r>
    </w:p>
    <w:p>
      <w:pPr>
        <w:pStyle w:val="ListParagraph"/>
        <w:numPr>
          <w:ilvl w:val="1"/>
          <w:numId w:val="2"/>
        </w:numPr>
        <w:tabs>
          <w:tab w:pos="1539" w:val="left" w:leader="none"/>
          <w:tab w:pos="1540" w:val="left" w:leader="none"/>
        </w:tabs>
        <w:spacing w:line="254" w:lineRule="auto" w:before="0" w:after="0"/>
        <w:ind w:left="1540" w:right="436" w:hanging="360"/>
        <w:jc w:val="left"/>
        <w:rPr>
          <w:sz w:val="22"/>
        </w:rPr>
      </w:pPr>
      <w:r>
        <w:rPr>
          <w:sz w:val="22"/>
        </w:rPr>
        <w:t>84.4% of respondents </w:t>
      </w:r>
      <w:r>
        <w:rPr>
          <w:i/>
          <w:sz w:val="22"/>
        </w:rPr>
        <w:t>Somewhat </w:t>
      </w:r>
      <w:r>
        <w:rPr>
          <w:sz w:val="22"/>
        </w:rPr>
        <w:t>or </w:t>
      </w:r>
      <w:r>
        <w:rPr>
          <w:i/>
          <w:sz w:val="22"/>
        </w:rPr>
        <w:t>Strongly Agreed </w:t>
      </w:r>
      <w:r>
        <w:rPr>
          <w:sz w:val="22"/>
        </w:rPr>
        <w:t>that </w:t>
      </w:r>
      <w:r>
        <w:rPr>
          <w:spacing w:val="-5"/>
          <w:sz w:val="22"/>
        </w:rPr>
        <w:t>Dr. </w:t>
      </w:r>
      <w:r>
        <w:rPr>
          <w:sz w:val="22"/>
        </w:rPr>
        <w:t>Villarruel treated them with respect regardless of the outcome of the</w:t>
      </w:r>
      <w:r>
        <w:rPr>
          <w:spacing w:val="-17"/>
          <w:sz w:val="22"/>
        </w:rPr>
        <w:t> </w:t>
      </w:r>
      <w:r>
        <w:rPr>
          <w:sz w:val="22"/>
        </w:rPr>
        <w:t>case.</w:t>
      </w:r>
    </w:p>
    <w:p>
      <w:pPr>
        <w:pStyle w:val="ListParagraph"/>
        <w:numPr>
          <w:ilvl w:val="1"/>
          <w:numId w:val="2"/>
        </w:numPr>
        <w:tabs>
          <w:tab w:pos="1539" w:val="left" w:leader="none"/>
          <w:tab w:pos="1540" w:val="left" w:leader="none"/>
        </w:tabs>
        <w:spacing w:line="254" w:lineRule="auto" w:before="0" w:after="0"/>
        <w:ind w:left="1540" w:right="1182" w:hanging="360"/>
        <w:jc w:val="left"/>
        <w:rPr>
          <w:sz w:val="22"/>
        </w:rPr>
      </w:pPr>
      <w:r>
        <w:rPr>
          <w:sz w:val="22"/>
        </w:rPr>
        <w:t>88.4% of respondents </w:t>
      </w:r>
      <w:r>
        <w:rPr>
          <w:i/>
          <w:sz w:val="22"/>
        </w:rPr>
        <w:t>Somewhat </w:t>
      </w:r>
      <w:r>
        <w:rPr>
          <w:sz w:val="22"/>
        </w:rPr>
        <w:t>or </w:t>
      </w:r>
      <w:r>
        <w:rPr>
          <w:i/>
          <w:sz w:val="22"/>
        </w:rPr>
        <w:t>Strongly Agreed </w:t>
      </w:r>
      <w:r>
        <w:rPr>
          <w:sz w:val="22"/>
        </w:rPr>
        <w:t>that </w:t>
      </w:r>
      <w:r>
        <w:rPr>
          <w:spacing w:val="-5"/>
          <w:sz w:val="22"/>
        </w:rPr>
        <w:t>Dr. </w:t>
      </w:r>
      <w:r>
        <w:rPr>
          <w:sz w:val="22"/>
        </w:rPr>
        <w:t>Villarruel maintained</w:t>
      </w:r>
      <w:r>
        <w:rPr>
          <w:spacing w:val="-2"/>
          <w:sz w:val="22"/>
        </w:rPr>
        <w:t> </w:t>
      </w:r>
      <w:r>
        <w:rPr>
          <w:sz w:val="22"/>
        </w:rPr>
        <w:t>confidentiality.</w:t>
      </w:r>
    </w:p>
    <w:p>
      <w:pPr>
        <w:pStyle w:val="ListParagraph"/>
        <w:numPr>
          <w:ilvl w:val="1"/>
          <w:numId w:val="2"/>
        </w:numPr>
        <w:tabs>
          <w:tab w:pos="1539" w:val="left" w:leader="none"/>
          <w:tab w:pos="1540" w:val="left" w:leader="none"/>
        </w:tabs>
        <w:spacing w:line="254" w:lineRule="auto" w:before="0" w:after="0"/>
        <w:ind w:left="1540" w:right="228" w:hanging="360"/>
        <w:jc w:val="left"/>
        <w:rPr>
          <w:sz w:val="22"/>
        </w:rPr>
      </w:pPr>
      <w:r>
        <w:rPr>
          <w:sz w:val="22"/>
        </w:rPr>
        <w:t>88% of respondents </w:t>
      </w:r>
      <w:r>
        <w:rPr>
          <w:i/>
          <w:sz w:val="22"/>
        </w:rPr>
        <w:t>Somewhat </w:t>
      </w:r>
      <w:r>
        <w:rPr>
          <w:sz w:val="22"/>
        </w:rPr>
        <w:t>or </w:t>
      </w:r>
      <w:r>
        <w:rPr>
          <w:i/>
          <w:sz w:val="22"/>
        </w:rPr>
        <w:t>Strongly Agreed </w:t>
      </w:r>
      <w:r>
        <w:rPr>
          <w:sz w:val="22"/>
        </w:rPr>
        <w:t>that </w:t>
      </w:r>
      <w:r>
        <w:rPr>
          <w:spacing w:val="-5"/>
          <w:sz w:val="22"/>
        </w:rPr>
        <w:t>Dr. </w:t>
      </w:r>
      <w:r>
        <w:rPr>
          <w:sz w:val="22"/>
        </w:rPr>
        <w:t>Villarruel maintained </w:t>
      </w:r>
      <w:r>
        <w:rPr>
          <w:spacing w:val="-3"/>
          <w:sz w:val="22"/>
        </w:rPr>
        <w:t>neutrality.</w:t>
      </w:r>
    </w:p>
    <w:p>
      <w:pPr>
        <w:pStyle w:val="ListParagraph"/>
        <w:numPr>
          <w:ilvl w:val="0"/>
          <w:numId w:val="2"/>
        </w:numPr>
        <w:tabs>
          <w:tab w:pos="819" w:val="left" w:leader="none"/>
          <w:tab w:pos="820" w:val="left" w:leader="none"/>
        </w:tabs>
        <w:spacing w:line="276" w:lineRule="auto" w:before="0" w:after="0"/>
        <w:ind w:left="820" w:right="150" w:hanging="360"/>
        <w:jc w:val="left"/>
        <w:rPr>
          <w:sz w:val="22"/>
        </w:rPr>
      </w:pPr>
      <w:r>
        <w:rPr>
          <w:sz w:val="22"/>
        </w:rPr>
        <w:t>The lowest scores pertained to the belief of some respondents that </w:t>
      </w:r>
      <w:r>
        <w:rPr>
          <w:spacing w:val="-5"/>
          <w:sz w:val="22"/>
        </w:rPr>
        <w:t>Dr. </w:t>
      </w:r>
      <w:r>
        <w:rPr>
          <w:sz w:val="22"/>
        </w:rPr>
        <w:t>Villarruel was not able</w:t>
      </w:r>
      <w:r>
        <w:rPr>
          <w:spacing w:val="-6"/>
          <w:sz w:val="22"/>
        </w:rPr>
        <w:t> </w:t>
      </w:r>
      <w:r>
        <w:rPr>
          <w:sz w:val="22"/>
        </w:rPr>
        <w:t>to</w:t>
      </w:r>
      <w:r>
        <w:rPr>
          <w:spacing w:val="-5"/>
          <w:sz w:val="22"/>
        </w:rPr>
        <w:t> </w:t>
      </w:r>
      <w:r>
        <w:rPr>
          <w:sz w:val="22"/>
        </w:rPr>
        <w:t>“</w:t>
      </w:r>
      <w:r>
        <w:rPr>
          <w:i/>
          <w:sz w:val="22"/>
        </w:rPr>
        <w:t>[Act]</w:t>
      </w:r>
      <w:r>
        <w:rPr>
          <w:i/>
          <w:spacing w:val="-5"/>
          <w:sz w:val="22"/>
        </w:rPr>
        <w:t> </w:t>
      </w:r>
      <w:r>
        <w:rPr>
          <w:i/>
          <w:sz w:val="22"/>
        </w:rPr>
        <w:t>as</w:t>
      </w:r>
      <w:r>
        <w:rPr>
          <w:i/>
          <w:spacing w:val="-5"/>
          <w:sz w:val="22"/>
        </w:rPr>
        <w:t> </w:t>
      </w:r>
      <w:r>
        <w:rPr>
          <w:i/>
          <w:sz w:val="22"/>
        </w:rPr>
        <w:t>an</w:t>
      </w:r>
      <w:r>
        <w:rPr>
          <w:i/>
          <w:spacing w:val="-5"/>
          <w:sz w:val="22"/>
        </w:rPr>
        <w:t> </w:t>
      </w:r>
      <w:r>
        <w:rPr>
          <w:i/>
          <w:sz w:val="22"/>
        </w:rPr>
        <w:t>effective</w:t>
      </w:r>
      <w:r>
        <w:rPr>
          <w:i/>
          <w:spacing w:val="-5"/>
          <w:sz w:val="22"/>
        </w:rPr>
        <w:t> </w:t>
      </w:r>
      <w:r>
        <w:rPr>
          <w:i/>
          <w:sz w:val="22"/>
        </w:rPr>
        <w:t>mediator</w:t>
      </w:r>
      <w:r>
        <w:rPr>
          <w:i/>
          <w:spacing w:val="-5"/>
          <w:sz w:val="22"/>
        </w:rPr>
        <w:t> </w:t>
      </w:r>
      <w:r>
        <w:rPr>
          <w:i/>
          <w:sz w:val="22"/>
        </w:rPr>
        <w:t>between</w:t>
      </w:r>
      <w:r>
        <w:rPr>
          <w:i/>
          <w:spacing w:val="-5"/>
          <w:sz w:val="22"/>
        </w:rPr>
        <w:t> </w:t>
      </w:r>
      <w:r>
        <w:rPr>
          <w:i/>
          <w:sz w:val="22"/>
        </w:rPr>
        <w:t>parties.</w:t>
      </w:r>
      <w:r>
        <w:rPr>
          <w:sz w:val="22"/>
        </w:rPr>
        <w:t>”</w:t>
      </w:r>
      <w:r>
        <w:rPr>
          <w:spacing w:val="-5"/>
          <w:sz w:val="22"/>
        </w:rPr>
        <w:t> </w:t>
      </w:r>
      <w:r>
        <w:rPr>
          <w:sz w:val="22"/>
        </w:rPr>
        <w:t>In</w:t>
      </w:r>
      <w:r>
        <w:rPr>
          <w:spacing w:val="-5"/>
          <w:sz w:val="22"/>
        </w:rPr>
        <w:t> </w:t>
      </w:r>
      <w:r>
        <w:rPr>
          <w:sz w:val="22"/>
        </w:rPr>
        <w:t>this</w:t>
      </w:r>
      <w:r>
        <w:rPr>
          <w:spacing w:val="-5"/>
          <w:sz w:val="22"/>
        </w:rPr>
        <w:t> </w:t>
      </w:r>
      <w:r>
        <w:rPr>
          <w:sz w:val="22"/>
        </w:rPr>
        <w:t>case,</w:t>
      </w:r>
      <w:r>
        <w:rPr>
          <w:spacing w:val="-5"/>
          <w:sz w:val="22"/>
        </w:rPr>
        <w:t> </w:t>
      </w:r>
      <w:r>
        <w:rPr>
          <w:sz w:val="22"/>
        </w:rPr>
        <w:t>50%</w:t>
      </w:r>
      <w:r>
        <w:rPr>
          <w:spacing w:val="-5"/>
          <w:sz w:val="22"/>
        </w:rPr>
        <w:t> </w:t>
      </w:r>
      <w:r>
        <w:rPr>
          <w:sz w:val="22"/>
        </w:rPr>
        <w:t>of</w:t>
      </w:r>
      <w:r>
        <w:rPr>
          <w:spacing w:val="-5"/>
          <w:sz w:val="22"/>
        </w:rPr>
        <w:t> </w:t>
      </w:r>
      <w:r>
        <w:rPr>
          <w:sz w:val="22"/>
        </w:rPr>
        <w:t>respondents either </w:t>
      </w:r>
      <w:r>
        <w:rPr>
          <w:i/>
          <w:sz w:val="22"/>
        </w:rPr>
        <w:t>Somewhat </w:t>
      </w:r>
      <w:r>
        <w:rPr>
          <w:sz w:val="22"/>
        </w:rPr>
        <w:t>or </w:t>
      </w:r>
      <w:r>
        <w:rPr>
          <w:i/>
          <w:sz w:val="22"/>
        </w:rPr>
        <w:t>Strongly Disagreed </w:t>
      </w:r>
      <w:r>
        <w:rPr>
          <w:sz w:val="22"/>
        </w:rPr>
        <w:t>that he was effective, while 30% </w:t>
      </w:r>
      <w:r>
        <w:rPr>
          <w:i/>
          <w:sz w:val="22"/>
        </w:rPr>
        <w:t>Strongly </w:t>
      </w:r>
      <w:r>
        <w:rPr>
          <w:i/>
          <w:sz w:val="22"/>
        </w:rPr>
        <w:t>Agreed </w:t>
      </w:r>
      <w:r>
        <w:rPr>
          <w:sz w:val="22"/>
        </w:rPr>
        <w:t>that he was effective. The report suggested that the low score on this item might stem from a misunderstanding that the FG Official is meant to be a faculty advocate rather than a neutral third party and thus, </w:t>
      </w:r>
      <w:r>
        <w:rPr>
          <w:spacing w:val="-5"/>
          <w:sz w:val="22"/>
        </w:rPr>
        <w:t>Dr. </w:t>
      </w:r>
      <w:r>
        <w:rPr>
          <w:sz w:val="22"/>
        </w:rPr>
        <w:t>Villarruel’s scores here may be skewed due to a “kill the messenger”</w:t>
      </w:r>
      <w:r>
        <w:rPr>
          <w:spacing w:val="-7"/>
          <w:sz w:val="22"/>
        </w:rPr>
        <w:t> </w:t>
      </w:r>
      <w:r>
        <w:rPr>
          <w:sz w:val="22"/>
        </w:rPr>
        <w:t>effect.</w:t>
      </w:r>
    </w:p>
    <w:p>
      <w:pPr>
        <w:pStyle w:val="ListParagraph"/>
        <w:numPr>
          <w:ilvl w:val="0"/>
          <w:numId w:val="2"/>
        </w:numPr>
        <w:tabs>
          <w:tab w:pos="820" w:val="left" w:leader="none"/>
        </w:tabs>
        <w:spacing w:line="276" w:lineRule="auto" w:before="0" w:after="0"/>
        <w:ind w:left="820" w:right="211" w:hanging="360"/>
        <w:jc w:val="both"/>
        <w:rPr>
          <w:sz w:val="22"/>
        </w:rPr>
      </w:pPr>
      <w:r>
        <w:rPr>
          <w:sz w:val="22"/>
        </w:rPr>
        <w:t>Ratings</w:t>
      </w:r>
      <w:r>
        <w:rPr>
          <w:spacing w:val="-7"/>
          <w:sz w:val="22"/>
        </w:rPr>
        <w:t> </w:t>
      </w:r>
      <w:r>
        <w:rPr>
          <w:sz w:val="22"/>
        </w:rPr>
        <w:t>from</w:t>
      </w:r>
      <w:r>
        <w:rPr>
          <w:spacing w:val="-7"/>
          <w:sz w:val="22"/>
        </w:rPr>
        <w:t> </w:t>
      </w:r>
      <w:r>
        <w:rPr>
          <w:sz w:val="22"/>
        </w:rPr>
        <w:t>respondents</w:t>
      </w:r>
      <w:r>
        <w:rPr>
          <w:spacing w:val="-6"/>
          <w:sz w:val="22"/>
        </w:rPr>
        <w:t> </w:t>
      </w:r>
      <w:r>
        <w:rPr>
          <w:sz w:val="22"/>
        </w:rPr>
        <w:t>who</w:t>
      </w:r>
      <w:r>
        <w:rPr>
          <w:spacing w:val="-7"/>
          <w:sz w:val="22"/>
        </w:rPr>
        <w:t> </w:t>
      </w:r>
      <w:r>
        <w:rPr>
          <w:sz w:val="22"/>
        </w:rPr>
        <w:t>identified</w:t>
      </w:r>
      <w:r>
        <w:rPr>
          <w:spacing w:val="-6"/>
          <w:sz w:val="22"/>
        </w:rPr>
        <w:t> </w:t>
      </w:r>
      <w:r>
        <w:rPr>
          <w:sz w:val="22"/>
        </w:rPr>
        <w:t>as</w:t>
      </w:r>
      <w:r>
        <w:rPr>
          <w:spacing w:val="-7"/>
          <w:sz w:val="22"/>
        </w:rPr>
        <w:t> </w:t>
      </w:r>
      <w:r>
        <w:rPr>
          <w:sz w:val="22"/>
        </w:rPr>
        <w:t>being</w:t>
      </w:r>
      <w:r>
        <w:rPr>
          <w:spacing w:val="-6"/>
          <w:sz w:val="22"/>
        </w:rPr>
        <w:t> </w:t>
      </w:r>
      <w:r>
        <w:rPr>
          <w:sz w:val="22"/>
        </w:rPr>
        <w:t>members</w:t>
      </w:r>
      <w:r>
        <w:rPr>
          <w:spacing w:val="-7"/>
          <w:sz w:val="22"/>
        </w:rPr>
        <w:t> </w:t>
      </w:r>
      <w:r>
        <w:rPr>
          <w:sz w:val="22"/>
        </w:rPr>
        <w:t>of</w:t>
      </w:r>
      <w:r>
        <w:rPr>
          <w:spacing w:val="-7"/>
          <w:sz w:val="22"/>
        </w:rPr>
        <w:t> </w:t>
      </w:r>
      <w:r>
        <w:rPr>
          <w:sz w:val="22"/>
        </w:rPr>
        <w:t>underrepresented</w:t>
      </w:r>
      <w:r>
        <w:rPr>
          <w:spacing w:val="-6"/>
          <w:sz w:val="22"/>
        </w:rPr>
        <w:t> </w:t>
      </w:r>
      <w:r>
        <w:rPr>
          <w:sz w:val="22"/>
        </w:rPr>
        <w:t>groups were generally lower for most survey items, but were well within the margin of error (i.e., in most cases within 1/3rd of a standard</w:t>
      </w:r>
      <w:r>
        <w:rPr>
          <w:spacing w:val="-13"/>
          <w:sz w:val="22"/>
        </w:rPr>
        <w:t> </w:t>
      </w:r>
      <w:r>
        <w:rPr>
          <w:sz w:val="22"/>
        </w:rPr>
        <w:t>deviation).</w:t>
      </w:r>
    </w:p>
    <w:p>
      <w:pPr>
        <w:pStyle w:val="ListParagraph"/>
        <w:numPr>
          <w:ilvl w:val="0"/>
          <w:numId w:val="2"/>
        </w:numPr>
        <w:tabs>
          <w:tab w:pos="820" w:val="left" w:leader="none"/>
        </w:tabs>
        <w:spacing w:line="276" w:lineRule="auto" w:before="0" w:after="0"/>
        <w:ind w:left="820" w:right="211" w:hanging="360"/>
        <w:jc w:val="both"/>
        <w:rPr>
          <w:sz w:val="22"/>
        </w:rPr>
      </w:pPr>
      <w:r>
        <w:rPr>
          <w:sz w:val="22"/>
        </w:rPr>
        <w:t>Many</w:t>
      </w:r>
      <w:r>
        <w:rPr>
          <w:spacing w:val="-8"/>
          <w:sz w:val="22"/>
        </w:rPr>
        <w:t> </w:t>
      </w:r>
      <w:r>
        <w:rPr>
          <w:sz w:val="22"/>
        </w:rPr>
        <w:t>open-ended</w:t>
      </w:r>
      <w:r>
        <w:rPr>
          <w:spacing w:val="-9"/>
          <w:sz w:val="22"/>
        </w:rPr>
        <w:t> </w:t>
      </w:r>
      <w:r>
        <w:rPr>
          <w:sz w:val="22"/>
        </w:rPr>
        <w:t>comments</w:t>
      </w:r>
      <w:r>
        <w:rPr>
          <w:spacing w:val="-8"/>
          <w:sz w:val="22"/>
        </w:rPr>
        <w:t> </w:t>
      </w:r>
      <w:r>
        <w:rPr>
          <w:sz w:val="22"/>
        </w:rPr>
        <w:t>commended</w:t>
      </w:r>
      <w:r>
        <w:rPr>
          <w:spacing w:val="-8"/>
          <w:sz w:val="22"/>
        </w:rPr>
        <w:t> </w:t>
      </w:r>
      <w:r>
        <w:rPr>
          <w:spacing w:val="-5"/>
          <w:sz w:val="22"/>
        </w:rPr>
        <w:t>Dr.</w:t>
      </w:r>
      <w:r>
        <w:rPr>
          <w:spacing w:val="-8"/>
          <w:sz w:val="22"/>
        </w:rPr>
        <w:t> </w:t>
      </w:r>
      <w:r>
        <w:rPr>
          <w:sz w:val="22"/>
        </w:rPr>
        <w:t>Villarruel’s</w:t>
      </w:r>
      <w:r>
        <w:rPr>
          <w:spacing w:val="-8"/>
          <w:sz w:val="22"/>
        </w:rPr>
        <w:t> </w:t>
      </w:r>
      <w:r>
        <w:rPr>
          <w:sz w:val="22"/>
        </w:rPr>
        <w:t>effectiveness.</w:t>
      </w:r>
      <w:r>
        <w:rPr>
          <w:spacing w:val="-8"/>
          <w:sz w:val="22"/>
        </w:rPr>
        <w:t> </w:t>
      </w:r>
      <w:r>
        <w:rPr>
          <w:sz w:val="22"/>
        </w:rPr>
        <w:t>There</w:t>
      </w:r>
      <w:r>
        <w:rPr>
          <w:spacing w:val="-8"/>
          <w:sz w:val="22"/>
        </w:rPr>
        <w:t> </w:t>
      </w:r>
      <w:r>
        <w:rPr>
          <w:sz w:val="22"/>
        </w:rPr>
        <w:t>were</w:t>
      </w:r>
      <w:r>
        <w:rPr>
          <w:spacing w:val="-8"/>
          <w:sz w:val="22"/>
        </w:rPr>
        <w:t> </w:t>
      </w:r>
      <w:r>
        <w:rPr>
          <w:sz w:val="22"/>
        </w:rPr>
        <w:t>also comments of concern regarding the vaccine mandate and how to “grieve”</w:t>
      </w:r>
      <w:r>
        <w:rPr>
          <w:spacing w:val="-29"/>
          <w:sz w:val="22"/>
        </w:rPr>
        <w:t> </w:t>
      </w:r>
      <w:r>
        <w:rPr>
          <w:sz w:val="22"/>
        </w:rPr>
        <w:t>it.</w:t>
      </w:r>
    </w:p>
    <w:p>
      <w:pPr>
        <w:pStyle w:val="ListParagraph"/>
        <w:numPr>
          <w:ilvl w:val="0"/>
          <w:numId w:val="2"/>
        </w:numPr>
        <w:tabs>
          <w:tab w:pos="820" w:val="left" w:leader="none"/>
        </w:tabs>
        <w:spacing w:line="240" w:lineRule="auto" w:before="0" w:after="0"/>
        <w:ind w:left="820" w:right="0" w:hanging="360"/>
        <w:jc w:val="both"/>
        <w:rPr>
          <w:sz w:val="22"/>
        </w:rPr>
      </w:pPr>
      <w:r>
        <w:rPr>
          <w:sz w:val="22"/>
        </w:rPr>
        <w:t>The</w:t>
      </w:r>
      <w:r>
        <w:rPr>
          <w:spacing w:val="-4"/>
          <w:sz w:val="22"/>
        </w:rPr>
        <w:t> </w:t>
      </w:r>
      <w:r>
        <w:rPr>
          <w:sz w:val="22"/>
        </w:rPr>
        <w:t>review</w:t>
      </w:r>
      <w:r>
        <w:rPr>
          <w:spacing w:val="-3"/>
          <w:sz w:val="22"/>
        </w:rPr>
        <w:t> </w:t>
      </w:r>
      <w:r>
        <w:rPr>
          <w:sz w:val="22"/>
        </w:rPr>
        <w:t>for</w:t>
      </w:r>
      <w:r>
        <w:rPr>
          <w:spacing w:val="-3"/>
          <w:sz w:val="22"/>
        </w:rPr>
        <w:t> </w:t>
      </w:r>
      <w:r>
        <w:rPr>
          <w:sz w:val="22"/>
        </w:rPr>
        <w:t>the</w:t>
      </w:r>
      <w:r>
        <w:rPr>
          <w:spacing w:val="-3"/>
          <w:sz w:val="22"/>
        </w:rPr>
        <w:t> </w:t>
      </w:r>
      <w:r>
        <w:rPr>
          <w:sz w:val="22"/>
        </w:rPr>
        <w:t>2021</w:t>
      </w:r>
      <w:r>
        <w:rPr>
          <w:spacing w:val="-3"/>
          <w:sz w:val="22"/>
        </w:rPr>
        <w:t> </w:t>
      </w:r>
      <w:r>
        <w:rPr>
          <w:sz w:val="22"/>
        </w:rPr>
        <w:t>calendar</w:t>
      </w:r>
      <w:r>
        <w:rPr>
          <w:spacing w:val="-3"/>
          <w:sz w:val="22"/>
        </w:rPr>
        <w:t> </w:t>
      </w:r>
      <w:r>
        <w:rPr>
          <w:sz w:val="22"/>
        </w:rPr>
        <w:t>year</w:t>
      </w:r>
      <w:r>
        <w:rPr>
          <w:spacing w:val="-3"/>
          <w:sz w:val="22"/>
        </w:rPr>
        <w:t> </w:t>
      </w:r>
      <w:r>
        <w:rPr>
          <w:sz w:val="22"/>
        </w:rPr>
        <w:t>did</w:t>
      </w:r>
      <w:r>
        <w:rPr>
          <w:spacing w:val="-3"/>
          <w:sz w:val="22"/>
        </w:rPr>
        <w:t> </w:t>
      </w:r>
      <w:r>
        <w:rPr>
          <w:sz w:val="22"/>
        </w:rPr>
        <w:t>not</w:t>
      </w:r>
      <w:r>
        <w:rPr>
          <w:spacing w:val="-4"/>
          <w:sz w:val="22"/>
        </w:rPr>
        <w:t> </w:t>
      </w:r>
      <w:r>
        <w:rPr>
          <w:sz w:val="22"/>
        </w:rPr>
        <w:t>cite</w:t>
      </w:r>
      <w:r>
        <w:rPr>
          <w:spacing w:val="-3"/>
          <w:sz w:val="22"/>
        </w:rPr>
        <w:t> </w:t>
      </w:r>
      <w:r>
        <w:rPr>
          <w:sz w:val="22"/>
        </w:rPr>
        <w:t>any</w:t>
      </w:r>
      <w:r>
        <w:rPr>
          <w:spacing w:val="-3"/>
          <w:sz w:val="22"/>
        </w:rPr>
        <w:t> </w:t>
      </w:r>
      <w:r>
        <w:rPr>
          <w:sz w:val="22"/>
        </w:rPr>
        <w:t>items</w:t>
      </w:r>
      <w:r>
        <w:rPr>
          <w:spacing w:val="-3"/>
          <w:sz w:val="22"/>
        </w:rPr>
        <w:t> </w:t>
      </w:r>
      <w:r>
        <w:rPr>
          <w:sz w:val="22"/>
        </w:rPr>
        <w:t>of</w:t>
      </w:r>
      <w:r>
        <w:rPr>
          <w:spacing w:val="-3"/>
          <w:sz w:val="22"/>
        </w:rPr>
        <w:t> </w:t>
      </w:r>
      <w:r>
        <w:rPr>
          <w:sz w:val="22"/>
        </w:rPr>
        <w:t>self-reflection</w:t>
      </w:r>
      <w:r>
        <w:rPr>
          <w:spacing w:val="-3"/>
          <w:sz w:val="22"/>
        </w:rPr>
        <w:t> </w:t>
      </w:r>
      <w:r>
        <w:rPr>
          <w:sz w:val="22"/>
        </w:rPr>
        <w:t>that</w:t>
      </w:r>
      <w:r>
        <w:rPr>
          <w:spacing w:val="-3"/>
          <w:sz w:val="22"/>
        </w:rPr>
        <w:t> </w:t>
      </w:r>
      <w:r>
        <w:rPr>
          <w:spacing w:val="-5"/>
          <w:sz w:val="22"/>
        </w:rPr>
        <w:t>Dr.</w:t>
      </w:r>
    </w:p>
    <w:p>
      <w:pPr>
        <w:pStyle w:val="BodyText"/>
        <w:spacing w:before="38"/>
        <w:ind w:left="820"/>
        <w:jc w:val="both"/>
      </w:pPr>
      <w:r>
        <w:rPr/>
        <w:t>Villarrual may have provided to the committee for that year under review.</w:t>
      </w:r>
    </w:p>
    <w:p>
      <w:pPr>
        <w:pStyle w:val="ListParagraph"/>
        <w:numPr>
          <w:ilvl w:val="0"/>
          <w:numId w:val="2"/>
        </w:numPr>
        <w:tabs>
          <w:tab w:pos="820" w:val="left" w:leader="none"/>
        </w:tabs>
        <w:spacing w:line="276" w:lineRule="auto" w:before="38" w:after="0"/>
        <w:ind w:left="820" w:right="285" w:hanging="360"/>
        <w:jc w:val="both"/>
        <w:rPr>
          <w:sz w:val="22"/>
        </w:rPr>
      </w:pPr>
      <w:r>
        <w:rPr>
          <w:sz w:val="22"/>
        </w:rPr>
        <w:t>Overall,</w:t>
      </w:r>
      <w:r>
        <w:rPr>
          <w:spacing w:val="-6"/>
          <w:sz w:val="22"/>
        </w:rPr>
        <w:t> </w:t>
      </w:r>
      <w:r>
        <w:rPr>
          <w:sz w:val="22"/>
        </w:rPr>
        <w:t>the</w:t>
      </w:r>
      <w:r>
        <w:rPr>
          <w:spacing w:val="-6"/>
          <w:sz w:val="22"/>
        </w:rPr>
        <w:t> </w:t>
      </w:r>
      <w:r>
        <w:rPr>
          <w:sz w:val="22"/>
        </w:rPr>
        <w:t>review</w:t>
      </w:r>
      <w:r>
        <w:rPr>
          <w:spacing w:val="-5"/>
          <w:sz w:val="22"/>
        </w:rPr>
        <w:t> </w:t>
      </w:r>
      <w:r>
        <w:rPr>
          <w:sz w:val="22"/>
        </w:rPr>
        <w:t>found</w:t>
      </w:r>
      <w:r>
        <w:rPr>
          <w:spacing w:val="-6"/>
          <w:sz w:val="22"/>
        </w:rPr>
        <w:t> </w:t>
      </w:r>
      <w:r>
        <w:rPr>
          <w:spacing w:val="-5"/>
          <w:sz w:val="22"/>
        </w:rPr>
        <w:t>Dr.</w:t>
      </w:r>
      <w:r>
        <w:rPr>
          <w:spacing w:val="-6"/>
          <w:sz w:val="22"/>
        </w:rPr>
        <w:t> </w:t>
      </w:r>
      <w:r>
        <w:rPr>
          <w:sz w:val="22"/>
        </w:rPr>
        <w:t>Villarruel’s</w:t>
      </w:r>
      <w:r>
        <w:rPr>
          <w:spacing w:val="-5"/>
          <w:sz w:val="22"/>
        </w:rPr>
        <w:t> </w:t>
      </w:r>
      <w:r>
        <w:rPr>
          <w:sz w:val="22"/>
        </w:rPr>
        <w:t>performance</w:t>
      </w:r>
      <w:r>
        <w:rPr>
          <w:spacing w:val="-6"/>
          <w:sz w:val="22"/>
        </w:rPr>
        <w:t> </w:t>
      </w:r>
      <w:r>
        <w:rPr>
          <w:sz w:val="22"/>
        </w:rPr>
        <w:t>in</w:t>
      </w:r>
      <w:r>
        <w:rPr>
          <w:spacing w:val="-5"/>
          <w:sz w:val="22"/>
        </w:rPr>
        <w:t> </w:t>
      </w:r>
      <w:r>
        <w:rPr>
          <w:sz w:val="22"/>
        </w:rPr>
        <w:t>the</w:t>
      </w:r>
      <w:r>
        <w:rPr>
          <w:spacing w:val="-6"/>
          <w:sz w:val="22"/>
        </w:rPr>
        <w:t> </w:t>
      </w:r>
      <w:r>
        <w:rPr>
          <w:sz w:val="22"/>
        </w:rPr>
        <w:t>position</w:t>
      </w:r>
      <w:r>
        <w:rPr>
          <w:spacing w:val="-6"/>
          <w:sz w:val="22"/>
        </w:rPr>
        <w:t> </w:t>
      </w:r>
      <w:r>
        <w:rPr>
          <w:sz w:val="22"/>
        </w:rPr>
        <w:t>as</w:t>
      </w:r>
      <w:r>
        <w:rPr>
          <w:spacing w:val="-5"/>
          <w:sz w:val="22"/>
        </w:rPr>
        <w:t> </w:t>
      </w:r>
      <w:r>
        <w:rPr>
          <w:sz w:val="22"/>
        </w:rPr>
        <w:t>FG</w:t>
      </w:r>
      <w:r>
        <w:rPr>
          <w:spacing w:val="-6"/>
          <w:sz w:val="22"/>
        </w:rPr>
        <w:t> </w:t>
      </w:r>
      <w:r>
        <w:rPr>
          <w:sz w:val="22"/>
        </w:rPr>
        <w:t>Official</w:t>
      </w:r>
      <w:r>
        <w:rPr>
          <w:spacing w:val="-5"/>
          <w:sz w:val="22"/>
        </w:rPr>
        <w:t> </w:t>
      </w:r>
      <w:r>
        <w:rPr>
          <w:sz w:val="22"/>
        </w:rPr>
        <w:t>to</w:t>
      </w:r>
      <w:r>
        <w:rPr>
          <w:spacing w:val="-6"/>
          <w:sz w:val="22"/>
        </w:rPr>
        <w:t> </w:t>
      </w:r>
      <w:r>
        <w:rPr>
          <w:sz w:val="22"/>
        </w:rPr>
        <w:t>be “</w:t>
      </w:r>
      <w:r>
        <w:rPr>
          <w:i/>
          <w:sz w:val="22"/>
        </w:rPr>
        <w:t>positive with no areas seen as especially</w:t>
      </w:r>
      <w:r>
        <w:rPr>
          <w:i/>
          <w:spacing w:val="-12"/>
          <w:sz w:val="22"/>
        </w:rPr>
        <w:t> </w:t>
      </w:r>
      <w:r>
        <w:rPr>
          <w:i/>
          <w:sz w:val="22"/>
        </w:rPr>
        <w:t>problematic</w:t>
      </w:r>
      <w:r>
        <w:rPr>
          <w:sz w:val="22"/>
        </w:rPr>
        <w:t>.”</w:t>
      </w:r>
    </w:p>
    <w:p>
      <w:pPr>
        <w:pStyle w:val="ListParagraph"/>
        <w:numPr>
          <w:ilvl w:val="0"/>
          <w:numId w:val="2"/>
        </w:numPr>
        <w:tabs>
          <w:tab w:pos="820" w:val="left" w:leader="none"/>
        </w:tabs>
        <w:spacing w:line="240" w:lineRule="auto" w:before="0" w:after="0"/>
        <w:ind w:left="820" w:right="0" w:hanging="360"/>
        <w:jc w:val="both"/>
        <w:rPr>
          <w:sz w:val="22"/>
        </w:rPr>
      </w:pPr>
      <w:r>
        <w:rPr>
          <w:sz w:val="22"/>
        </w:rPr>
        <w:t>The full 2021 calendar year review is attached as </w:t>
      </w:r>
      <w:r>
        <w:rPr>
          <w:i/>
          <w:sz w:val="22"/>
        </w:rPr>
        <w:t>Appendix</w:t>
      </w:r>
      <w:r>
        <w:rPr>
          <w:i/>
          <w:spacing w:val="-18"/>
          <w:sz w:val="22"/>
        </w:rPr>
        <w:t> </w:t>
      </w:r>
      <w:r>
        <w:rPr>
          <w:i/>
          <w:sz w:val="22"/>
        </w:rPr>
        <w:t>3</w:t>
      </w:r>
      <w:r>
        <w:rPr>
          <w:sz w:val="22"/>
        </w:rPr>
        <w:t>.</w:t>
      </w:r>
    </w:p>
    <w:p>
      <w:pPr>
        <w:spacing w:after="0" w:line="240" w:lineRule="auto"/>
        <w:jc w:val="both"/>
        <w:rPr>
          <w:sz w:val="22"/>
        </w:rPr>
        <w:sectPr>
          <w:pgSz w:w="12240" w:h="15840"/>
          <w:pgMar w:header="0" w:footer="724" w:top="1360" w:bottom="1000" w:left="1340" w:right="1300"/>
        </w:sectPr>
      </w:pPr>
    </w:p>
    <w:p>
      <w:pPr>
        <w:pStyle w:val="Heading1"/>
        <w:rPr>
          <w:u w:val="none"/>
        </w:rPr>
      </w:pPr>
      <w:r>
        <w:rPr>
          <w:rFonts w:ascii="Times New Roman" w:hAnsi="Times New Roman"/>
          <w:b w:val="0"/>
          <w:spacing w:val="-60"/>
          <w:u w:val="thick"/>
        </w:rPr>
        <w:t> </w:t>
      </w:r>
      <w:r>
        <w:rPr>
          <w:u w:val="thick"/>
        </w:rPr>
        <w:t>Synopsis of the </w:t>
      </w:r>
      <w:r>
        <w:rPr>
          <w:spacing w:val="-5"/>
          <w:u w:val="thick"/>
        </w:rPr>
        <w:t>Dr. </w:t>
      </w:r>
      <w:r>
        <w:rPr>
          <w:u w:val="thick"/>
        </w:rPr>
        <w:t>Villarruel’s Annual Review from the 2022 Calendar </w:t>
      </w:r>
      <w:r>
        <w:rPr>
          <w:spacing w:val="-4"/>
          <w:u w:val="thick"/>
        </w:rPr>
        <w:t>Year</w:t>
      </w:r>
    </w:p>
    <w:p>
      <w:pPr>
        <w:pStyle w:val="BodyText"/>
        <w:spacing w:line="276" w:lineRule="auto" w:before="41"/>
        <w:ind w:left="100"/>
      </w:pPr>
      <w:r>
        <w:rPr/>
        <w:t>In the 2021 calendar year, 85 individuals were solicited for feedback regarding their interactions with the FG Office and with Dr. Villarruel. Of those, 32 provided feedback.</w:t>
      </w:r>
    </w:p>
    <w:p>
      <w:pPr>
        <w:spacing w:before="0"/>
        <w:ind w:left="100" w:right="0" w:firstLine="0"/>
        <w:jc w:val="left"/>
        <w:rPr>
          <w:i/>
          <w:sz w:val="22"/>
        </w:rPr>
      </w:pPr>
      <w:r>
        <w:rPr>
          <w:i/>
          <w:sz w:val="22"/>
        </w:rPr>
        <w:t>Report Highlights:</w:t>
      </w:r>
    </w:p>
    <w:p>
      <w:pPr>
        <w:pStyle w:val="ListParagraph"/>
        <w:numPr>
          <w:ilvl w:val="0"/>
          <w:numId w:val="2"/>
        </w:numPr>
        <w:tabs>
          <w:tab w:pos="819" w:val="left" w:leader="none"/>
          <w:tab w:pos="820" w:val="left" w:leader="none"/>
        </w:tabs>
        <w:spacing w:line="254" w:lineRule="auto" w:before="38" w:after="0"/>
        <w:ind w:left="820" w:right="251" w:hanging="360"/>
        <w:jc w:val="left"/>
        <w:rPr>
          <w:sz w:val="22"/>
        </w:rPr>
      </w:pPr>
      <w:r>
        <w:rPr>
          <w:sz w:val="22"/>
        </w:rPr>
        <w:t>The</w:t>
      </w:r>
      <w:r>
        <w:rPr>
          <w:spacing w:val="-6"/>
          <w:sz w:val="22"/>
        </w:rPr>
        <w:t> </w:t>
      </w:r>
      <w:r>
        <w:rPr>
          <w:sz w:val="22"/>
        </w:rPr>
        <w:t>FG</w:t>
      </w:r>
      <w:r>
        <w:rPr>
          <w:spacing w:val="-6"/>
          <w:sz w:val="22"/>
        </w:rPr>
        <w:t> </w:t>
      </w:r>
      <w:r>
        <w:rPr>
          <w:sz w:val="22"/>
        </w:rPr>
        <w:t>Office</w:t>
      </w:r>
      <w:r>
        <w:rPr>
          <w:spacing w:val="-5"/>
          <w:sz w:val="22"/>
        </w:rPr>
        <w:t> </w:t>
      </w:r>
      <w:r>
        <w:rPr>
          <w:sz w:val="22"/>
        </w:rPr>
        <w:t>received</w:t>
      </w:r>
      <w:r>
        <w:rPr>
          <w:spacing w:val="-6"/>
          <w:sz w:val="22"/>
        </w:rPr>
        <w:t> </w:t>
      </w:r>
      <w:r>
        <w:rPr>
          <w:sz w:val="22"/>
        </w:rPr>
        <w:t>high</w:t>
      </w:r>
      <w:r>
        <w:rPr>
          <w:spacing w:val="-5"/>
          <w:sz w:val="22"/>
        </w:rPr>
        <w:t> </w:t>
      </w:r>
      <w:r>
        <w:rPr>
          <w:sz w:val="22"/>
        </w:rPr>
        <w:t>ratings</w:t>
      </w:r>
      <w:r>
        <w:rPr>
          <w:spacing w:val="-6"/>
          <w:sz w:val="22"/>
        </w:rPr>
        <w:t> </w:t>
      </w:r>
      <w:r>
        <w:rPr>
          <w:sz w:val="22"/>
        </w:rPr>
        <w:t>for</w:t>
      </w:r>
      <w:r>
        <w:rPr>
          <w:spacing w:val="-6"/>
          <w:sz w:val="22"/>
        </w:rPr>
        <w:t> </w:t>
      </w:r>
      <w:r>
        <w:rPr>
          <w:sz w:val="22"/>
        </w:rPr>
        <w:t>being</w:t>
      </w:r>
      <w:r>
        <w:rPr>
          <w:spacing w:val="-5"/>
          <w:sz w:val="22"/>
        </w:rPr>
        <w:t> </w:t>
      </w:r>
      <w:r>
        <w:rPr>
          <w:sz w:val="22"/>
        </w:rPr>
        <w:t>approachable,</w:t>
      </w:r>
      <w:r>
        <w:rPr>
          <w:spacing w:val="-6"/>
          <w:sz w:val="22"/>
        </w:rPr>
        <w:t> </w:t>
      </w:r>
      <w:r>
        <w:rPr>
          <w:sz w:val="22"/>
        </w:rPr>
        <w:t>responding</w:t>
      </w:r>
      <w:r>
        <w:rPr>
          <w:spacing w:val="-5"/>
          <w:sz w:val="22"/>
        </w:rPr>
        <w:t> </w:t>
      </w:r>
      <w:r>
        <w:rPr>
          <w:sz w:val="22"/>
        </w:rPr>
        <w:t>to</w:t>
      </w:r>
      <w:r>
        <w:rPr>
          <w:spacing w:val="-6"/>
          <w:sz w:val="22"/>
        </w:rPr>
        <w:t> </w:t>
      </w:r>
      <w:r>
        <w:rPr>
          <w:sz w:val="22"/>
        </w:rPr>
        <w:t>inquiries</w:t>
      </w:r>
      <w:r>
        <w:rPr>
          <w:spacing w:val="-5"/>
          <w:sz w:val="22"/>
        </w:rPr>
        <w:t> </w:t>
      </w:r>
      <w:r>
        <w:rPr>
          <w:sz w:val="22"/>
        </w:rPr>
        <w:t>in</w:t>
      </w:r>
      <w:r>
        <w:rPr>
          <w:spacing w:val="-6"/>
          <w:sz w:val="22"/>
        </w:rPr>
        <w:t> </w:t>
      </w:r>
      <w:r>
        <w:rPr>
          <w:sz w:val="22"/>
        </w:rPr>
        <w:t>a timely </w:t>
      </w:r>
      <w:r>
        <w:rPr>
          <w:spacing w:val="-3"/>
          <w:sz w:val="22"/>
        </w:rPr>
        <w:t>manner, </w:t>
      </w:r>
      <w:r>
        <w:rPr>
          <w:sz w:val="22"/>
        </w:rPr>
        <w:t>their knowledge of university policies and regulations, their ability to maintain confidentiality, and his ability to answer</w:t>
      </w:r>
      <w:r>
        <w:rPr>
          <w:spacing w:val="-16"/>
          <w:sz w:val="22"/>
        </w:rPr>
        <w:t> </w:t>
      </w:r>
      <w:r>
        <w:rPr>
          <w:sz w:val="22"/>
        </w:rPr>
        <w:t>questions.</w:t>
      </w:r>
    </w:p>
    <w:p>
      <w:pPr>
        <w:pStyle w:val="ListParagraph"/>
        <w:numPr>
          <w:ilvl w:val="0"/>
          <w:numId w:val="2"/>
        </w:numPr>
        <w:tabs>
          <w:tab w:pos="819" w:val="left" w:leader="none"/>
          <w:tab w:pos="820" w:val="left" w:leader="none"/>
        </w:tabs>
        <w:spacing w:line="254" w:lineRule="auto" w:before="0" w:after="0"/>
        <w:ind w:left="820" w:right="729" w:hanging="360"/>
        <w:jc w:val="left"/>
        <w:rPr>
          <w:sz w:val="22"/>
        </w:rPr>
      </w:pPr>
      <w:r>
        <w:rPr>
          <w:spacing w:val="-5"/>
          <w:sz w:val="22"/>
        </w:rPr>
        <w:t>Dr.</w:t>
      </w:r>
      <w:r>
        <w:rPr>
          <w:spacing w:val="-6"/>
          <w:sz w:val="22"/>
        </w:rPr>
        <w:t> </w:t>
      </w:r>
      <w:r>
        <w:rPr>
          <w:sz w:val="22"/>
        </w:rPr>
        <w:t>Villarruel</w:t>
      </w:r>
      <w:r>
        <w:rPr>
          <w:spacing w:val="-5"/>
          <w:sz w:val="22"/>
        </w:rPr>
        <w:t> </w:t>
      </w:r>
      <w:r>
        <w:rPr>
          <w:sz w:val="22"/>
        </w:rPr>
        <w:t>consistently</w:t>
      </w:r>
      <w:r>
        <w:rPr>
          <w:spacing w:val="-5"/>
          <w:sz w:val="22"/>
        </w:rPr>
        <w:t> </w:t>
      </w:r>
      <w:r>
        <w:rPr>
          <w:sz w:val="22"/>
        </w:rPr>
        <w:t>rated</w:t>
      </w:r>
      <w:r>
        <w:rPr>
          <w:spacing w:val="-6"/>
          <w:sz w:val="22"/>
        </w:rPr>
        <w:t> </w:t>
      </w:r>
      <w:r>
        <w:rPr>
          <w:sz w:val="22"/>
        </w:rPr>
        <w:t>very</w:t>
      </w:r>
      <w:r>
        <w:rPr>
          <w:spacing w:val="-5"/>
          <w:sz w:val="22"/>
        </w:rPr>
        <w:t> </w:t>
      </w:r>
      <w:r>
        <w:rPr>
          <w:sz w:val="22"/>
        </w:rPr>
        <w:t>highly</w:t>
      </w:r>
      <w:r>
        <w:rPr>
          <w:spacing w:val="-5"/>
          <w:sz w:val="22"/>
        </w:rPr>
        <w:t> </w:t>
      </w:r>
      <w:r>
        <w:rPr>
          <w:sz w:val="22"/>
        </w:rPr>
        <w:t>across</w:t>
      </w:r>
      <w:r>
        <w:rPr>
          <w:spacing w:val="-6"/>
          <w:sz w:val="22"/>
        </w:rPr>
        <w:t> </w:t>
      </w:r>
      <w:r>
        <w:rPr>
          <w:sz w:val="22"/>
        </w:rPr>
        <w:t>almost</w:t>
      </w:r>
      <w:r>
        <w:rPr>
          <w:spacing w:val="-5"/>
          <w:sz w:val="22"/>
        </w:rPr>
        <w:t> </w:t>
      </w:r>
      <w:r>
        <w:rPr>
          <w:sz w:val="22"/>
        </w:rPr>
        <w:t>all</w:t>
      </w:r>
      <w:r>
        <w:rPr>
          <w:spacing w:val="-5"/>
          <w:sz w:val="22"/>
        </w:rPr>
        <w:t> </w:t>
      </w:r>
      <w:r>
        <w:rPr>
          <w:sz w:val="22"/>
        </w:rPr>
        <w:t>axes</w:t>
      </w:r>
      <w:r>
        <w:rPr>
          <w:spacing w:val="-6"/>
          <w:sz w:val="22"/>
        </w:rPr>
        <w:t> </w:t>
      </w:r>
      <w:r>
        <w:rPr>
          <w:sz w:val="22"/>
        </w:rPr>
        <w:t>of</w:t>
      </w:r>
      <w:r>
        <w:rPr>
          <w:spacing w:val="-5"/>
          <w:sz w:val="22"/>
        </w:rPr>
        <w:t> </w:t>
      </w:r>
      <w:r>
        <w:rPr>
          <w:sz w:val="22"/>
        </w:rPr>
        <w:t>the</w:t>
      </w:r>
      <w:r>
        <w:rPr>
          <w:spacing w:val="-5"/>
          <w:sz w:val="22"/>
        </w:rPr>
        <w:t> </w:t>
      </w:r>
      <w:r>
        <w:rPr>
          <w:sz w:val="22"/>
        </w:rPr>
        <w:t>survey</w:t>
      </w:r>
      <w:r>
        <w:rPr>
          <w:spacing w:val="-5"/>
          <w:sz w:val="22"/>
        </w:rPr>
        <w:t> </w:t>
      </w:r>
      <w:r>
        <w:rPr>
          <w:sz w:val="22"/>
        </w:rPr>
        <w:t>that pertained to respondent perception of his job performance. For</w:t>
      </w:r>
      <w:r>
        <w:rPr>
          <w:spacing w:val="-27"/>
          <w:sz w:val="22"/>
        </w:rPr>
        <w:t> </w:t>
      </w:r>
      <w:r>
        <w:rPr>
          <w:sz w:val="22"/>
        </w:rPr>
        <w:t>example:</w:t>
      </w:r>
    </w:p>
    <w:p>
      <w:pPr>
        <w:pStyle w:val="ListParagraph"/>
        <w:numPr>
          <w:ilvl w:val="1"/>
          <w:numId w:val="2"/>
        </w:numPr>
        <w:tabs>
          <w:tab w:pos="1539" w:val="left" w:leader="none"/>
          <w:tab w:pos="1540" w:val="left" w:leader="none"/>
        </w:tabs>
        <w:spacing w:line="254" w:lineRule="auto" w:before="0" w:after="0"/>
        <w:ind w:left="1540" w:right="260" w:hanging="360"/>
        <w:jc w:val="left"/>
        <w:rPr>
          <w:sz w:val="22"/>
        </w:rPr>
      </w:pPr>
      <w:r>
        <w:rPr>
          <w:sz w:val="22"/>
        </w:rPr>
        <w:t>72.4% of respondents </w:t>
      </w:r>
      <w:r>
        <w:rPr>
          <w:i/>
          <w:sz w:val="22"/>
        </w:rPr>
        <w:t>Somewhat </w:t>
      </w:r>
      <w:r>
        <w:rPr>
          <w:sz w:val="22"/>
        </w:rPr>
        <w:t>or </w:t>
      </w:r>
      <w:r>
        <w:rPr>
          <w:i/>
          <w:sz w:val="22"/>
        </w:rPr>
        <w:t>Strongly Agreed </w:t>
      </w:r>
      <w:r>
        <w:rPr>
          <w:sz w:val="22"/>
        </w:rPr>
        <w:t>that he acted as a fair and impartial</w:t>
      </w:r>
      <w:r>
        <w:rPr>
          <w:spacing w:val="-2"/>
          <w:sz w:val="22"/>
        </w:rPr>
        <w:t> </w:t>
      </w:r>
      <w:r>
        <w:rPr>
          <w:spacing w:val="-3"/>
          <w:sz w:val="22"/>
        </w:rPr>
        <w:t>advisor.</w:t>
      </w:r>
    </w:p>
    <w:p>
      <w:pPr>
        <w:pStyle w:val="ListParagraph"/>
        <w:numPr>
          <w:ilvl w:val="1"/>
          <w:numId w:val="2"/>
        </w:numPr>
        <w:tabs>
          <w:tab w:pos="1539" w:val="left" w:leader="none"/>
          <w:tab w:pos="1540" w:val="left" w:leader="none"/>
        </w:tabs>
        <w:spacing w:line="254" w:lineRule="auto" w:before="0" w:after="0"/>
        <w:ind w:left="1540" w:right="619" w:hanging="360"/>
        <w:jc w:val="left"/>
        <w:rPr>
          <w:sz w:val="22"/>
        </w:rPr>
      </w:pPr>
      <w:r>
        <w:rPr>
          <w:sz w:val="22"/>
        </w:rPr>
        <w:t>90% of respondents </w:t>
      </w:r>
      <w:r>
        <w:rPr>
          <w:i/>
          <w:sz w:val="22"/>
        </w:rPr>
        <w:t>Somewhat </w:t>
      </w:r>
      <w:r>
        <w:rPr>
          <w:sz w:val="22"/>
        </w:rPr>
        <w:t>or </w:t>
      </w:r>
      <w:r>
        <w:rPr>
          <w:i/>
          <w:sz w:val="22"/>
        </w:rPr>
        <w:t>Strongly Agreed </w:t>
      </w:r>
      <w:r>
        <w:rPr>
          <w:sz w:val="22"/>
        </w:rPr>
        <w:t>that </w:t>
      </w:r>
      <w:r>
        <w:rPr>
          <w:spacing w:val="-5"/>
          <w:sz w:val="22"/>
        </w:rPr>
        <w:t>Dr. </w:t>
      </w:r>
      <w:r>
        <w:rPr>
          <w:sz w:val="22"/>
        </w:rPr>
        <w:t>Villarruel treated them with respect regardless of the outcome of the</w:t>
      </w:r>
      <w:r>
        <w:rPr>
          <w:spacing w:val="-17"/>
          <w:sz w:val="22"/>
        </w:rPr>
        <w:t> </w:t>
      </w:r>
      <w:r>
        <w:rPr>
          <w:sz w:val="22"/>
        </w:rPr>
        <w:t>case.</w:t>
      </w:r>
    </w:p>
    <w:p>
      <w:pPr>
        <w:pStyle w:val="ListParagraph"/>
        <w:numPr>
          <w:ilvl w:val="1"/>
          <w:numId w:val="2"/>
        </w:numPr>
        <w:tabs>
          <w:tab w:pos="1539" w:val="left" w:leader="none"/>
          <w:tab w:pos="1540" w:val="left" w:leader="none"/>
        </w:tabs>
        <w:spacing w:line="254" w:lineRule="auto" w:before="0" w:after="0"/>
        <w:ind w:left="1540" w:right="729" w:hanging="360"/>
        <w:jc w:val="left"/>
        <w:rPr>
          <w:sz w:val="22"/>
        </w:rPr>
      </w:pPr>
      <w:r>
        <w:rPr>
          <w:sz w:val="22"/>
        </w:rPr>
        <w:t>93.2% of respondents </w:t>
      </w:r>
      <w:r>
        <w:rPr>
          <w:i/>
          <w:sz w:val="22"/>
        </w:rPr>
        <w:t>Somewhat </w:t>
      </w:r>
      <w:r>
        <w:rPr>
          <w:sz w:val="22"/>
        </w:rPr>
        <w:t>or </w:t>
      </w:r>
      <w:r>
        <w:rPr>
          <w:i/>
          <w:sz w:val="22"/>
        </w:rPr>
        <w:t>Strongly Agreed </w:t>
      </w:r>
      <w:r>
        <w:rPr>
          <w:sz w:val="22"/>
        </w:rPr>
        <w:t>that </w:t>
      </w:r>
      <w:r>
        <w:rPr>
          <w:spacing w:val="-5"/>
          <w:sz w:val="22"/>
        </w:rPr>
        <w:t>Dr. </w:t>
      </w:r>
      <w:r>
        <w:rPr>
          <w:sz w:val="22"/>
        </w:rPr>
        <w:t>Villarruel was knowledgeable of MSU policies and</w:t>
      </w:r>
      <w:r>
        <w:rPr>
          <w:spacing w:val="-9"/>
          <w:sz w:val="22"/>
        </w:rPr>
        <w:t> </w:t>
      </w:r>
      <w:r>
        <w:rPr>
          <w:sz w:val="22"/>
        </w:rPr>
        <w:t>regulations.</w:t>
      </w:r>
    </w:p>
    <w:p>
      <w:pPr>
        <w:pStyle w:val="ListParagraph"/>
        <w:numPr>
          <w:ilvl w:val="1"/>
          <w:numId w:val="2"/>
        </w:numPr>
        <w:tabs>
          <w:tab w:pos="1539" w:val="left" w:leader="none"/>
          <w:tab w:pos="1540" w:val="left" w:leader="none"/>
        </w:tabs>
        <w:spacing w:line="254" w:lineRule="auto" w:before="0" w:after="0"/>
        <w:ind w:left="1540" w:right="460" w:hanging="360"/>
        <w:jc w:val="left"/>
        <w:rPr>
          <w:sz w:val="22"/>
        </w:rPr>
      </w:pPr>
      <w:r>
        <w:rPr>
          <w:sz w:val="22"/>
        </w:rPr>
        <w:t>80.9% of respondents </w:t>
      </w:r>
      <w:r>
        <w:rPr>
          <w:i/>
          <w:sz w:val="22"/>
        </w:rPr>
        <w:t>Somewhat </w:t>
      </w:r>
      <w:r>
        <w:rPr>
          <w:sz w:val="22"/>
        </w:rPr>
        <w:t>or </w:t>
      </w:r>
      <w:r>
        <w:rPr>
          <w:i/>
          <w:sz w:val="22"/>
        </w:rPr>
        <w:t>Strongly Agreed </w:t>
      </w:r>
      <w:r>
        <w:rPr>
          <w:sz w:val="22"/>
        </w:rPr>
        <w:t>that </w:t>
      </w:r>
      <w:r>
        <w:rPr>
          <w:spacing w:val="-5"/>
          <w:sz w:val="22"/>
        </w:rPr>
        <w:t>Dr. </w:t>
      </w:r>
      <w:r>
        <w:rPr>
          <w:sz w:val="22"/>
        </w:rPr>
        <w:t>Villarruel sought and respected diverse</w:t>
      </w:r>
      <w:r>
        <w:rPr>
          <w:spacing w:val="-5"/>
          <w:sz w:val="22"/>
        </w:rPr>
        <w:t> </w:t>
      </w:r>
      <w:r>
        <w:rPr>
          <w:sz w:val="22"/>
        </w:rPr>
        <w:t>perspectives.</w:t>
      </w:r>
    </w:p>
    <w:p>
      <w:pPr>
        <w:pStyle w:val="ListParagraph"/>
        <w:numPr>
          <w:ilvl w:val="0"/>
          <w:numId w:val="2"/>
        </w:numPr>
        <w:tabs>
          <w:tab w:pos="819" w:val="left" w:leader="none"/>
          <w:tab w:pos="820" w:val="left" w:leader="none"/>
        </w:tabs>
        <w:spacing w:line="276" w:lineRule="auto" w:before="0" w:after="0"/>
        <w:ind w:left="820" w:right="150" w:hanging="360"/>
        <w:jc w:val="left"/>
        <w:rPr>
          <w:sz w:val="22"/>
        </w:rPr>
      </w:pPr>
      <w:r>
        <w:rPr>
          <w:sz w:val="22"/>
        </w:rPr>
        <w:t>The lowest scores pertained to the belief of some respondents that </w:t>
      </w:r>
      <w:r>
        <w:rPr>
          <w:spacing w:val="-5"/>
          <w:sz w:val="22"/>
        </w:rPr>
        <w:t>Dr. </w:t>
      </w:r>
      <w:r>
        <w:rPr>
          <w:sz w:val="22"/>
        </w:rPr>
        <w:t>Villarruel was not able</w:t>
      </w:r>
      <w:r>
        <w:rPr>
          <w:spacing w:val="-6"/>
          <w:sz w:val="22"/>
        </w:rPr>
        <w:t> </w:t>
      </w:r>
      <w:r>
        <w:rPr>
          <w:sz w:val="22"/>
        </w:rPr>
        <w:t>to</w:t>
      </w:r>
      <w:r>
        <w:rPr>
          <w:spacing w:val="-5"/>
          <w:sz w:val="22"/>
        </w:rPr>
        <w:t> </w:t>
      </w:r>
      <w:r>
        <w:rPr>
          <w:sz w:val="22"/>
        </w:rPr>
        <w:t>“</w:t>
      </w:r>
      <w:r>
        <w:rPr>
          <w:i/>
          <w:sz w:val="22"/>
        </w:rPr>
        <w:t>[Act]</w:t>
      </w:r>
      <w:r>
        <w:rPr>
          <w:i/>
          <w:spacing w:val="-5"/>
          <w:sz w:val="22"/>
        </w:rPr>
        <w:t> </w:t>
      </w:r>
      <w:r>
        <w:rPr>
          <w:i/>
          <w:sz w:val="22"/>
        </w:rPr>
        <w:t>as</w:t>
      </w:r>
      <w:r>
        <w:rPr>
          <w:i/>
          <w:spacing w:val="-5"/>
          <w:sz w:val="22"/>
        </w:rPr>
        <w:t> </w:t>
      </w:r>
      <w:r>
        <w:rPr>
          <w:i/>
          <w:sz w:val="22"/>
        </w:rPr>
        <w:t>an</w:t>
      </w:r>
      <w:r>
        <w:rPr>
          <w:i/>
          <w:spacing w:val="-5"/>
          <w:sz w:val="22"/>
        </w:rPr>
        <w:t> </w:t>
      </w:r>
      <w:r>
        <w:rPr>
          <w:i/>
          <w:sz w:val="22"/>
        </w:rPr>
        <w:t>effective</w:t>
      </w:r>
      <w:r>
        <w:rPr>
          <w:i/>
          <w:spacing w:val="-5"/>
          <w:sz w:val="22"/>
        </w:rPr>
        <w:t> </w:t>
      </w:r>
      <w:r>
        <w:rPr>
          <w:i/>
          <w:sz w:val="22"/>
        </w:rPr>
        <w:t>mediator</w:t>
      </w:r>
      <w:r>
        <w:rPr>
          <w:i/>
          <w:spacing w:val="-5"/>
          <w:sz w:val="22"/>
        </w:rPr>
        <w:t> </w:t>
      </w:r>
      <w:r>
        <w:rPr>
          <w:i/>
          <w:sz w:val="22"/>
        </w:rPr>
        <w:t>between</w:t>
      </w:r>
      <w:r>
        <w:rPr>
          <w:i/>
          <w:spacing w:val="-5"/>
          <w:sz w:val="22"/>
        </w:rPr>
        <w:t> </w:t>
      </w:r>
      <w:r>
        <w:rPr>
          <w:i/>
          <w:sz w:val="22"/>
        </w:rPr>
        <w:t>parties.</w:t>
      </w:r>
      <w:r>
        <w:rPr>
          <w:sz w:val="22"/>
        </w:rPr>
        <w:t>”</w:t>
      </w:r>
      <w:r>
        <w:rPr>
          <w:spacing w:val="-5"/>
          <w:sz w:val="22"/>
        </w:rPr>
        <w:t> </w:t>
      </w:r>
      <w:r>
        <w:rPr>
          <w:sz w:val="22"/>
        </w:rPr>
        <w:t>In</w:t>
      </w:r>
      <w:r>
        <w:rPr>
          <w:spacing w:val="-5"/>
          <w:sz w:val="22"/>
        </w:rPr>
        <w:t> </w:t>
      </w:r>
      <w:r>
        <w:rPr>
          <w:sz w:val="22"/>
        </w:rPr>
        <w:t>this</w:t>
      </w:r>
      <w:r>
        <w:rPr>
          <w:spacing w:val="-5"/>
          <w:sz w:val="22"/>
        </w:rPr>
        <w:t> </w:t>
      </w:r>
      <w:r>
        <w:rPr>
          <w:sz w:val="22"/>
        </w:rPr>
        <w:t>case,</w:t>
      </w:r>
      <w:r>
        <w:rPr>
          <w:spacing w:val="-5"/>
          <w:sz w:val="22"/>
        </w:rPr>
        <w:t> </w:t>
      </w:r>
      <w:r>
        <w:rPr>
          <w:sz w:val="22"/>
        </w:rPr>
        <w:t>25%</w:t>
      </w:r>
      <w:r>
        <w:rPr>
          <w:spacing w:val="-5"/>
          <w:sz w:val="22"/>
        </w:rPr>
        <w:t> </w:t>
      </w:r>
      <w:r>
        <w:rPr>
          <w:sz w:val="22"/>
        </w:rPr>
        <w:t>of</w:t>
      </w:r>
      <w:r>
        <w:rPr>
          <w:spacing w:val="-5"/>
          <w:sz w:val="22"/>
        </w:rPr>
        <w:t> </w:t>
      </w:r>
      <w:r>
        <w:rPr>
          <w:sz w:val="22"/>
        </w:rPr>
        <w:t>respondents either </w:t>
      </w:r>
      <w:r>
        <w:rPr>
          <w:i/>
          <w:sz w:val="22"/>
        </w:rPr>
        <w:t>Somewhat </w:t>
      </w:r>
      <w:r>
        <w:rPr>
          <w:sz w:val="22"/>
        </w:rPr>
        <w:t>or </w:t>
      </w:r>
      <w:r>
        <w:rPr>
          <w:i/>
          <w:sz w:val="22"/>
        </w:rPr>
        <w:t>Strongly Disagreed </w:t>
      </w:r>
      <w:r>
        <w:rPr>
          <w:sz w:val="22"/>
        </w:rPr>
        <w:t>that he was effective, while 70% </w:t>
      </w:r>
      <w:r>
        <w:rPr>
          <w:i/>
          <w:sz w:val="22"/>
        </w:rPr>
        <w:t>Somewhat </w:t>
      </w:r>
      <w:r>
        <w:rPr>
          <w:sz w:val="22"/>
        </w:rPr>
        <w:t>or </w:t>
      </w:r>
      <w:r>
        <w:rPr>
          <w:i/>
          <w:sz w:val="22"/>
        </w:rPr>
        <w:t>Strongly Agreed </w:t>
      </w:r>
      <w:r>
        <w:rPr>
          <w:sz w:val="22"/>
        </w:rPr>
        <w:t>that he was effective. The remaining 5% were neutral. It was noted that, while this represented his lowest rating, it was still quite</w:t>
      </w:r>
      <w:r>
        <w:rPr>
          <w:spacing w:val="-20"/>
          <w:sz w:val="22"/>
        </w:rPr>
        <w:t> </w:t>
      </w:r>
      <w:r>
        <w:rPr>
          <w:sz w:val="22"/>
        </w:rPr>
        <w:t>positive.</w:t>
      </w:r>
    </w:p>
    <w:p>
      <w:pPr>
        <w:pStyle w:val="ListParagraph"/>
        <w:numPr>
          <w:ilvl w:val="0"/>
          <w:numId w:val="2"/>
        </w:numPr>
        <w:tabs>
          <w:tab w:pos="819" w:val="left" w:leader="none"/>
          <w:tab w:pos="820" w:val="left" w:leader="none"/>
        </w:tabs>
        <w:spacing w:line="276" w:lineRule="auto" w:before="0" w:after="0"/>
        <w:ind w:left="820" w:right="272" w:hanging="360"/>
        <w:jc w:val="left"/>
        <w:rPr>
          <w:sz w:val="22"/>
        </w:rPr>
      </w:pPr>
      <w:r>
        <w:rPr>
          <w:sz w:val="22"/>
        </w:rPr>
        <w:t>Ratings from respondents who identified as being a member of an underrepresented group were generally lower for many survey items. </w:t>
      </w:r>
      <w:r>
        <w:rPr>
          <w:spacing w:val="-3"/>
          <w:sz w:val="22"/>
        </w:rPr>
        <w:t>Notably, </w:t>
      </w:r>
      <w:r>
        <w:rPr>
          <w:sz w:val="22"/>
        </w:rPr>
        <w:t>respondents who identified as being members of an underrepresented group tended to rate </w:t>
      </w:r>
      <w:r>
        <w:rPr>
          <w:spacing w:val="-5"/>
          <w:sz w:val="22"/>
        </w:rPr>
        <w:t>Dr. </w:t>
      </w:r>
      <w:r>
        <w:rPr>
          <w:sz w:val="22"/>
        </w:rPr>
        <w:t>Villarruel lower on his ability to act as an effective mediator between parties, and his ability to be an effective problem </w:t>
      </w:r>
      <w:r>
        <w:rPr>
          <w:spacing w:val="-3"/>
          <w:sz w:val="22"/>
        </w:rPr>
        <w:t>solver. </w:t>
      </w:r>
      <w:r>
        <w:rPr>
          <w:spacing w:val="-5"/>
          <w:sz w:val="22"/>
        </w:rPr>
        <w:t>Dr. </w:t>
      </w:r>
      <w:r>
        <w:rPr>
          <w:sz w:val="22"/>
        </w:rPr>
        <w:t>Villarruel reflected on this discrepancy and surmised that some of the difference might be due to inequitable lived experiences at MSU for those from</w:t>
      </w:r>
      <w:r>
        <w:rPr>
          <w:spacing w:val="-6"/>
          <w:sz w:val="22"/>
        </w:rPr>
        <w:t> </w:t>
      </w:r>
      <w:r>
        <w:rPr>
          <w:sz w:val="22"/>
        </w:rPr>
        <w:t>underrepresented</w:t>
      </w:r>
      <w:r>
        <w:rPr>
          <w:spacing w:val="-6"/>
          <w:sz w:val="22"/>
        </w:rPr>
        <w:t> </w:t>
      </w:r>
      <w:r>
        <w:rPr>
          <w:sz w:val="22"/>
        </w:rPr>
        <w:t>groups.</w:t>
      </w:r>
      <w:r>
        <w:rPr>
          <w:spacing w:val="-5"/>
          <w:sz w:val="22"/>
        </w:rPr>
        <w:t> </w:t>
      </w:r>
      <w:r>
        <w:rPr>
          <w:sz w:val="22"/>
        </w:rPr>
        <w:t>He</w:t>
      </w:r>
      <w:r>
        <w:rPr>
          <w:spacing w:val="-6"/>
          <w:sz w:val="22"/>
        </w:rPr>
        <w:t> </w:t>
      </w:r>
      <w:r>
        <w:rPr>
          <w:sz w:val="22"/>
        </w:rPr>
        <w:t>described</w:t>
      </w:r>
      <w:r>
        <w:rPr>
          <w:spacing w:val="-6"/>
          <w:sz w:val="22"/>
        </w:rPr>
        <w:t> </w:t>
      </w:r>
      <w:r>
        <w:rPr>
          <w:sz w:val="22"/>
        </w:rPr>
        <w:t>a</w:t>
      </w:r>
      <w:r>
        <w:rPr>
          <w:spacing w:val="-5"/>
          <w:sz w:val="22"/>
        </w:rPr>
        <w:t> </w:t>
      </w:r>
      <w:r>
        <w:rPr>
          <w:sz w:val="22"/>
        </w:rPr>
        <w:t>few</w:t>
      </w:r>
      <w:r>
        <w:rPr>
          <w:spacing w:val="-6"/>
          <w:sz w:val="22"/>
        </w:rPr>
        <w:t> </w:t>
      </w:r>
      <w:r>
        <w:rPr>
          <w:sz w:val="22"/>
        </w:rPr>
        <w:t>such</w:t>
      </w:r>
      <w:r>
        <w:rPr>
          <w:spacing w:val="-6"/>
          <w:sz w:val="22"/>
        </w:rPr>
        <w:t> </w:t>
      </w:r>
      <w:r>
        <w:rPr>
          <w:sz w:val="22"/>
        </w:rPr>
        <w:t>instances</w:t>
      </w:r>
      <w:r>
        <w:rPr>
          <w:spacing w:val="-5"/>
          <w:sz w:val="22"/>
        </w:rPr>
        <w:t> </w:t>
      </w:r>
      <w:r>
        <w:rPr>
          <w:sz w:val="22"/>
        </w:rPr>
        <w:t>in</w:t>
      </w:r>
      <w:r>
        <w:rPr>
          <w:spacing w:val="-6"/>
          <w:sz w:val="22"/>
        </w:rPr>
        <w:t> </w:t>
      </w:r>
      <w:r>
        <w:rPr>
          <w:sz w:val="22"/>
        </w:rPr>
        <w:t>his</w:t>
      </w:r>
      <w:r>
        <w:rPr>
          <w:spacing w:val="-5"/>
          <w:sz w:val="22"/>
        </w:rPr>
        <w:t> </w:t>
      </w:r>
      <w:r>
        <w:rPr>
          <w:sz w:val="22"/>
        </w:rPr>
        <w:t>reflection,</w:t>
      </w:r>
      <w:r>
        <w:rPr>
          <w:spacing w:val="-6"/>
          <w:sz w:val="22"/>
        </w:rPr>
        <w:t> </w:t>
      </w:r>
      <w:r>
        <w:rPr>
          <w:sz w:val="22"/>
        </w:rPr>
        <w:t>and though he was empathetic, he noted that it was not within the purview of his office to mediate DEI-based conflicts if they did not stem from a violation of MSU</w:t>
      </w:r>
      <w:r>
        <w:rPr>
          <w:spacing w:val="-32"/>
          <w:sz w:val="22"/>
        </w:rPr>
        <w:t> </w:t>
      </w:r>
      <w:r>
        <w:rPr>
          <w:spacing w:val="-4"/>
          <w:sz w:val="22"/>
        </w:rPr>
        <w:t>policy.</w:t>
      </w:r>
    </w:p>
    <w:p>
      <w:pPr>
        <w:pStyle w:val="ListParagraph"/>
        <w:numPr>
          <w:ilvl w:val="0"/>
          <w:numId w:val="2"/>
        </w:numPr>
        <w:tabs>
          <w:tab w:pos="819" w:val="left" w:leader="none"/>
          <w:tab w:pos="820" w:val="left" w:leader="none"/>
        </w:tabs>
        <w:spacing w:line="276" w:lineRule="auto" w:before="0" w:after="0"/>
        <w:ind w:left="820" w:right="261" w:hanging="360"/>
        <w:jc w:val="left"/>
        <w:rPr>
          <w:sz w:val="22"/>
        </w:rPr>
      </w:pPr>
      <w:r>
        <w:rPr>
          <w:sz w:val="22"/>
        </w:rPr>
        <w:t>Open-ended comments were somewhat bimodal, either praising the excellence and effectiveness</w:t>
      </w:r>
      <w:r>
        <w:rPr>
          <w:spacing w:val="-7"/>
          <w:sz w:val="22"/>
        </w:rPr>
        <w:t> </w:t>
      </w:r>
      <w:r>
        <w:rPr>
          <w:sz w:val="22"/>
        </w:rPr>
        <w:t>of</w:t>
      </w:r>
      <w:r>
        <w:rPr>
          <w:spacing w:val="-6"/>
          <w:sz w:val="22"/>
        </w:rPr>
        <w:t> </w:t>
      </w:r>
      <w:r>
        <w:rPr>
          <w:spacing w:val="-5"/>
          <w:sz w:val="22"/>
        </w:rPr>
        <w:t>Dr.</w:t>
      </w:r>
      <w:r>
        <w:rPr>
          <w:spacing w:val="-6"/>
          <w:sz w:val="22"/>
        </w:rPr>
        <w:t> </w:t>
      </w:r>
      <w:r>
        <w:rPr>
          <w:sz w:val="22"/>
        </w:rPr>
        <w:t>Villarruel’s</w:t>
      </w:r>
      <w:r>
        <w:rPr>
          <w:spacing w:val="-6"/>
          <w:sz w:val="22"/>
        </w:rPr>
        <w:t> </w:t>
      </w:r>
      <w:r>
        <w:rPr>
          <w:sz w:val="22"/>
        </w:rPr>
        <w:t>work,</w:t>
      </w:r>
      <w:r>
        <w:rPr>
          <w:spacing w:val="-6"/>
          <w:sz w:val="22"/>
        </w:rPr>
        <w:t> </w:t>
      </w:r>
      <w:r>
        <w:rPr>
          <w:sz w:val="22"/>
        </w:rPr>
        <w:t>or</w:t>
      </w:r>
      <w:r>
        <w:rPr>
          <w:spacing w:val="-7"/>
          <w:sz w:val="22"/>
        </w:rPr>
        <w:t> </w:t>
      </w:r>
      <w:r>
        <w:rPr>
          <w:sz w:val="22"/>
        </w:rPr>
        <w:t>expressing</w:t>
      </w:r>
      <w:r>
        <w:rPr>
          <w:spacing w:val="-6"/>
          <w:sz w:val="22"/>
        </w:rPr>
        <w:t> </w:t>
      </w:r>
      <w:r>
        <w:rPr>
          <w:sz w:val="22"/>
        </w:rPr>
        <w:t>dissatisfaction</w:t>
      </w:r>
      <w:r>
        <w:rPr>
          <w:spacing w:val="-6"/>
          <w:sz w:val="22"/>
        </w:rPr>
        <w:t> </w:t>
      </w:r>
      <w:r>
        <w:rPr>
          <w:sz w:val="22"/>
        </w:rPr>
        <w:t>in</w:t>
      </w:r>
      <w:r>
        <w:rPr>
          <w:spacing w:val="-6"/>
          <w:sz w:val="22"/>
        </w:rPr>
        <w:t> </w:t>
      </w:r>
      <w:r>
        <w:rPr>
          <w:sz w:val="22"/>
        </w:rPr>
        <w:t>the</w:t>
      </w:r>
      <w:r>
        <w:rPr>
          <w:spacing w:val="-6"/>
          <w:sz w:val="22"/>
        </w:rPr>
        <w:t> </w:t>
      </w:r>
      <w:r>
        <w:rPr>
          <w:sz w:val="22"/>
        </w:rPr>
        <w:t>fact</w:t>
      </w:r>
      <w:r>
        <w:rPr>
          <w:spacing w:val="-7"/>
          <w:sz w:val="22"/>
        </w:rPr>
        <w:t> </w:t>
      </w:r>
      <w:r>
        <w:rPr>
          <w:sz w:val="22"/>
        </w:rPr>
        <w:t>that</w:t>
      </w:r>
      <w:r>
        <w:rPr>
          <w:spacing w:val="-6"/>
          <w:sz w:val="22"/>
        </w:rPr>
        <w:t> </w:t>
      </w:r>
      <w:r>
        <w:rPr>
          <w:sz w:val="22"/>
        </w:rPr>
        <w:t>the</w:t>
      </w:r>
      <w:r>
        <w:rPr>
          <w:spacing w:val="-6"/>
          <w:sz w:val="22"/>
        </w:rPr>
        <w:t> </w:t>
      </w:r>
      <w:r>
        <w:rPr>
          <w:sz w:val="22"/>
        </w:rPr>
        <w:t>FG Official or FG Office was not in a position to act as an </w:t>
      </w:r>
      <w:r>
        <w:rPr>
          <w:i/>
          <w:sz w:val="22"/>
        </w:rPr>
        <w:t>advocate </w:t>
      </w:r>
      <w:r>
        <w:rPr>
          <w:sz w:val="22"/>
        </w:rPr>
        <w:t>for faculty during disputes.</w:t>
      </w:r>
      <w:r>
        <w:rPr>
          <w:spacing w:val="-3"/>
          <w:sz w:val="22"/>
        </w:rPr>
        <w:t> </w:t>
      </w:r>
      <w:r>
        <w:rPr>
          <w:sz w:val="22"/>
        </w:rPr>
        <w:t>It</w:t>
      </w:r>
      <w:r>
        <w:rPr>
          <w:spacing w:val="-3"/>
          <w:sz w:val="22"/>
        </w:rPr>
        <w:t> </w:t>
      </w:r>
      <w:r>
        <w:rPr>
          <w:sz w:val="22"/>
        </w:rPr>
        <w:t>should</w:t>
      </w:r>
      <w:r>
        <w:rPr>
          <w:spacing w:val="-3"/>
          <w:sz w:val="22"/>
        </w:rPr>
        <w:t> </w:t>
      </w:r>
      <w:r>
        <w:rPr>
          <w:sz w:val="22"/>
        </w:rPr>
        <w:t>be</w:t>
      </w:r>
      <w:r>
        <w:rPr>
          <w:spacing w:val="-3"/>
          <w:sz w:val="22"/>
        </w:rPr>
        <w:t> </w:t>
      </w:r>
      <w:r>
        <w:rPr>
          <w:sz w:val="22"/>
        </w:rPr>
        <w:t>noted</w:t>
      </w:r>
      <w:r>
        <w:rPr>
          <w:spacing w:val="-3"/>
          <w:sz w:val="22"/>
        </w:rPr>
        <w:t> </w:t>
      </w:r>
      <w:r>
        <w:rPr>
          <w:sz w:val="22"/>
        </w:rPr>
        <w:t>that</w:t>
      </w:r>
      <w:r>
        <w:rPr>
          <w:spacing w:val="-2"/>
          <w:sz w:val="22"/>
        </w:rPr>
        <w:t> </w:t>
      </w:r>
      <w:r>
        <w:rPr>
          <w:sz w:val="22"/>
        </w:rPr>
        <w:t>that</w:t>
      </w:r>
      <w:r>
        <w:rPr>
          <w:spacing w:val="-3"/>
          <w:sz w:val="22"/>
        </w:rPr>
        <w:t> </w:t>
      </w:r>
      <w:r>
        <w:rPr>
          <w:sz w:val="22"/>
        </w:rPr>
        <w:t>is</w:t>
      </w:r>
      <w:r>
        <w:rPr>
          <w:spacing w:val="-3"/>
          <w:sz w:val="22"/>
        </w:rPr>
        <w:t> </w:t>
      </w:r>
      <w:r>
        <w:rPr>
          <w:sz w:val="22"/>
        </w:rPr>
        <w:t>not</w:t>
      </w:r>
      <w:r>
        <w:rPr>
          <w:spacing w:val="-3"/>
          <w:sz w:val="22"/>
        </w:rPr>
        <w:t> </w:t>
      </w:r>
      <w:r>
        <w:rPr>
          <w:sz w:val="22"/>
        </w:rPr>
        <w:t>the</w:t>
      </w:r>
      <w:r>
        <w:rPr>
          <w:spacing w:val="-3"/>
          <w:sz w:val="22"/>
        </w:rPr>
        <w:t> </w:t>
      </w:r>
      <w:r>
        <w:rPr>
          <w:sz w:val="22"/>
        </w:rPr>
        <w:t>role</w:t>
      </w:r>
      <w:r>
        <w:rPr>
          <w:spacing w:val="-2"/>
          <w:sz w:val="22"/>
        </w:rPr>
        <w:t> </w:t>
      </w:r>
      <w:r>
        <w:rPr>
          <w:sz w:val="22"/>
        </w:rPr>
        <w:t>of</w:t>
      </w:r>
      <w:r>
        <w:rPr>
          <w:spacing w:val="-3"/>
          <w:sz w:val="22"/>
        </w:rPr>
        <w:t> </w:t>
      </w:r>
      <w:r>
        <w:rPr>
          <w:sz w:val="22"/>
        </w:rPr>
        <w:t>the</w:t>
      </w:r>
      <w:r>
        <w:rPr>
          <w:spacing w:val="-3"/>
          <w:sz w:val="22"/>
        </w:rPr>
        <w:t> </w:t>
      </w:r>
      <w:r>
        <w:rPr>
          <w:sz w:val="22"/>
        </w:rPr>
        <w:t>FG</w:t>
      </w:r>
      <w:r>
        <w:rPr>
          <w:spacing w:val="-3"/>
          <w:sz w:val="22"/>
        </w:rPr>
        <w:t> </w:t>
      </w:r>
      <w:r>
        <w:rPr>
          <w:sz w:val="22"/>
        </w:rPr>
        <w:t>Office</w:t>
      </w:r>
      <w:r>
        <w:rPr>
          <w:spacing w:val="-3"/>
          <w:sz w:val="22"/>
        </w:rPr>
        <w:t> </w:t>
      </w:r>
      <w:r>
        <w:rPr>
          <w:sz w:val="22"/>
        </w:rPr>
        <w:t>or</w:t>
      </w:r>
      <w:r>
        <w:rPr>
          <w:spacing w:val="-2"/>
          <w:sz w:val="22"/>
        </w:rPr>
        <w:t> </w:t>
      </w:r>
      <w:r>
        <w:rPr>
          <w:sz w:val="22"/>
        </w:rPr>
        <w:t>Official.</w:t>
      </w:r>
    </w:p>
    <w:p>
      <w:pPr>
        <w:pStyle w:val="ListParagraph"/>
        <w:numPr>
          <w:ilvl w:val="0"/>
          <w:numId w:val="2"/>
        </w:numPr>
        <w:tabs>
          <w:tab w:pos="820" w:val="left" w:leader="none"/>
        </w:tabs>
        <w:spacing w:line="276" w:lineRule="auto" w:before="0" w:after="0"/>
        <w:ind w:left="820" w:right="252" w:hanging="360"/>
        <w:jc w:val="both"/>
        <w:rPr>
          <w:sz w:val="22"/>
        </w:rPr>
      </w:pPr>
      <w:r>
        <w:rPr>
          <w:sz w:val="22"/>
        </w:rPr>
        <w:t>Overall, the review found </w:t>
      </w:r>
      <w:r>
        <w:rPr>
          <w:spacing w:val="-5"/>
          <w:sz w:val="22"/>
        </w:rPr>
        <w:t>Dr. </w:t>
      </w:r>
      <w:r>
        <w:rPr>
          <w:sz w:val="22"/>
        </w:rPr>
        <w:t>Villarruel’s performance in the position as FG Official to be “</w:t>
      </w:r>
      <w:r>
        <w:rPr>
          <w:i/>
          <w:sz w:val="22"/>
        </w:rPr>
        <w:t>positive</w:t>
      </w:r>
      <w:r>
        <w:rPr>
          <w:i/>
          <w:spacing w:val="-6"/>
          <w:sz w:val="22"/>
        </w:rPr>
        <w:t> </w:t>
      </w:r>
      <w:r>
        <w:rPr>
          <w:i/>
          <w:sz w:val="22"/>
        </w:rPr>
        <w:t>with</w:t>
      </w:r>
      <w:r>
        <w:rPr>
          <w:i/>
          <w:spacing w:val="-6"/>
          <w:sz w:val="22"/>
        </w:rPr>
        <w:t> </w:t>
      </w:r>
      <w:r>
        <w:rPr>
          <w:i/>
          <w:sz w:val="22"/>
        </w:rPr>
        <w:t>no</w:t>
      </w:r>
      <w:r>
        <w:rPr>
          <w:i/>
          <w:spacing w:val="-6"/>
          <w:sz w:val="22"/>
        </w:rPr>
        <w:t> </w:t>
      </w:r>
      <w:r>
        <w:rPr>
          <w:i/>
          <w:sz w:val="22"/>
        </w:rPr>
        <w:t>areas</w:t>
      </w:r>
      <w:r>
        <w:rPr>
          <w:i/>
          <w:spacing w:val="-6"/>
          <w:sz w:val="22"/>
        </w:rPr>
        <w:t> </w:t>
      </w:r>
      <w:r>
        <w:rPr>
          <w:i/>
          <w:sz w:val="22"/>
        </w:rPr>
        <w:t>seen</w:t>
      </w:r>
      <w:r>
        <w:rPr>
          <w:i/>
          <w:spacing w:val="-6"/>
          <w:sz w:val="22"/>
        </w:rPr>
        <w:t> </w:t>
      </w:r>
      <w:r>
        <w:rPr>
          <w:i/>
          <w:sz w:val="22"/>
        </w:rPr>
        <w:t>as</w:t>
      </w:r>
      <w:r>
        <w:rPr>
          <w:i/>
          <w:spacing w:val="-6"/>
          <w:sz w:val="22"/>
        </w:rPr>
        <w:t> </w:t>
      </w:r>
      <w:r>
        <w:rPr>
          <w:i/>
          <w:sz w:val="22"/>
        </w:rPr>
        <w:t>especially</w:t>
      </w:r>
      <w:r>
        <w:rPr>
          <w:i/>
          <w:spacing w:val="-6"/>
          <w:sz w:val="22"/>
        </w:rPr>
        <w:t> </w:t>
      </w:r>
      <w:r>
        <w:rPr>
          <w:i/>
          <w:sz w:val="22"/>
        </w:rPr>
        <w:t>problematic</w:t>
      </w:r>
      <w:r>
        <w:rPr>
          <w:sz w:val="22"/>
        </w:rPr>
        <w:t>”,</w:t>
      </w:r>
      <w:r>
        <w:rPr>
          <w:spacing w:val="-6"/>
          <w:sz w:val="22"/>
        </w:rPr>
        <w:t> </w:t>
      </w:r>
      <w:r>
        <w:rPr>
          <w:sz w:val="22"/>
        </w:rPr>
        <w:t>and</w:t>
      </w:r>
      <w:r>
        <w:rPr>
          <w:spacing w:val="-6"/>
          <w:sz w:val="22"/>
        </w:rPr>
        <w:t> </w:t>
      </w:r>
      <w:r>
        <w:rPr>
          <w:sz w:val="22"/>
        </w:rPr>
        <w:t>encouraged</w:t>
      </w:r>
      <w:r>
        <w:rPr>
          <w:spacing w:val="-6"/>
          <w:sz w:val="22"/>
        </w:rPr>
        <w:t> </w:t>
      </w:r>
      <w:r>
        <w:rPr>
          <w:spacing w:val="-5"/>
          <w:sz w:val="22"/>
        </w:rPr>
        <w:t>Dr.</w:t>
      </w:r>
      <w:r>
        <w:rPr>
          <w:spacing w:val="-6"/>
          <w:sz w:val="22"/>
        </w:rPr>
        <w:t> </w:t>
      </w:r>
      <w:r>
        <w:rPr>
          <w:sz w:val="22"/>
        </w:rPr>
        <w:t>Villarruel</w:t>
      </w:r>
      <w:r>
        <w:rPr>
          <w:spacing w:val="-6"/>
          <w:sz w:val="22"/>
        </w:rPr>
        <w:t> </w:t>
      </w:r>
      <w:r>
        <w:rPr>
          <w:sz w:val="22"/>
        </w:rPr>
        <w:t>to continue to brainstorm ways that he can help those who engage with his office to better understand his neutral-by-design role in conflict</w:t>
      </w:r>
      <w:r>
        <w:rPr>
          <w:spacing w:val="-12"/>
          <w:sz w:val="22"/>
        </w:rPr>
        <w:t> </w:t>
      </w:r>
      <w:r>
        <w:rPr>
          <w:sz w:val="22"/>
        </w:rPr>
        <w:t>resolution.</w:t>
      </w:r>
    </w:p>
    <w:p>
      <w:pPr>
        <w:pStyle w:val="ListParagraph"/>
        <w:numPr>
          <w:ilvl w:val="0"/>
          <w:numId w:val="2"/>
        </w:numPr>
        <w:tabs>
          <w:tab w:pos="820" w:val="left" w:leader="none"/>
        </w:tabs>
        <w:spacing w:line="240" w:lineRule="auto" w:before="0" w:after="0"/>
        <w:ind w:left="820" w:right="0" w:hanging="360"/>
        <w:jc w:val="both"/>
        <w:rPr>
          <w:sz w:val="22"/>
        </w:rPr>
      </w:pPr>
      <w:r>
        <w:rPr>
          <w:sz w:val="22"/>
        </w:rPr>
        <w:t>The full 2022 calendar year review is attached as </w:t>
      </w:r>
      <w:r>
        <w:rPr>
          <w:i/>
          <w:sz w:val="22"/>
        </w:rPr>
        <w:t>Appendix</w:t>
      </w:r>
      <w:r>
        <w:rPr>
          <w:i/>
          <w:spacing w:val="-18"/>
          <w:sz w:val="22"/>
        </w:rPr>
        <w:t> </w:t>
      </w:r>
      <w:r>
        <w:rPr>
          <w:i/>
          <w:sz w:val="22"/>
        </w:rPr>
        <w:t>4</w:t>
      </w:r>
      <w:r>
        <w:rPr>
          <w:sz w:val="22"/>
        </w:rPr>
        <w:t>.</w:t>
      </w:r>
    </w:p>
    <w:p>
      <w:pPr>
        <w:spacing w:after="0" w:line="240" w:lineRule="auto"/>
        <w:jc w:val="both"/>
        <w:rPr>
          <w:sz w:val="22"/>
        </w:rPr>
        <w:sectPr>
          <w:pgSz w:w="12240" w:h="15840"/>
          <w:pgMar w:header="0" w:footer="724" w:top="1360" w:bottom="1000" w:left="1340" w:right="1300"/>
        </w:sectPr>
      </w:pPr>
    </w:p>
    <w:p>
      <w:pPr>
        <w:pStyle w:val="Heading1"/>
        <w:rPr>
          <w:u w:val="none"/>
        </w:rPr>
      </w:pPr>
      <w:bookmarkStart w:name="_TOC_250001" w:id="4"/>
      <w:r>
        <w:rPr>
          <w:rFonts w:ascii="Times New Roman"/>
          <w:b w:val="0"/>
          <w:spacing w:val="-60"/>
          <w:u w:val="thick"/>
        </w:rPr>
        <w:t> </w:t>
      </w:r>
      <w:r>
        <w:rPr>
          <w:u w:val="thick"/>
        </w:rPr>
        <w:t>Feedback from </w:t>
      </w:r>
      <w:r>
        <w:rPr>
          <w:spacing w:val="-4"/>
          <w:u w:val="thick"/>
        </w:rPr>
        <w:t>FASA</w:t>
      </w:r>
      <w:bookmarkEnd w:id="4"/>
      <w:r>
        <w:rPr>
          <w:u w:val="thick"/>
        </w:rPr>
        <w:t> Directors</w:t>
      </w:r>
    </w:p>
    <w:p>
      <w:pPr>
        <w:spacing w:before="41"/>
        <w:ind w:left="100" w:right="0" w:firstLine="0"/>
        <w:jc w:val="left"/>
        <w:rPr>
          <w:i/>
          <w:sz w:val="22"/>
        </w:rPr>
      </w:pPr>
      <w:r>
        <w:rPr>
          <w:i/>
          <w:sz w:val="22"/>
        </w:rPr>
        <w:t>Preamble:</w:t>
      </w:r>
    </w:p>
    <w:p>
      <w:pPr>
        <w:pStyle w:val="BodyText"/>
        <w:spacing w:line="276" w:lineRule="auto" w:before="38"/>
        <w:ind w:left="100" w:right="169"/>
      </w:pPr>
      <w:r>
        <w:rPr/>
        <w:t>The Faculty and Academic Staff Affairs (FASA) Directors serve as a collaborative resource for the FG Official and the FG Office. There are many times throughout a given year that the FG Office and the FG Official will consult with the FASA Directors. Generally, these are often inquiry-based communications regarding a particular policy that relates to a conflict brought forward by a faculty member, academic staff, or unit directors. There are also times where additional background information is needed should the issues presented by a faculty member or administrator seem to divulge only </w:t>
      </w:r>
      <w:r>
        <w:rPr>
          <w:i/>
        </w:rPr>
        <w:t>part </w:t>
      </w:r>
      <w:r>
        <w:rPr/>
        <w:t>of a particular conflict. In addition, proposed modifications of MSU Policy, relevant to the FG Office, are vetted with the FASA office before being presented to UCFA for consideration. In Dr. Vilalrruel’s tenure in the FG Official position, inquiries were most often directed to Kara Yermak, but was not atypical to communicate directly with any of four FASA Directors depending on the nature of a given situation that may a have arisen in a given semester. These interactions, though sometimes frequent, tended to be short</w:t>
      </w:r>
    </w:p>
    <w:p>
      <w:pPr>
        <w:pStyle w:val="BodyText"/>
        <w:spacing w:line="276" w:lineRule="auto"/>
        <w:ind w:left="100"/>
      </w:pPr>
      <w:r>
        <w:rPr/>
        <w:t>(most less than 20 minutes). In addition to instances where Dr. Villarruel initiated communication with one of the FASA directors, there were also times when the FASA Directors contacted Dr.</w:t>
      </w:r>
    </w:p>
    <w:p>
      <w:pPr>
        <w:pStyle w:val="BodyText"/>
        <w:spacing w:line="276" w:lineRule="auto"/>
        <w:ind w:left="100"/>
      </w:pPr>
      <w:r>
        <w:rPr/>
        <w:t>Villarruel, requesting that he reach out to faculty members who may have been working with the FASA Office to engage in relevant discussions regarding a conflict.</w:t>
      </w:r>
    </w:p>
    <w:p>
      <w:pPr>
        <w:pStyle w:val="BodyText"/>
        <w:spacing w:before="3"/>
        <w:rPr>
          <w:sz w:val="25"/>
        </w:rPr>
      </w:pPr>
    </w:p>
    <w:p>
      <w:pPr>
        <w:spacing w:before="0"/>
        <w:ind w:left="100" w:right="0" w:firstLine="0"/>
        <w:jc w:val="left"/>
        <w:rPr>
          <w:sz w:val="22"/>
        </w:rPr>
      </w:pPr>
      <w:r>
        <w:rPr>
          <w:i/>
          <w:sz w:val="22"/>
        </w:rPr>
        <w:t>FASA Director Feedback</w:t>
      </w:r>
      <w:r>
        <w:rPr>
          <w:sz w:val="22"/>
        </w:rPr>
        <w:t>:</w:t>
      </w:r>
    </w:p>
    <w:p>
      <w:pPr>
        <w:pStyle w:val="BodyText"/>
        <w:spacing w:line="276" w:lineRule="auto" w:before="38"/>
        <w:ind w:left="100"/>
      </w:pPr>
      <w:r>
        <w:rPr/>
        <w:t>In March 2023, three of the four FASA Directors were interviewed to solicit feedback on their interactions with the FG Office and with Dr Villarruel (note: the fourth FASA Director was not available for interview at the time of the writing of this report). The interviews were conducted by the UCFA Personnel Subcommittee Chair, Dr. Peter White. The interviews were transcribed and coded by Dr. White, and common themes were identified. These themes are reported below.</w:t>
      </w:r>
    </w:p>
    <w:p>
      <w:pPr>
        <w:pStyle w:val="BodyText"/>
        <w:spacing w:before="4"/>
        <w:rPr>
          <w:sz w:val="25"/>
        </w:rPr>
      </w:pPr>
    </w:p>
    <w:p>
      <w:pPr>
        <w:spacing w:before="0"/>
        <w:ind w:left="100" w:right="0" w:firstLine="0"/>
        <w:jc w:val="left"/>
        <w:rPr>
          <w:i/>
          <w:sz w:val="22"/>
        </w:rPr>
      </w:pPr>
      <w:r>
        <w:rPr>
          <w:i/>
          <w:sz w:val="22"/>
        </w:rPr>
        <w:t>Interview Instrument:</w:t>
      </w:r>
    </w:p>
    <w:p>
      <w:pPr>
        <w:pStyle w:val="ListParagraph"/>
        <w:numPr>
          <w:ilvl w:val="0"/>
          <w:numId w:val="3"/>
        </w:numPr>
        <w:tabs>
          <w:tab w:pos="820" w:val="left" w:leader="none"/>
        </w:tabs>
        <w:spacing w:line="240" w:lineRule="auto" w:before="38" w:after="0"/>
        <w:ind w:left="820" w:right="0" w:hanging="360"/>
        <w:jc w:val="left"/>
        <w:rPr>
          <w:sz w:val="22"/>
        </w:rPr>
      </w:pPr>
      <w:r>
        <w:rPr>
          <w:sz w:val="22"/>
        </w:rPr>
        <w:t>Describe your interactions with the Faculty Grievance Office over the past</w:t>
      </w:r>
      <w:r>
        <w:rPr>
          <w:spacing w:val="-31"/>
          <w:sz w:val="22"/>
        </w:rPr>
        <w:t> </w:t>
      </w:r>
      <w:r>
        <w:rPr>
          <w:spacing w:val="-4"/>
          <w:sz w:val="22"/>
        </w:rPr>
        <w:t>year.</w:t>
      </w:r>
    </w:p>
    <w:p>
      <w:pPr>
        <w:pStyle w:val="ListParagraph"/>
        <w:numPr>
          <w:ilvl w:val="0"/>
          <w:numId w:val="3"/>
        </w:numPr>
        <w:tabs>
          <w:tab w:pos="820" w:val="left" w:leader="none"/>
        </w:tabs>
        <w:spacing w:line="276" w:lineRule="auto" w:before="38" w:after="0"/>
        <w:ind w:left="820" w:right="847" w:hanging="360"/>
        <w:jc w:val="left"/>
        <w:rPr>
          <w:sz w:val="22"/>
        </w:rPr>
      </w:pPr>
      <w:r>
        <w:rPr>
          <w:sz w:val="22"/>
        </w:rPr>
        <w:t>If not covered in your prior </w:t>
      </w:r>
      <w:r>
        <w:rPr>
          <w:spacing w:val="-3"/>
          <w:sz w:val="22"/>
        </w:rPr>
        <w:t>answer, </w:t>
      </w:r>
      <w:r>
        <w:rPr>
          <w:sz w:val="22"/>
        </w:rPr>
        <w:t>what interactions have you had with Francisco Villarruel over the past three years, in a professional</w:t>
      </w:r>
      <w:r>
        <w:rPr>
          <w:spacing w:val="-18"/>
          <w:sz w:val="22"/>
        </w:rPr>
        <w:t> </w:t>
      </w:r>
      <w:r>
        <w:rPr>
          <w:spacing w:val="-3"/>
          <w:sz w:val="22"/>
        </w:rPr>
        <w:t>capacity.</w:t>
      </w:r>
    </w:p>
    <w:p>
      <w:pPr>
        <w:pStyle w:val="ListParagraph"/>
        <w:numPr>
          <w:ilvl w:val="0"/>
          <w:numId w:val="3"/>
        </w:numPr>
        <w:tabs>
          <w:tab w:pos="820" w:val="left" w:leader="none"/>
        </w:tabs>
        <w:spacing w:line="240" w:lineRule="auto" w:before="0" w:after="0"/>
        <w:ind w:left="820" w:right="0" w:hanging="360"/>
        <w:jc w:val="left"/>
        <w:rPr>
          <w:sz w:val="22"/>
        </w:rPr>
      </w:pPr>
      <w:r>
        <w:rPr>
          <w:sz w:val="22"/>
        </w:rPr>
        <w:t>What do you consider to be Villarruel’s</w:t>
      </w:r>
      <w:r>
        <w:rPr>
          <w:spacing w:val="-12"/>
          <w:sz w:val="22"/>
        </w:rPr>
        <w:t> </w:t>
      </w:r>
      <w:r>
        <w:rPr>
          <w:sz w:val="22"/>
        </w:rPr>
        <w:t>strengths?</w:t>
      </w:r>
    </w:p>
    <w:p>
      <w:pPr>
        <w:pStyle w:val="ListParagraph"/>
        <w:numPr>
          <w:ilvl w:val="0"/>
          <w:numId w:val="3"/>
        </w:numPr>
        <w:tabs>
          <w:tab w:pos="820" w:val="left" w:leader="none"/>
        </w:tabs>
        <w:spacing w:line="276" w:lineRule="auto" w:before="38" w:after="0"/>
        <w:ind w:left="820" w:right="399" w:hanging="360"/>
        <w:jc w:val="left"/>
        <w:rPr>
          <w:sz w:val="22"/>
        </w:rPr>
      </w:pPr>
      <w:r>
        <w:rPr>
          <w:sz w:val="22"/>
        </w:rPr>
        <w:t>How</w:t>
      </w:r>
      <w:r>
        <w:rPr>
          <w:spacing w:val="-7"/>
          <w:sz w:val="22"/>
        </w:rPr>
        <w:t> </w:t>
      </w:r>
      <w:r>
        <w:rPr>
          <w:sz w:val="22"/>
        </w:rPr>
        <w:t>would</w:t>
      </w:r>
      <w:r>
        <w:rPr>
          <w:spacing w:val="-6"/>
          <w:sz w:val="22"/>
        </w:rPr>
        <w:t> </w:t>
      </w:r>
      <w:r>
        <w:rPr>
          <w:sz w:val="22"/>
        </w:rPr>
        <w:t>you</w:t>
      </w:r>
      <w:r>
        <w:rPr>
          <w:spacing w:val="-6"/>
          <w:sz w:val="22"/>
        </w:rPr>
        <w:t> </w:t>
      </w:r>
      <w:r>
        <w:rPr>
          <w:sz w:val="22"/>
        </w:rPr>
        <w:t>describe</w:t>
      </w:r>
      <w:r>
        <w:rPr>
          <w:spacing w:val="-6"/>
          <w:sz w:val="22"/>
        </w:rPr>
        <w:t> </w:t>
      </w:r>
      <w:r>
        <w:rPr>
          <w:sz w:val="22"/>
        </w:rPr>
        <w:t>Villarruel’s</w:t>
      </w:r>
      <w:r>
        <w:rPr>
          <w:spacing w:val="-6"/>
          <w:sz w:val="22"/>
        </w:rPr>
        <w:t> </w:t>
      </w:r>
      <w:r>
        <w:rPr>
          <w:sz w:val="22"/>
        </w:rPr>
        <w:t>attention</w:t>
      </w:r>
      <w:r>
        <w:rPr>
          <w:spacing w:val="-6"/>
          <w:sz w:val="22"/>
        </w:rPr>
        <w:t> </w:t>
      </w:r>
      <w:r>
        <w:rPr>
          <w:sz w:val="22"/>
        </w:rPr>
        <w:t>to</w:t>
      </w:r>
      <w:r>
        <w:rPr>
          <w:spacing w:val="-7"/>
          <w:sz w:val="22"/>
        </w:rPr>
        <w:t> </w:t>
      </w:r>
      <w:r>
        <w:rPr>
          <w:sz w:val="22"/>
        </w:rPr>
        <w:t>process,</w:t>
      </w:r>
      <w:r>
        <w:rPr>
          <w:spacing w:val="-6"/>
          <w:sz w:val="22"/>
        </w:rPr>
        <w:t> </w:t>
      </w:r>
      <w:r>
        <w:rPr>
          <w:spacing w:val="-3"/>
          <w:sz w:val="22"/>
        </w:rPr>
        <w:t>integrity,</w:t>
      </w:r>
      <w:r>
        <w:rPr>
          <w:spacing w:val="-6"/>
          <w:sz w:val="22"/>
        </w:rPr>
        <w:t> </w:t>
      </w:r>
      <w:r>
        <w:rPr>
          <w:sz w:val="22"/>
        </w:rPr>
        <w:t>and</w:t>
      </w:r>
      <w:r>
        <w:rPr>
          <w:spacing w:val="-6"/>
          <w:sz w:val="22"/>
        </w:rPr>
        <w:t> </w:t>
      </w:r>
      <w:r>
        <w:rPr>
          <w:sz w:val="22"/>
        </w:rPr>
        <w:t>effectiveness</w:t>
      </w:r>
      <w:r>
        <w:rPr>
          <w:spacing w:val="-6"/>
          <w:sz w:val="22"/>
        </w:rPr>
        <w:t> </w:t>
      </w:r>
      <w:r>
        <w:rPr>
          <w:sz w:val="22"/>
        </w:rPr>
        <w:t>of working with </w:t>
      </w:r>
      <w:r>
        <w:rPr>
          <w:spacing w:val="-4"/>
          <w:sz w:val="22"/>
        </w:rPr>
        <w:t>FASA </w:t>
      </w:r>
      <w:r>
        <w:rPr>
          <w:sz w:val="22"/>
        </w:rPr>
        <w:t>directors, </w:t>
      </w:r>
      <w:r>
        <w:rPr>
          <w:spacing w:val="-3"/>
          <w:sz w:val="22"/>
        </w:rPr>
        <w:t>faculty, </w:t>
      </w:r>
      <w:r>
        <w:rPr>
          <w:sz w:val="22"/>
        </w:rPr>
        <w:t>and/or</w:t>
      </w:r>
      <w:r>
        <w:rPr>
          <w:spacing w:val="-4"/>
          <w:sz w:val="22"/>
        </w:rPr>
        <w:t> </w:t>
      </w:r>
      <w:r>
        <w:rPr>
          <w:sz w:val="22"/>
        </w:rPr>
        <w:t>administrators?</w:t>
      </w:r>
    </w:p>
    <w:p>
      <w:pPr>
        <w:pStyle w:val="ListParagraph"/>
        <w:numPr>
          <w:ilvl w:val="0"/>
          <w:numId w:val="3"/>
        </w:numPr>
        <w:tabs>
          <w:tab w:pos="820" w:val="left" w:leader="none"/>
        </w:tabs>
        <w:spacing w:line="276" w:lineRule="auto" w:before="0" w:after="0"/>
        <w:ind w:left="820" w:right="227" w:hanging="360"/>
        <w:jc w:val="left"/>
        <w:rPr>
          <w:sz w:val="22"/>
        </w:rPr>
      </w:pPr>
      <w:r>
        <w:rPr>
          <w:sz w:val="22"/>
        </w:rPr>
        <w:t>Are</w:t>
      </w:r>
      <w:r>
        <w:rPr>
          <w:spacing w:val="-5"/>
          <w:sz w:val="22"/>
        </w:rPr>
        <w:t> </w:t>
      </w:r>
      <w:r>
        <w:rPr>
          <w:sz w:val="22"/>
        </w:rPr>
        <w:t>there</w:t>
      </w:r>
      <w:r>
        <w:rPr>
          <w:spacing w:val="-5"/>
          <w:sz w:val="22"/>
        </w:rPr>
        <w:t> </w:t>
      </w:r>
      <w:r>
        <w:rPr>
          <w:sz w:val="22"/>
        </w:rPr>
        <w:t>areas</w:t>
      </w:r>
      <w:r>
        <w:rPr>
          <w:spacing w:val="-5"/>
          <w:sz w:val="22"/>
        </w:rPr>
        <w:t> </w:t>
      </w:r>
      <w:r>
        <w:rPr>
          <w:sz w:val="22"/>
        </w:rPr>
        <w:t>of</w:t>
      </w:r>
      <w:r>
        <w:rPr>
          <w:spacing w:val="-5"/>
          <w:sz w:val="22"/>
        </w:rPr>
        <w:t> </w:t>
      </w:r>
      <w:r>
        <w:rPr>
          <w:sz w:val="22"/>
        </w:rPr>
        <w:t>growth</w:t>
      </w:r>
      <w:r>
        <w:rPr>
          <w:spacing w:val="-5"/>
          <w:sz w:val="22"/>
        </w:rPr>
        <w:t> </w:t>
      </w:r>
      <w:r>
        <w:rPr>
          <w:sz w:val="22"/>
        </w:rPr>
        <w:t>you</w:t>
      </w:r>
      <w:r>
        <w:rPr>
          <w:spacing w:val="-5"/>
          <w:sz w:val="22"/>
        </w:rPr>
        <w:t> </w:t>
      </w:r>
      <w:r>
        <w:rPr>
          <w:sz w:val="22"/>
        </w:rPr>
        <w:t>would</w:t>
      </w:r>
      <w:r>
        <w:rPr>
          <w:spacing w:val="-5"/>
          <w:sz w:val="22"/>
        </w:rPr>
        <w:t> </w:t>
      </w:r>
      <w:r>
        <w:rPr>
          <w:sz w:val="22"/>
        </w:rPr>
        <w:t>recommend</w:t>
      </w:r>
      <w:r>
        <w:rPr>
          <w:spacing w:val="-5"/>
          <w:sz w:val="22"/>
        </w:rPr>
        <w:t> </w:t>
      </w:r>
      <w:r>
        <w:rPr>
          <w:sz w:val="22"/>
        </w:rPr>
        <w:t>that</w:t>
      </w:r>
      <w:r>
        <w:rPr>
          <w:spacing w:val="-5"/>
          <w:sz w:val="22"/>
        </w:rPr>
        <w:t> </w:t>
      </w:r>
      <w:r>
        <w:rPr>
          <w:sz w:val="22"/>
        </w:rPr>
        <w:t>Villarruel</w:t>
      </w:r>
      <w:r>
        <w:rPr>
          <w:spacing w:val="-5"/>
          <w:sz w:val="22"/>
        </w:rPr>
        <w:t> </w:t>
      </w:r>
      <w:r>
        <w:rPr>
          <w:sz w:val="22"/>
        </w:rPr>
        <w:t>focus</w:t>
      </w:r>
      <w:r>
        <w:rPr>
          <w:spacing w:val="-5"/>
          <w:sz w:val="22"/>
        </w:rPr>
        <w:t> </w:t>
      </w:r>
      <w:r>
        <w:rPr>
          <w:sz w:val="22"/>
        </w:rPr>
        <w:t>upon</w:t>
      </w:r>
      <w:r>
        <w:rPr>
          <w:spacing w:val="-5"/>
          <w:sz w:val="22"/>
        </w:rPr>
        <w:t> </w:t>
      </w:r>
      <w:r>
        <w:rPr>
          <w:sz w:val="22"/>
        </w:rPr>
        <w:t>should</w:t>
      </w:r>
      <w:r>
        <w:rPr>
          <w:spacing w:val="-5"/>
          <w:sz w:val="22"/>
        </w:rPr>
        <w:t> </w:t>
      </w:r>
      <w:r>
        <w:rPr>
          <w:sz w:val="22"/>
        </w:rPr>
        <w:t>he</w:t>
      </w:r>
      <w:r>
        <w:rPr>
          <w:spacing w:val="-5"/>
          <w:sz w:val="22"/>
        </w:rPr>
        <w:t> </w:t>
      </w:r>
      <w:r>
        <w:rPr>
          <w:sz w:val="22"/>
        </w:rPr>
        <w:t>be reappointed?</w:t>
      </w:r>
    </w:p>
    <w:p>
      <w:pPr>
        <w:pStyle w:val="ListParagraph"/>
        <w:numPr>
          <w:ilvl w:val="0"/>
          <w:numId w:val="3"/>
        </w:numPr>
        <w:tabs>
          <w:tab w:pos="820" w:val="left" w:leader="none"/>
        </w:tabs>
        <w:spacing w:line="276" w:lineRule="auto" w:before="0" w:after="0"/>
        <w:ind w:left="820" w:right="703" w:hanging="360"/>
        <w:jc w:val="left"/>
        <w:rPr>
          <w:sz w:val="22"/>
        </w:rPr>
      </w:pPr>
      <w:r>
        <w:rPr>
          <w:sz w:val="22"/>
        </w:rPr>
        <w:t>What</w:t>
      </w:r>
      <w:r>
        <w:rPr>
          <w:spacing w:val="-6"/>
          <w:sz w:val="22"/>
        </w:rPr>
        <w:t> </w:t>
      </w:r>
      <w:r>
        <w:rPr>
          <w:sz w:val="22"/>
        </w:rPr>
        <w:t>concerns</w:t>
      </w:r>
      <w:r>
        <w:rPr>
          <w:spacing w:val="-6"/>
          <w:sz w:val="22"/>
        </w:rPr>
        <w:t> </w:t>
      </w:r>
      <w:r>
        <w:rPr>
          <w:sz w:val="22"/>
        </w:rPr>
        <w:t>do</w:t>
      </w:r>
      <w:r>
        <w:rPr>
          <w:spacing w:val="-5"/>
          <w:sz w:val="22"/>
        </w:rPr>
        <w:t> </w:t>
      </w:r>
      <w:r>
        <w:rPr>
          <w:sz w:val="22"/>
        </w:rPr>
        <w:t>you</w:t>
      </w:r>
      <w:r>
        <w:rPr>
          <w:spacing w:val="-6"/>
          <w:sz w:val="22"/>
        </w:rPr>
        <w:t> </w:t>
      </w:r>
      <w:r>
        <w:rPr>
          <w:sz w:val="22"/>
        </w:rPr>
        <w:t>have</w:t>
      </w:r>
      <w:r>
        <w:rPr>
          <w:spacing w:val="-6"/>
          <w:sz w:val="22"/>
        </w:rPr>
        <w:t> </w:t>
      </w:r>
      <w:r>
        <w:rPr>
          <w:sz w:val="22"/>
        </w:rPr>
        <w:t>regarding</w:t>
      </w:r>
      <w:r>
        <w:rPr>
          <w:spacing w:val="-5"/>
          <w:sz w:val="22"/>
        </w:rPr>
        <w:t> </w:t>
      </w:r>
      <w:r>
        <w:rPr>
          <w:sz w:val="22"/>
        </w:rPr>
        <w:t>a</w:t>
      </w:r>
      <w:r>
        <w:rPr>
          <w:spacing w:val="-6"/>
          <w:sz w:val="22"/>
        </w:rPr>
        <w:t> </w:t>
      </w:r>
      <w:r>
        <w:rPr>
          <w:sz w:val="22"/>
        </w:rPr>
        <w:t>potential</w:t>
      </w:r>
      <w:r>
        <w:rPr>
          <w:spacing w:val="-6"/>
          <w:sz w:val="22"/>
        </w:rPr>
        <w:t> </w:t>
      </w:r>
      <w:r>
        <w:rPr>
          <w:sz w:val="22"/>
        </w:rPr>
        <w:t>reappointment</w:t>
      </w:r>
      <w:r>
        <w:rPr>
          <w:spacing w:val="-5"/>
          <w:sz w:val="22"/>
        </w:rPr>
        <w:t> </w:t>
      </w:r>
      <w:r>
        <w:rPr>
          <w:sz w:val="22"/>
        </w:rPr>
        <w:t>of</w:t>
      </w:r>
      <w:r>
        <w:rPr>
          <w:spacing w:val="-6"/>
          <w:sz w:val="22"/>
        </w:rPr>
        <w:t> </w:t>
      </w:r>
      <w:r>
        <w:rPr>
          <w:sz w:val="22"/>
        </w:rPr>
        <w:t>Villarruel</w:t>
      </w:r>
      <w:r>
        <w:rPr>
          <w:spacing w:val="-6"/>
          <w:sz w:val="22"/>
        </w:rPr>
        <w:t> </w:t>
      </w:r>
      <w:r>
        <w:rPr>
          <w:sz w:val="22"/>
        </w:rPr>
        <w:t>as</w:t>
      </w:r>
      <w:r>
        <w:rPr>
          <w:spacing w:val="-5"/>
          <w:sz w:val="22"/>
        </w:rPr>
        <w:t> </w:t>
      </w:r>
      <w:r>
        <w:rPr>
          <w:sz w:val="22"/>
        </w:rPr>
        <w:t>the FGO?</w:t>
      </w:r>
    </w:p>
    <w:p>
      <w:pPr>
        <w:pStyle w:val="ListParagraph"/>
        <w:numPr>
          <w:ilvl w:val="0"/>
          <w:numId w:val="3"/>
        </w:numPr>
        <w:tabs>
          <w:tab w:pos="820" w:val="left" w:leader="none"/>
        </w:tabs>
        <w:spacing w:line="276" w:lineRule="auto" w:before="0" w:after="0"/>
        <w:ind w:left="820" w:right="257" w:hanging="360"/>
        <w:jc w:val="left"/>
        <w:rPr>
          <w:sz w:val="22"/>
        </w:rPr>
      </w:pPr>
      <w:r>
        <w:rPr>
          <w:sz w:val="22"/>
        </w:rPr>
        <w:t>How</w:t>
      </w:r>
      <w:r>
        <w:rPr>
          <w:spacing w:val="-6"/>
          <w:sz w:val="22"/>
        </w:rPr>
        <w:t> </w:t>
      </w:r>
      <w:r>
        <w:rPr>
          <w:sz w:val="22"/>
        </w:rPr>
        <w:t>well</w:t>
      </w:r>
      <w:r>
        <w:rPr>
          <w:spacing w:val="-6"/>
          <w:sz w:val="22"/>
        </w:rPr>
        <w:t> </w:t>
      </w:r>
      <w:r>
        <w:rPr>
          <w:sz w:val="22"/>
        </w:rPr>
        <w:t>do</w:t>
      </w:r>
      <w:r>
        <w:rPr>
          <w:spacing w:val="-6"/>
          <w:sz w:val="22"/>
        </w:rPr>
        <w:t> </w:t>
      </w:r>
      <w:r>
        <w:rPr>
          <w:sz w:val="22"/>
        </w:rPr>
        <w:t>you</w:t>
      </w:r>
      <w:r>
        <w:rPr>
          <w:spacing w:val="-5"/>
          <w:sz w:val="22"/>
        </w:rPr>
        <w:t> </w:t>
      </w:r>
      <w:r>
        <w:rPr>
          <w:sz w:val="22"/>
        </w:rPr>
        <w:t>feel</w:t>
      </w:r>
      <w:r>
        <w:rPr>
          <w:spacing w:val="-6"/>
          <w:sz w:val="22"/>
        </w:rPr>
        <w:t> </w:t>
      </w:r>
      <w:r>
        <w:rPr>
          <w:sz w:val="22"/>
        </w:rPr>
        <w:t>that</w:t>
      </w:r>
      <w:r>
        <w:rPr>
          <w:spacing w:val="-6"/>
          <w:sz w:val="22"/>
        </w:rPr>
        <w:t> </w:t>
      </w:r>
      <w:r>
        <w:rPr>
          <w:sz w:val="22"/>
        </w:rPr>
        <w:t>Villarruel</w:t>
      </w:r>
      <w:r>
        <w:rPr>
          <w:spacing w:val="-6"/>
          <w:sz w:val="22"/>
        </w:rPr>
        <w:t> </w:t>
      </w:r>
      <w:r>
        <w:rPr>
          <w:sz w:val="22"/>
        </w:rPr>
        <w:t>upholds</w:t>
      </w:r>
      <w:r>
        <w:rPr>
          <w:spacing w:val="-5"/>
          <w:sz w:val="22"/>
        </w:rPr>
        <w:t> </w:t>
      </w:r>
      <w:r>
        <w:rPr>
          <w:sz w:val="22"/>
        </w:rPr>
        <w:t>the</w:t>
      </w:r>
      <w:r>
        <w:rPr>
          <w:spacing w:val="-6"/>
          <w:sz w:val="22"/>
        </w:rPr>
        <w:t> </w:t>
      </w:r>
      <w:r>
        <w:rPr>
          <w:sz w:val="22"/>
        </w:rPr>
        <w:t>University’s</w:t>
      </w:r>
      <w:r>
        <w:rPr>
          <w:spacing w:val="-6"/>
          <w:sz w:val="22"/>
        </w:rPr>
        <w:t> </w:t>
      </w:r>
      <w:r>
        <w:rPr>
          <w:sz w:val="22"/>
        </w:rPr>
        <w:t>commitment</w:t>
      </w:r>
      <w:r>
        <w:rPr>
          <w:spacing w:val="-6"/>
          <w:sz w:val="22"/>
        </w:rPr>
        <w:t> </w:t>
      </w:r>
      <w:r>
        <w:rPr>
          <w:sz w:val="22"/>
        </w:rPr>
        <w:t>to</w:t>
      </w:r>
      <w:r>
        <w:rPr>
          <w:spacing w:val="-5"/>
          <w:sz w:val="22"/>
        </w:rPr>
        <w:t> </w:t>
      </w:r>
      <w:r>
        <w:rPr>
          <w:sz w:val="22"/>
        </w:rPr>
        <w:t>DEI?</w:t>
      </w:r>
      <w:r>
        <w:rPr>
          <w:spacing w:val="-6"/>
          <w:sz w:val="22"/>
        </w:rPr>
        <w:t> </w:t>
      </w:r>
      <w:r>
        <w:rPr>
          <w:sz w:val="22"/>
        </w:rPr>
        <w:t>Please explain.</w:t>
      </w:r>
    </w:p>
    <w:p>
      <w:pPr>
        <w:spacing w:after="0" w:line="276" w:lineRule="auto"/>
        <w:jc w:val="left"/>
        <w:rPr>
          <w:sz w:val="22"/>
        </w:rPr>
        <w:sectPr>
          <w:pgSz w:w="12240" w:h="15840"/>
          <w:pgMar w:header="0" w:footer="724" w:top="1360" w:bottom="1000" w:left="1340" w:right="1300"/>
        </w:sectPr>
      </w:pPr>
    </w:p>
    <w:p>
      <w:pPr>
        <w:spacing w:before="80"/>
        <w:ind w:left="100" w:right="0" w:firstLine="0"/>
        <w:jc w:val="left"/>
        <w:rPr>
          <w:i/>
          <w:sz w:val="22"/>
        </w:rPr>
      </w:pPr>
      <w:r>
        <w:rPr>
          <w:i/>
          <w:sz w:val="22"/>
        </w:rPr>
        <w:t>Interview Results:</w:t>
      </w:r>
    </w:p>
    <w:p>
      <w:pPr>
        <w:pStyle w:val="BodyText"/>
        <w:spacing w:before="1"/>
        <w:rPr>
          <w:i/>
          <w:sz w:val="24"/>
        </w:rPr>
      </w:pPr>
    </w:p>
    <w:p>
      <w:pPr>
        <w:pStyle w:val="BodyText"/>
        <w:spacing w:before="1"/>
        <w:ind w:left="100"/>
      </w:pPr>
      <w:r>
        <w:rPr>
          <w:u w:val="thick"/>
        </w:rPr>
        <w:t>Prompt 3: Strengths</w:t>
      </w:r>
    </w:p>
    <w:p>
      <w:pPr>
        <w:pStyle w:val="BodyText"/>
        <w:spacing w:before="1"/>
        <w:rPr>
          <w:sz w:val="24"/>
        </w:rPr>
      </w:pPr>
    </w:p>
    <w:p>
      <w:pPr>
        <w:pStyle w:val="BodyText"/>
        <w:spacing w:line="276" w:lineRule="auto" w:before="1"/>
        <w:ind w:left="100" w:right="187"/>
      </w:pPr>
      <w:r>
        <w:rPr/>
        <w:t>All three FASA Directors lauded Dr. Villarruel’s commitment to deep and reflective listening. They also noted that he was a prompt, clear, and responsive communicator. Two directors highlighted Dr. Villarruel’s ability to excel in the area of policy interpretation. Two directors identified Dr. Villarruel’s strong analysis and decision-making skills.</w:t>
      </w:r>
    </w:p>
    <w:p>
      <w:pPr>
        <w:pStyle w:val="BodyText"/>
        <w:spacing w:before="9"/>
        <w:rPr>
          <w:sz w:val="20"/>
        </w:rPr>
      </w:pPr>
    </w:p>
    <w:p>
      <w:pPr>
        <w:pStyle w:val="BodyText"/>
        <w:spacing w:before="1"/>
        <w:ind w:left="100"/>
      </w:pPr>
      <w:r>
        <w:rPr/>
        <w:t>For example, one Director remarked:</w:t>
      </w:r>
    </w:p>
    <w:p>
      <w:pPr>
        <w:pStyle w:val="BodyText"/>
        <w:spacing w:before="1"/>
        <w:rPr>
          <w:sz w:val="24"/>
        </w:rPr>
      </w:pPr>
    </w:p>
    <w:p>
      <w:pPr>
        <w:spacing w:line="276" w:lineRule="auto" w:before="1"/>
        <w:ind w:left="100" w:right="0" w:firstLine="0"/>
        <w:jc w:val="left"/>
        <w:rPr>
          <w:i/>
          <w:sz w:val="22"/>
        </w:rPr>
      </w:pPr>
      <w:r>
        <w:rPr>
          <w:sz w:val="22"/>
        </w:rPr>
        <w:t>“</w:t>
      </w:r>
      <w:r>
        <w:rPr>
          <w:i/>
          <w:sz w:val="22"/>
        </w:rPr>
        <w:t>[He] knows when to ask for more information, and when he is in a scenario where he needs [to </w:t>
      </w:r>
      <w:r>
        <w:rPr>
          <w:i/>
          <w:sz w:val="22"/>
        </w:rPr>
        <w:t>call for] outside expertise.”</w:t>
      </w:r>
    </w:p>
    <w:p>
      <w:pPr>
        <w:pStyle w:val="BodyText"/>
        <w:spacing w:before="9"/>
        <w:rPr>
          <w:i/>
          <w:sz w:val="20"/>
        </w:rPr>
      </w:pPr>
    </w:p>
    <w:p>
      <w:pPr>
        <w:pStyle w:val="BodyText"/>
        <w:spacing w:before="1"/>
        <w:ind w:left="100"/>
      </w:pPr>
      <w:r>
        <w:rPr/>
        <w:t>In the area of conflict resolution, one Director explained:</w:t>
      </w:r>
    </w:p>
    <w:p>
      <w:pPr>
        <w:pStyle w:val="BodyText"/>
        <w:spacing w:before="1"/>
        <w:rPr>
          <w:sz w:val="24"/>
        </w:rPr>
      </w:pPr>
    </w:p>
    <w:p>
      <w:pPr>
        <w:spacing w:line="276" w:lineRule="auto" w:before="1"/>
        <w:ind w:left="100" w:right="187" w:firstLine="0"/>
        <w:jc w:val="left"/>
        <w:rPr>
          <w:i/>
          <w:sz w:val="22"/>
        </w:rPr>
      </w:pPr>
      <w:r>
        <w:rPr>
          <w:sz w:val="22"/>
        </w:rPr>
        <w:t>“</w:t>
      </w:r>
      <w:r>
        <w:rPr>
          <w:i/>
          <w:sz w:val="22"/>
        </w:rPr>
        <w:t>He has a calm demeanor, [and is] able to do conflict resolution even in some of the most </w:t>
      </w:r>
      <w:r>
        <w:rPr>
          <w:i/>
          <w:sz w:val="22"/>
        </w:rPr>
        <w:t>heated spaces.”</w:t>
      </w:r>
    </w:p>
    <w:p>
      <w:pPr>
        <w:pStyle w:val="BodyText"/>
        <w:spacing w:before="9"/>
        <w:rPr>
          <w:i/>
          <w:sz w:val="20"/>
        </w:rPr>
      </w:pPr>
    </w:p>
    <w:p>
      <w:pPr>
        <w:pStyle w:val="BodyText"/>
        <w:spacing w:before="1"/>
        <w:ind w:left="100"/>
      </w:pPr>
      <w:r>
        <w:rPr>
          <w:u w:val="thick"/>
        </w:rPr>
        <w:t>Prompt 4: Attention to Process, Integrity, and Effectiveness</w:t>
      </w:r>
    </w:p>
    <w:p>
      <w:pPr>
        <w:pStyle w:val="BodyText"/>
        <w:spacing w:before="1"/>
        <w:rPr>
          <w:sz w:val="24"/>
        </w:rPr>
      </w:pPr>
    </w:p>
    <w:p>
      <w:pPr>
        <w:pStyle w:val="BodyText"/>
        <w:spacing w:line="276" w:lineRule="auto" w:before="1"/>
        <w:ind w:left="100" w:right="187"/>
      </w:pPr>
      <w:r>
        <w:rPr>
          <w:rFonts w:ascii="Times New Roman" w:hAnsi="Times New Roman"/>
          <w:spacing w:val="-55"/>
          <w:u w:val="thick"/>
        </w:rPr>
        <w:t> </w:t>
      </w:r>
      <w:r>
        <w:rPr>
          <w:i/>
          <w:u w:val="thick"/>
        </w:rPr>
        <w:t>Regarding Process</w:t>
      </w:r>
      <w:r>
        <w:rPr/>
        <w:t>, all three directors remarked on </w:t>
      </w:r>
      <w:r>
        <w:rPr>
          <w:spacing w:val="-5"/>
        </w:rPr>
        <w:t>Dr. </w:t>
      </w:r>
      <w:r>
        <w:rPr/>
        <w:t>Villarruel’s even-keeled approach to conflict resolution. </w:t>
      </w:r>
      <w:r>
        <w:rPr>
          <w:spacing w:val="-5"/>
        </w:rPr>
        <w:t>Two </w:t>
      </w:r>
      <w:r>
        <w:rPr/>
        <w:t>directors noted that he focuses on solving problems, and not on assigning blame.</w:t>
      </w:r>
    </w:p>
    <w:p>
      <w:pPr>
        <w:pStyle w:val="BodyText"/>
        <w:spacing w:before="9"/>
        <w:rPr>
          <w:sz w:val="20"/>
        </w:rPr>
      </w:pPr>
    </w:p>
    <w:p>
      <w:pPr>
        <w:pStyle w:val="BodyText"/>
        <w:spacing w:before="1"/>
        <w:ind w:left="100"/>
      </w:pPr>
      <w:r>
        <w:rPr/>
        <w:t>Put another way, one director remarked:</w:t>
      </w:r>
    </w:p>
    <w:p>
      <w:pPr>
        <w:pStyle w:val="BodyText"/>
        <w:spacing w:before="1"/>
        <w:rPr>
          <w:sz w:val="24"/>
        </w:rPr>
      </w:pPr>
    </w:p>
    <w:p>
      <w:pPr>
        <w:spacing w:before="1"/>
        <w:ind w:left="161" w:right="0" w:firstLine="0"/>
        <w:jc w:val="left"/>
        <w:rPr>
          <w:sz w:val="22"/>
        </w:rPr>
      </w:pPr>
      <w:r>
        <w:rPr>
          <w:sz w:val="22"/>
        </w:rPr>
        <w:t>“</w:t>
      </w:r>
      <w:r>
        <w:rPr>
          <w:i/>
          <w:sz w:val="22"/>
        </w:rPr>
        <w:t>[Dr. Villarruel</w:t>
      </w:r>
      <w:r>
        <w:rPr>
          <w:sz w:val="22"/>
        </w:rPr>
        <w:t>] </w:t>
      </w:r>
      <w:r>
        <w:rPr>
          <w:i/>
          <w:sz w:val="22"/>
        </w:rPr>
        <w:t>does not assume any mal intent</w:t>
      </w:r>
      <w:r>
        <w:rPr>
          <w:sz w:val="22"/>
        </w:rPr>
        <w:t>”, when engaging in conflict resolution.</w:t>
      </w:r>
    </w:p>
    <w:p>
      <w:pPr>
        <w:pStyle w:val="BodyText"/>
        <w:spacing w:before="1"/>
        <w:rPr>
          <w:sz w:val="24"/>
        </w:rPr>
      </w:pPr>
    </w:p>
    <w:p>
      <w:pPr>
        <w:pStyle w:val="BodyText"/>
        <w:spacing w:before="1"/>
        <w:ind w:left="100"/>
      </w:pPr>
      <w:r>
        <w:rPr/>
        <w:t>Feedback from the directors indicated that Dr. Villarruel recognizes that there is no</w:t>
      </w:r>
    </w:p>
    <w:p>
      <w:pPr>
        <w:pStyle w:val="BodyText"/>
        <w:spacing w:line="276" w:lineRule="auto" w:before="38"/>
        <w:ind w:left="100" w:right="117"/>
      </w:pPr>
      <w:r>
        <w:rPr/>
        <w:t>one-size-fits-all approach when he interacts with administrators and staff. When someone engages him with an issue, sometimes he tries to help them better understand relevant policy, other times he focuses on trying to bridge a misunderstanding that seems to be contributing to a conflict, and yet other times he may help someone in a conflict-scenario to better-understand their options when it comes to navigating a grievance or mediation type scenario. These examples also speak to Dr. Villarruel’s</w:t>
      </w:r>
      <w:r>
        <w:rPr>
          <w:u w:val="thick"/>
        </w:rPr>
        <w:t> </w:t>
      </w:r>
      <w:r>
        <w:rPr>
          <w:i/>
          <w:u w:val="thick"/>
        </w:rPr>
        <w:t>Effectiveness</w:t>
      </w:r>
      <w:r>
        <w:rPr>
          <w:u w:val="thick"/>
        </w:rPr>
        <w:t>.</w:t>
      </w:r>
    </w:p>
    <w:p>
      <w:pPr>
        <w:pStyle w:val="BodyText"/>
        <w:spacing w:before="9"/>
        <w:rPr>
          <w:sz w:val="20"/>
        </w:rPr>
      </w:pPr>
    </w:p>
    <w:p>
      <w:pPr>
        <w:pStyle w:val="ListParagraph"/>
        <w:numPr>
          <w:ilvl w:val="0"/>
          <w:numId w:val="1"/>
        </w:numPr>
        <w:tabs>
          <w:tab w:pos="296" w:val="left" w:leader="none"/>
        </w:tabs>
        <w:spacing w:line="276" w:lineRule="auto" w:before="1" w:after="0"/>
        <w:ind w:left="100" w:right="239" w:firstLine="0"/>
        <w:jc w:val="left"/>
        <w:rPr>
          <w:sz w:val="22"/>
        </w:rPr>
      </w:pPr>
      <w:r>
        <w:rPr>
          <w:i/>
          <w:sz w:val="22"/>
          <w:u w:val="thick"/>
        </w:rPr>
        <w:t>Regarding</w:t>
      </w:r>
      <w:r>
        <w:rPr>
          <w:i/>
          <w:spacing w:val="-6"/>
          <w:sz w:val="22"/>
          <w:u w:val="thick"/>
        </w:rPr>
        <w:t> </w:t>
      </w:r>
      <w:r>
        <w:rPr>
          <w:i/>
          <w:sz w:val="22"/>
          <w:u w:val="thick"/>
        </w:rPr>
        <w:t>Integrity</w:t>
      </w:r>
      <w:r>
        <w:rPr>
          <w:i/>
          <w:sz w:val="22"/>
        </w:rPr>
        <w:t>,</w:t>
      </w:r>
      <w:r>
        <w:rPr>
          <w:i/>
          <w:spacing w:val="-6"/>
          <w:sz w:val="22"/>
        </w:rPr>
        <w:t> </w:t>
      </w:r>
      <w:r>
        <w:rPr>
          <w:sz w:val="22"/>
        </w:rPr>
        <w:t>none</w:t>
      </w:r>
      <w:r>
        <w:rPr>
          <w:spacing w:val="-6"/>
          <w:sz w:val="22"/>
        </w:rPr>
        <w:t> </w:t>
      </w:r>
      <w:r>
        <w:rPr>
          <w:sz w:val="22"/>
        </w:rPr>
        <w:t>of</w:t>
      </w:r>
      <w:r>
        <w:rPr>
          <w:spacing w:val="-6"/>
          <w:sz w:val="22"/>
        </w:rPr>
        <w:t> </w:t>
      </w:r>
      <w:r>
        <w:rPr>
          <w:sz w:val="22"/>
        </w:rPr>
        <w:t>the</w:t>
      </w:r>
      <w:r>
        <w:rPr>
          <w:spacing w:val="-6"/>
          <w:sz w:val="22"/>
        </w:rPr>
        <w:t> </w:t>
      </w:r>
      <w:r>
        <w:rPr>
          <w:sz w:val="22"/>
        </w:rPr>
        <w:t>Directors</w:t>
      </w:r>
      <w:r>
        <w:rPr>
          <w:spacing w:val="-6"/>
          <w:sz w:val="22"/>
        </w:rPr>
        <w:t> </w:t>
      </w:r>
      <w:r>
        <w:rPr>
          <w:sz w:val="22"/>
        </w:rPr>
        <w:t>expressed</w:t>
      </w:r>
      <w:r>
        <w:rPr>
          <w:spacing w:val="-6"/>
          <w:sz w:val="22"/>
        </w:rPr>
        <w:t> </w:t>
      </w:r>
      <w:r>
        <w:rPr>
          <w:sz w:val="22"/>
        </w:rPr>
        <w:t>any</w:t>
      </w:r>
      <w:r>
        <w:rPr>
          <w:spacing w:val="-6"/>
          <w:sz w:val="22"/>
        </w:rPr>
        <w:t> </w:t>
      </w:r>
      <w:r>
        <w:rPr>
          <w:sz w:val="22"/>
        </w:rPr>
        <w:t>concern</w:t>
      </w:r>
      <w:r>
        <w:rPr>
          <w:spacing w:val="-6"/>
          <w:sz w:val="22"/>
        </w:rPr>
        <w:t> </w:t>
      </w:r>
      <w:r>
        <w:rPr>
          <w:sz w:val="22"/>
        </w:rPr>
        <w:t>regarding</w:t>
      </w:r>
      <w:r>
        <w:rPr>
          <w:spacing w:val="-6"/>
          <w:sz w:val="22"/>
        </w:rPr>
        <w:t> </w:t>
      </w:r>
      <w:r>
        <w:rPr>
          <w:sz w:val="22"/>
        </w:rPr>
        <w:t>the</w:t>
      </w:r>
      <w:r>
        <w:rPr>
          <w:spacing w:val="-6"/>
          <w:sz w:val="22"/>
        </w:rPr>
        <w:t> </w:t>
      </w:r>
      <w:r>
        <w:rPr>
          <w:sz w:val="22"/>
        </w:rPr>
        <w:t>FG</w:t>
      </w:r>
      <w:r>
        <w:rPr>
          <w:spacing w:val="-5"/>
          <w:sz w:val="22"/>
        </w:rPr>
        <w:t> </w:t>
      </w:r>
      <w:r>
        <w:rPr>
          <w:sz w:val="22"/>
        </w:rPr>
        <w:t>Official</w:t>
      </w:r>
      <w:r>
        <w:rPr>
          <w:spacing w:val="-6"/>
          <w:sz w:val="22"/>
        </w:rPr>
        <w:t> </w:t>
      </w:r>
      <w:r>
        <w:rPr>
          <w:sz w:val="22"/>
        </w:rPr>
        <w:t>or the FG Office in their time working with </w:t>
      </w:r>
      <w:r>
        <w:rPr>
          <w:spacing w:val="-5"/>
          <w:sz w:val="22"/>
        </w:rPr>
        <w:t>Dr.</w:t>
      </w:r>
      <w:r>
        <w:rPr>
          <w:spacing w:val="-14"/>
          <w:sz w:val="22"/>
        </w:rPr>
        <w:t> </w:t>
      </w:r>
      <w:r>
        <w:rPr>
          <w:sz w:val="22"/>
        </w:rPr>
        <w:t>Villarruel.</w:t>
      </w:r>
    </w:p>
    <w:p>
      <w:pPr>
        <w:pStyle w:val="BodyText"/>
        <w:spacing w:before="9"/>
        <w:rPr>
          <w:sz w:val="20"/>
        </w:rPr>
      </w:pPr>
    </w:p>
    <w:p>
      <w:pPr>
        <w:pStyle w:val="BodyText"/>
        <w:spacing w:before="1"/>
        <w:ind w:left="100"/>
      </w:pPr>
      <w:r>
        <w:rPr/>
        <w:t>One Director remarked:</w:t>
      </w:r>
    </w:p>
    <w:p>
      <w:pPr>
        <w:pStyle w:val="BodyText"/>
        <w:spacing w:before="1"/>
        <w:rPr>
          <w:sz w:val="24"/>
        </w:rPr>
      </w:pPr>
    </w:p>
    <w:p>
      <w:pPr>
        <w:spacing w:line="504" w:lineRule="auto" w:before="1"/>
        <w:ind w:left="100" w:right="3039" w:firstLine="61"/>
        <w:jc w:val="left"/>
        <w:rPr>
          <w:sz w:val="22"/>
        </w:rPr>
      </w:pPr>
      <w:r>
        <w:rPr>
          <w:sz w:val="22"/>
        </w:rPr>
        <w:t>“</w:t>
      </w:r>
      <w:r>
        <w:rPr>
          <w:i/>
          <w:sz w:val="22"/>
        </w:rPr>
        <w:t>I’ve never felt the need to question [Dr. Villarruel’s] </w:t>
      </w:r>
      <w:r>
        <w:rPr>
          <w:sz w:val="22"/>
        </w:rPr>
        <w:t>integrity.” Another noted:</w:t>
      </w:r>
    </w:p>
    <w:p>
      <w:pPr>
        <w:spacing w:line="252" w:lineRule="exact" w:before="0"/>
        <w:ind w:left="100" w:right="0" w:firstLine="0"/>
        <w:jc w:val="left"/>
        <w:rPr>
          <w:sz w:val="22"/>
        </w:rPr>
      </w:pPr>
      <w:r>
        <w:rPr>
          <w:sz w:val="22"/>
        </w:rPr>
        <w:t>“</w:t>
      </w:r>
      <w:r>
        <w:rPr>
          <w:i/>
          <w:sz w:val="22"/>
        </w:rPr>
        <w:t>Operating with integrity is key, and I think [Dr. Villarruel] knows that.</w:t>
      </w:r>
      <w:r>
        <w:rPr>
          <w:sz w:val="22"/>
        </w:rPr>
        <w:t>”</w:t>
      </w:r>
    </w:p>
    <w:p>
      <w:pPr>
        <w:spacing w:after="0" w:line="252" w:lineRule="exact"/>
        <w:jc w:val="left"/>
        <w:rPr>
          <w:sz w:val="22"/>
        </w:rPr>
        <w:sectPr>
          <w:pgSz w:w="12240" w:h="15840"/>
          <w:pgMar w:header="0" w:footer="724" w:top="1360" w:bottom="1000" w:left="1340" w:right="1300"/>
        </w:sectPr>
      </w:pPr>
    </w:p>
    <w:p>
      <w:pPr>
        <w:pStyle w:val="ListParagraph"/>
        <w:numPr>
          <w:ilvl w:val="0"/>
          <w:numId w:val="1"/>
        </w:numPr>
        <w:tabs>
          <w:tab w:pos="235" w:val="left" w:leader="none"/>
        </w:tabs>
        <w:spacing w:line="276" w:lineRule="auto" w:before="80" w:after="0"/>
        <w:ind w:left="100" w:right="296" w:firstLine="0"/>
        <w:jc w:val="left"/>
        <w:rPr>
          <w:sz w:val="22"/>
        </w:rPr>
      </w:pPr>
      <w:r>
        <w:rPr>
          <w:i/>
          <w:sz w:val="22"/>
          <w:u w:val="thick"/>
        </w:rPr>
        <w:t>Regarding Effectiveness</w:t>
      </w:r>
      <w:r>
        <w:rPr>
          <w:sz w:val="22"/>
        </w:rPr>
        <w:t>, in addition to the elements mentioned above, all Directors felt that </w:t>
      </w:r>
      <w:r>
        <w:rPr>
          <w:spacing w:val="-5"/>
          <w:sz w:val="22"/>
        </w:rPr>
        <w:t>Dr. </w:t>
      </w:r>
      <w:r>
        <w:rPr>
          <w:sz w:val="22"/>
        </w:rPr>
        <w:t>Villarruel had been operating at moderate-to-high levels of effectiveness. One Director expressed a concern that the FG Official might be more effective if he had more frequent interactions with MSU’s Deans, Directors, and Chairs. The sentiment was that </w:t>
      </w:r>
      <w:r>
        <w:rPr>
          <w:spacing w:val="-5"/>
          <w:sz w:val="22"/>
        </w:rPr>
        <w:t>Dr. </w:t>
      </w:r>
      <w:r>
        <w:rPr>
          <w:sz w:val="22"/>
        </w:rPr>
        <w:t>Villarruel might</w:t>
      </w:r>
      <w:r>
        <w:rPr>
          <w:spacing w:val="-6"/>
          <w:sz w:val="22"/>
        </w:rPr>
        <w:t> </w:t>
      </w:r>
      <w:r>
        <w:rPr>
          <w:sz w:val="22"/>
        </w:rPr>
        <w:t>play</w:t>
      </w:r>
      <w:r>
        <w:rPr>
          <w:spacing w:val="-6"/>
          <w:sz w:val="22"/>
        </w:rPr>
        <w:t> </w:t>
      </w:r>
      <w:r>
        <w:rPr>
          <w:sz w:val="22"/>
        </w:rPr>
        <w:t>a</w:t>
      </w:r>
      <w:r>
        <w:rPr>
          <w:spacing w:val="-6"/>
          <w:sz w:val="22"/>
        </w:rPr>
        <w:t> </w:t>
      </w:r>
      <w:r>
        <w:rPr>
          <w:sz w:val="22"/>
        </w:rPr>
        <w:t>role</w:t>
      </w:r>
      <w:r>
        <w:rPr>
          <w:spacing w:val="-6"/>
          <w:sz w:val="22"/>
        </w:rPr>
        <w:t> </w:t>
      </w:r>
      <w:r>
        <w:rPr>
          <w:sz w:val="22"/>
        </w:rPr>
        <w:t>in</w:t>
      </w:r>
      <w:r>
        <w:rPr>
          <w:spacing w:val="-6"/>
          <w:sz w:val="22"/>
        </w:rPr>
        <w:t> </w:t>
      </w:r>
      <w:r>
        <w:rPr>
          <w:sz w:val="22"/>
        </w:rPr>
        <w:t>helping</w:t>
      </w:r>
      <w:r>
        <w:rPr>
          <w:spacing w:val="-5"/>
          <w:sz w:val="22"/>
        </w:rPr>
        <w:t> </w:t>
      </w:r>
      <w:r>
        <w:rPr>
          <w:sz w:val="22"/>
        </w:rPr>
        <w:t>unit</w:t>
      </w:r>
      <w:r>
        <w:rPr>
          <w:spacing w:val="-6"/>
          <w:sz w:val="22"/>
        </w:rPr>
        <w:t> </w:t>
      </w:r>
      <w:r>
        <w:rPr>
          <w:sz w:val="22"/>
        </w:rPr>
        <w:t>administrators</w:t>
      </w:r>
      <w:r>
        <w:rPr>
          <w:spacing w:val="-6"/>
          <w:sz w:val="22"/>
        </w:rPr>
        <w:t> </w:t>
      </w:r>
      <w:r>
        <w:rPr>
          <w:sz w:val="22"/>
        </w:rPr>
        <w:t>better-understand</w:t>
      </w:r>
      <w:r>
        <w:rPr>
          <w:spacing w:val="-6"/>
          <w:sz w:val="22"/>
        </w:rPr>
        <w:t> </w:t>
      </w:r>
      <w:r>
        <w:rPr>
          <w:sz w:val="22"/>
        </w:rPr>
        <w:t>the</w:t>
      </w:r>
      <w:r>
        <w:rPr>
          <w:spacing w:val="-6"/>
          <w:sz w:val="22"/>
        </w:rPr>
        <w:t> </w:t>
      </w:r>
      <w:r>
        <w:rPr>
          <w:sz w:val="22"/>
        </w:rPr>
        <w:t>grievance</w:t>
      </w:r>
      <w:r>
        <w:rPr>
          <w:spacing w:val="-6"/>
          <w:sz w:val="22"/>
        </w:rPr>
        <w:t> </w:t>
      </w:r>
      <w:r>
        <w:rPr>
          <w:sz w:val="22"/>
        </w:rPr>
        <w:t>process</w:t>
      </w:r>
      <w:r>
        <w:rPr>
          <w:spacing w:val="-5"/>
          <w:sz w:val="22"/>
        </w:rPr>
        <w:t> </w:t>
      </w:r>
      <w:r>
        <w:rPr>
          <w:sz w:val="22"/>
        </w:rPr>
        <w:t>so</w:t>
      </w:r>
      <w:r>
        <w:rPr>
          <w:spacing w:val="-6"/>
          <w:sz w:val="22"/>
        </w:rPr>
        <w:t> </w:t>
      </w:r>
      <w:r>
        <w:rPr>
          <w:sz w:val="22"/>
        </w:rPr>
        <w:t>that they could better-inform the faculty and other administrative personnel in their respective units. They also suggested that </w:t>
      </w:r>
      <w:r>
        <w:rPr>
          <w:spacing w:val="-5"/>
          <w:sz w:val="22"/>
        </w:rPr>
        <w:t>Dr. </w:t>
      </w:r>
      <w:r>
        <w:rPr>
          <w:sz w:val="22"/>
        </w:rPr>
        <w:t>Villarruel could engage in further conflict resolution training to further improve his</w:t>
      </w:r>
      <w:r>
        <w:rPr>
          <w:spacing w:val="-4"/>
          <w:sz w:val="22"/>
        </w:rPr>
        <w:t> </w:t>
      </w:r>
      <w:r>
        <w:rPr>
          <w:sz w:val="22"/>
        </w:rPr>
        <w:t>effectiveness.</w:t>
      </w:r>
    </w:p>
    <w:p>
      <w:pPr>
        <w:pStyle w:val="BodyText"/>
        <w:spacing w:line="530" w:lineRule="exact" w:before="22"/>
        <w:ind w:left="100" w:right="483"/>
      </w:pPr>
      <w:r>
        <w:rPr>
          <w:u w:val="thick"/>
        </w:rPr>
        <w:t>Prompts 6 &amp; 7: Areas of Growth /Concern about Potential Reappointment of FG Official</w:t>
      </w:r>
      <w:r>
        <w:rPr/>
        <w:t> Aside from the feedback that Dr. Villarruel might play a role in helping Deans, Directors, and</w:t>
      </w:r>
    </w:p>
    <w:p>
      <w:pPr>
        <w:pStyle w:val="BodyText"/>
        <w:spacing w:line="232" w:lineRule="exact"/>
        <w:ind w:left="100"/>
      </w:pPr>
      <w:r>
        <w:rPr/>
        <w:t>Chairs better understand his role, and that he might seek to engage in regular conflict resolution</w:t>
      </w:r>
    </w:p>
    <w:p>
      <w:pPr>
        <w:pStyle w:val="BodyText"/>
        <w:spacing w:line="276" w:lineRule="auto" w:before="38"/>
        <w:ind w:left="100" w:right="187"/>
      </w:pPr>
      <w:r>
        <w:rPr/>
        <w:t>training (both mentioned in the preceding paragraph), none of the Directors identified other areas where the FG Official could seek to grow.</w:t>
      </w:r>
    </w:p>
    <w:p>
      <w:pPr>
        <w:pStyle w:val="BodyText"/>
        <w:spacing w:before="10"/>
        <w:rPr>
          <w:sz w:val="20"/>
        </w:rPr>
      </w:pPr>
    </w:p>
    <w:p>
      <w:pPr>
        <w:pStyle w:val="BodyText"/>
        <w:ind w:left="100"/>
      </w:pPr>
      <w:r>
        <w:rPr/>
        <w:t>Regarding areas for potential growth, one FASA Director said:</w:t>
      </w:r>
    </w:p>
    <w:p>
      <w:pPr>
        <w:pStyle w:val="BodyText"/>
        <w:spacing w:before="2"/>
        <w:rPr>
          <w:sz w:val="24"/>
        </w:rPr>
      </w:pPr>
    </w:p>
    <w:p>
      <w:pPr>
        <w:spacing w:line="504" w:lineRule="auto" w:before="0"/>
        <w:ind w:left="100" w:right="3039" w:firstLine="0"/>
        <w:jc w:val="left"/>
        <w:rPr>
          <w:sz w:val="22"/>
        </w:rPr>
      </w:pPr>
      <w:r>
        <w:rPr>
          <w:i/>
          <w:sz w:val="22"/>
        </w:rPr>
        <w:t>“I honestly don’t know… I think [Dr. Villarruel] is top notch.</w:t>
      </w:r>
      <w:r>
        <w:rPr>
          <w:sz w:val="22"/>
        </w:rPr>
        <w:t>” Another said:</w:t>
      </w:r>
    </w:p>
    <w:p>
      <w:pPr>
        <w:spacing w:line="252" w:lineRule="exact" w:before="0"/>
        <w:ind w:left="100" w:right="0" w:firstLine="0"/>
        <w:jc w:val="left"/>
        <w:rPr>
          <w:sz w:val="22"/>
        </w:rPr>
      </w:pPr>
      <w:r>
        <w:rPr>
          <w:i/>
          <w:sz w:val="22"/>
        </w:rPr>
        <w:t>“Nothing comes to</w:t>
      </w:r>
      <w:r>
        <w:rPr>
          <w:i/>
          <w:spacing w:val="-20"/>
          <w:sz w:val="22"/>
        </w:rPr>
        <w:t> </w:t>
      </w:r>
      <w:r>
        <w:rPr>
          <w:i/>
          <w:sz w:val="22"/>
        </w:rPr>
        <w:t>mind</w:t>
      </w:r>
      <w:r>
        <w:rPr>
          <w:sz w:val="22"/>
        </w:rPr>
        <w:t>.”</w:t>
      </w:r>
    </w:p>
    <w:p>
      <w:pPr>
        <w:pStyle w:val="BodyText"/>
        <w:spacing w:before="2"/>
        <w:rPr>
          <w:sz w:val="24"/>
        </w:rPr>
      </w:pPr>
    </w:p>
    <w:p>
      <w:pPr>
        <w:pStyle w:val="BodyText"/>
        <w:spacing w:line="276" w:lineRule="auto"/>
        <w:ind w:left="100" w:right="242"/>
      </w:pPr>
      <w:r>
        <w:rPr/>
        <w:t>Along these lines, none of the </w:t>
      </w:r>
      <w:r>
        <w:rPr>
          <w:spacing w:val="-4"/>
        </w:rPr>
        <w:t>FASA </w:t>
      </w:r>
      <w:r>
        <w:rPr/>
        <w:t>Directors that were interviewed expressed any reservation or hesitation, regarding the potential reappointment of </w:t>
      </w:r>
      <w:r>
        <w:rPr>
          <w:spacing w:val="-5"/>
        </w:rPr>
        <w:t>Dr. </w:t>
      </w:r>
      <w:r>
        <w:rPr/>
        <w:t>Villarruel as the FG Official. One Director explained it</w:t>
      </w:r>
      <w:r>
        <w:rPr>
          <w:spacing w:val="-4"/>
        </w:rPr>
        <w:t> </w:t>
      </w:r>
      <w:r>
        <w:rPr/>
        <w:t>thus:</w:t>
      </w:r>
    </w:p>
    <w:p>
      <w:pPr>
        <w:pStyle w:val="BodyText"/>
        <w:spacing w:before="10"/>
        <w:rPr>
          <w:sz w:val="20"/>
        </w:rPr>
      </w:pPr>
    </w:p>
    <w:p>
      <w:pPr>
        <w:spacing w:line="276" w:lineRule="auto" w:before="0"/>
        <w:ind w:left="100" w:right="0" w:firstLine="0"/>
        <w:jc w:val="left"/>
        <w:rPr>
          <w:i/>
          <w:sz w:val="22"/>
        </w:rPr>
      </w:pPr>
      <w:r>
        <w:rPr>
          <w:i/>
          <w:sz w:val="22"/>
        </w:rPr>
        <w:t>“I don’t have any concerns [about Dr. Villarruel’s potential reappointment]; he has been a really </w:t>
      </w:r>
      <w:r>
        <w:rPr>
          <w:i/>
          <w:sz w:val="22"/>
        </w:rPr>
        <w:t>good partner to our office.”</w:t>
      </w:r>
    </w:p>
    <w:p>
      <w:pPr>
        <w:pStyle w:val="BodyText"/>
        <w:spacing w:before="10"/>
        <w:rPr>
          <w:i/>
          <w:sz w:val="20"/>
        </w:rPr>
      </w:pPr>
    </w:p>
    <w:p>
      <w:pPr>
        <w:pStyle w:val="BodyText"/>
        <w:ind w:left="100"/>
      </w:pPr>
      <w:r>
        <w:rPr>
          <w:u w:val="thick"/>
        </w:rPr>
        <w:t>Prompt 8: Commitment to Diversity, Equity and Inclusion</w:t>
      </w:r>
    </w:p>
    <w:p>
      <w:pPr>
        <w:pStyle w:val="BodyText"/>
        <w:spacing w:before="2"/>
        <w:rPr>
          <w:sz w:val="24"/>
        </w:rPr>
      </w:pPr>
    </w:p>
    <w:p>
      <w:pPr>
        <w:pStyle w:val="BodyText"/>
        <w:spacing w:line="276" w:lineRule="auto"/>
        <w:ind w:left="100" w:right="117"/>
      </w:pPr>
      <w:r>
        <w:rPr/>
        <w:t>None of the FASA Directors expressed any concerns regarding Dr. Villarruel’s commitment to DEI. There was a general sentiment that he has a good reputation along the three axes of DEI.</w:t>
      </w:r>
    </w:p>
    <w:p>
      <w:pPr>
        <w:pStyle w:val="BodyText"/>
        <w:spacing w:before="10"/>
        <w:rPr>
          <w:sz w:val="20"/>
        </w:rPr>
      </w:pPr>
    </w:p>
    <w:p>
      <w:pPr>
        <w:pStyle w:val="BodyText"/>
        <w:ind w:left="100"/>
      </w:pPr>
      <w:r>
        <w:rPr>
          <w:u w:val="thick"/>
        </w:rPr>
        <w:t>Conclusion</w:t>
      </w:r>
    </w:p>
    <w:p>
      <w:pPr>
        <w:pStyle w:val="BodyText"/>
        <w:spacing w:before="2"/>
        <w:rPr>
          <w:sz w:val="24"/>
        </w:rPr>
      </w:pPr>
    </w:p>
    <w:p>
      <w:pPr>
        <w:pStyle w:val="BodyText"/>
        <w:spacing w:line="276" w:lineRule="auto"/>
        <w:ind w:left="100" w:right="187"/>
      </w:pPr>
      <w:r>
        <w:rPr/>
        <w:t>The feedback from the FASA Directors was overwhelmingly positive regarding their interactions with- and the operations of Dr. Villarruel. During the interview process, they repeatedly noted that he was effective and excellent in his work.</w:t>
      </w:r>
    </w:p>
    <w:p>
      <w:pPr>
        <w:spacing w:after="0" w:line="276" w:lineRule="auto"/>
        <w:sectPr>
          <w:pgSz w:w="12240" w:h="15840"/>
          <w:pgMar w:header="0" w:footer="724" w:top="1360" w:bottom="1000" w:left="1340" w:right="1300"/>
        </w:sectPr>
      </w:pPr>
    </w:p>
    <w:p>
      <w:pPr>
        <w:pStyle w:val="Heading1"/>
        <w:rPr>
          <w:u w:val="none"/>
        </w:rPr>
      </w:pPr>
      <w:bookmarkStart w:name="_TOC_250000" w:id="5"/>
      <w:r>
        <w:rPr>
          <w:rFonts w:ascii="Times New Roman"/>
          <w:b w:val="0"/>
          <w:spacing w:val="-60"/>
          <w:u w:val="thick"/>
        </w:rPr>
        <w:t> </w:t>
      </w:r>
      <w:bookmarkEnd w:id="5"/>
      <w:r>
        <w:rPr>
          <w:u w:val="thick"/>
        </w:rPr>
        <w:t>Professional Development Activities and Outreach</w:t>
      </w:r>
    </w:p>
    <w:p>
      <w:pPr>
        <w:pStyle w:val="BodyText"/>
        <w:spacing w:line="276" w:lineRule="auto" w:before="41"/>
        <w:ind w:left="100"/>
      </w:pPr>
      <w:r>
        <w:rPr/>
        <w:t>Dr. Villarruel regularly participated in professional development seminars and workshops, and engaged in continuing education opportunities during his tenure as the FG Official.</w:t>
      </w:r>
    </w:p>
    <w:p>
      <w:pPr>
        <w:pStyle w:val="BodyText"/>
        <w:spacing w:before="3"/>
        <w:rPr>
          <w:sz w:val="25"/>
        </w:rPr>
      </w:pPr>
    </w:p>
    <w:p>
      <w:pPr>
        <w:pStyle w:val="BodyText"/>
        <w:spacing w:before="1"/>
        <w:ind w:left="100"/>
        <w:jc w:val="both"/>
      </w:pPr>
      <w:r>
        <w:rPr/>
        <w:t>For the period of 2019-2022*, this</w:t>
      </w:r>
      <w:r>
        <w:rPr>
          <w:spacing w:val="-37"/>
        </w:rPr>
        <w:t> </w:t>
      </w:r>
      <w:r>
        <w:rPr/>
        <w:t>includes:</w:t>
      </w:r>
    </w:p>
    <w:p>
      <w:pPr>
        <w:pStyle w:val="ListParagraph"/>
        <w:numPr>
          <w:ilvl w:val="0"/>
          <w:numId w:val="4"/>
        </w:numPr>
        <w:tabs>
          <w:tab w:pos="820" w:val="left" w:leader="none"/>
        </w:tabs>
        <w:spacing w:line="276" w:lineRule="auto" w:before="37" w:after="0"/>
        <w:ind w:left="820" w:right="333" w:hanging="360"/>
        <w:jc w:val="both"/>
        <w:rPr>
          <w:sz w:val="22"/>
        </w:rPr>
      </w:pPr>
      <w:r>
        <w:rPr>
          <w:sz w:val="22"/>
        </w:rPr>
        <w:t>Over</w:t>
      </w:r>
      <w:r>
        <w:rPr>
          <w:spacing w:val="-5"/>
          <w:sz w:val="22"/>
        </w:rPr>
        <w:t> </w:t>
      </w:r>
      <w:r>
        <w:rPr>
          <w:sz w:val="22"/>
        </w:rPr>
        <w:t>60</w:t>
      </w:r>
      <w:r>
        <w:rPr>
          <w:spacing w:val="-5"/>
          <w:sz w:val="22"/>
        </w:rPr>
        <w:t> </w:t>
      </w:r>
      <w:r>
        <w:rPr>
          <w:sz w:val="22"/>
        </w:rPr>
        <w:t>hours</w:t>
      </w:r>
      <w:r>
        <w:rPr>
          <w:spacing w:val="-5"/>
          <w:sz w:val="22"/>
        </w:rPr>
        <w:t> </w:t>
      </w:r>
      <w:r>
        <w:rPr>
          <w:sz w:val="22"/>
        </w:rPr>
        <w:t>of</w:t>
      </w:r>
      <w:r>
        <w:rPr>
          <w:spacing w:val="-5"/>
          <w:sz w:val="22"/>
        </w:rPr>
        <w:t> </w:t>
      </w:r>
      <w:r>
        <w:rPr>
          <w:sz w:val="22"/>
        </w:rPr>
        <w:t>workshops</w:t>
      </w:r>
      <w:r>
        <w:rPr>
          <w:spacing w:val="-4"/>
          <w:sz w:val="22"/>
        </w:rPr>
        <w:t> </w:t>
      </w:r>
      <w:r>
        <w:rPr>
          <w:sz w:val="22"/>
        </w:rPr>
        <w:t>and</w:t>
      </w:r>
      <w:r>
        <w:rPr>
          <w:spacing w:val="-5"/>
          <w:sz w:val="22"/>
        </w:rPr>
        <w:t> </w:t>
      </w:r>
      <w:r>
        <w:rPr>
          <w:sz w:val="22"/>
        </w:rPr>
        <w:t>training</w:t>
      </w:r>
      <w:r>
        <w:rPr>
          <w:spacing w:val="-5"/>
          <w:sz w:val="22"/>
        </w:rPr>
        <w:t> </w:t>
      </w:r>
      <w:r>
        <w:rPr>
          <w:sz w:val="22"/>
        </w:rPr>
        <w:t>in</w:t>
      </w:r>
      <w:r>
        <w:rPr>
          <w:spacing w:val="-5"/>
          <w:sz w:val="22"/>
        </w:rPr>
        <w:t> </w:t>
      </w:r>
      <w:r>
        <w:rPr>
          <w:sz w:val="22"/>
        </w:rPr>
        <w:t>mediation</w:t>
      </w:r>
      <w:r>
        <w:rPr>
          <w:spacing w:val="-4"/>
          <w:sz w:val="22"/>
        </w:rPr>
        <w:t> </w:t>
      </w:r>
      <w:r>
        <w:rPr>
          <w:sz w:val="22"/>
        </w:rPr>
        <w:t>and</w:t>
      </w:r>
      <w:r>
        <w:rPr>
          <w:spacing w:val="-5"/>
          <w:sz w:val="22"/>
        </w:rPr>
        <w:t> </w:t>
      </w:r>
      <w:r>
        <w:rPr>
          <w:sz w:val="22"/>
        </w:rPr>
        <w:t>dispute</w:t>
      </w:r>
      <w:r>
        <w:rPr>
          <w:spacing w:val="-5"/>
          <w:sz w:val="22"/>
        </w:rPr>
        <w:t> </w:t>
      </w:r>
      <w:r>
        <w:rPr>
          <w:sz w:val="22"/>
        </w:rPr>
        <w:t>resolution,</w:t>
      </w:r>
      <w:r>
        <w:rPr>
          <w:spacing w:val="-5"/>
          <w:sz w:val="22"/>
        </w:rPr>
        <w:t> </w:t>
      </w:r>
      <w:r>
        <w:rPr>
          <w:sz w:val="22"/>
        </w:rPr>
        <w:t>put</w:t>
      </w:r>
      <w:r>
        <w:rPr>
          <w:spacing w:val="-4"/>
          <w:sz w:val="22"/>
        </w:rPr>
        <w:t> </w:t>
      </w:r>
      <w:r>
        <w:rPr>
          <w:sz w:val="22"/>
        </w:rPr>
        <w:t>on</w:t>
      </w:r>
      <w:r>
        <w:rPr>
          <w:spacing w:val="-5"/>
          <w:sz w:val="22"/>
        </w:rPr>
        <w:t> </w:t>
      </w:r>
      <w:r>
        <w:rPr>
          <w:sz w:val="22"/>
        </w:rPr>
        <w:t>by the State Bar of</w:t>
      </w:r>
      <w:r>
        <w:rPr>
          <w:spacing w:val="-5"/>
          <w:sz w:val="22"/>
        </w:rPr>
        <w:t> </w:t>
      </w:r>
      <w:r>
        <w:rPr>
          <w:sz w:val="22"/>
        </w:rPr>
        <w:t>Michigan.</w:t>
      </w:r>
    </w:p>
    <w:p>
      <w:pPr>
        <w:pStyle w:val="ListParagraph"/>
        <w:numPr>
          <w:ilvl w:val="0"/>
          <w:numId w:val="4"/>
        </w:numPr>
        <w:tabs>
          <w:tab w:pos="820" w:val="left" w:leader="none"/>
        </w:tabs>
        <w:spacing w:line="276" w:lineRule="auto" w:before="0" w:after="0"/>
        <w:ind w:left="820" w:right="390" w:hanging="360"/>
        <w:jc w:val="both"/>
        <w:rPr>
          <w:i/>
          <w:sz w:val="22"/>
        </w:rPr>
      </w:pPr>
      <w:r>
        <w:rPr>
          <w:sz w:val="22"/>
        </w:rPr>
        <w:t>Over 35 seminars and workshops at MSU ranging in topics from </w:t>
      </w:r>
      <w:r>
        <w:rPr>
          <w:i/>
          <w:sz w:val="22"/>
        </w:rPr>
        <w:t>Working with Support </w:t>
      </w:r>
      <w:r>
        <w:rPr>
          <w:i/>
          <w:sz w:val="22"/>
        </w:rPr>
        <w:t>Staff</w:t>
      </w:r>
      <w:r>
        <w:rPr>
          <w:sz w:val="22"/>
        </w:rPr>
        <w:t>,</w:t>
      </w:r>
      <w:r>
        <w:rPr>
          <w:spacing w:val="-8"/>
          <w:sz w:val="22"/>
        </w:rPr>
        <w:t> </w:t>
      </w:r>
      <w:r>
        <w:rPr>
          <w:sz w:val="22"/>
        </w:rPr>
        <w:t>to</w:t>
      </w:r>
      <w:r>
        <w:rPr>
          <w:spacing w:val="-7"/>
          <w:sz w:val="22"/>
        </w:rPr>
        <w:t> </w:t>
      </w:r>
      <w:r>
        <w:rPr>
          <w:i/>
          <w:sz w:val="22"/>
        </w:rPr>
        <w:t>Discipline,</w:t>
      </w:r>
      <w:r>
        <w:rPr>
          <w:i/>
          <w:spacing w:val="-8"/>
          <w:sz w:val="22"/>
        </w:rPr>
        <w:t> </w:t>
      </w:r>
      <w:r>
        <w:rPr>
          <w:i/>
          <w:sz w:val="22"/>
        </w:rPr>
        <w:t>Relationship</w:t>
      </w:r>
      <w:r>
        <w:rPr>
          <w:i/>
          <w:spacing w:val="-7"/>
          <w:sz w:val="22"/>
        </w:rPr>
        <w:t> </w:t>
      </w:r>
      <w:r>
        <w:rPr>
          <w:i/>
          <w:sz w:val="22"/>
        </w:rPr>
        <w:t>Violence,</w:t>
      </w:r>
      <w:r>
        <w:rPr>
          <w:i/>
          <w:spacing w:val="-7"/>
          <w:sz w:val="22"/>
        </w:rPr>
        <w:t> </w:t>
      </w:r>
      <w:r>
        <w:rPr>
          <w:i/>
          <w:sz w:val="22"/>
        </w:rPr>
        <w:t>and</w:t>
      </w:r>
      <w:r>
        <w:rPr>
          <w:i/>
          <w:spacing w:val="-8"/>
          <w:sz w:val="22"/>
        </w:rPr>
        <w:t> </w:t>
      </w:r>
      <w:r>
        <w:rPr>
          <w:i/>
          <w:sz w:val="22"/>
        </w:rPr>
        <w:t>Sexual</w:t>
      </w:r>
      <w:r>
        <w:rPr>
          <w:i/>
          <w:spacing w:val="-7"/>
          <w:sz w:val="22"/>
        </w:rPr>
        <w:t> </w:t>
      </w:r>
      <w:r>
        <w:rPr>
          <w:i/>
          <w:sz w:val="22"/>
        </w:rPr>
        <w:t>Misconduct</w:t>
      </w:r>
      <w:r>
        <w:rPr>
          <w:i/>
          <w:spacing w:val="-7"/>
          <w:sz w:val="22"/>
        </w:rPr>
        <w:t> </w:t>
      </w:r>
      <w:r>
        <w:rPr>
          <w:i/>
          <w:sz w:val="22"/>
        </w:rPr>
        <w:t>(RVSM)</w:t>
      </w:r>
      <w:r>
        <w:rPr>
          <w:i/>
          <w:spacing w:val="-8"/>
          <w:sz w:val="22"/>
        </w:rPr>
        <w:t> </w:t>
      </w:r>
      <w:r>
        <w:rPr>
          <w:i/>
          <w:sz w:val="22"/>
        </w:rPr>
        <w:t>and</w:t>
      </w:r>
      <w:r>
        <w:rPr>
          <w:i/>
          <w:spacing w:val="-7"/>
          <w:sz w:val="22"/>
        </w:rPr>
        <w:t> </w:t>
      </w:r>
      <w:r>
        <w:rPr>
          <w:i/>
          <w:sz w:val="22"/>
        </w:rPr>
        <w:t>Sexual </w:t>
      </w:r>
      <w:r>
        <w:rPr>
          <w:i/>
          <w:sz w:val="22"/>
        </w:rPr>
        <w:t>Harassment, </w:t>
      </w:r>
      <w:r>
        <w:rPr>
          <w:sz w:val="22"/>
        </w:rPr>
        <w:t>to </w:t>
      </w:r>
      <w:r>
        <w:rPr>
          <w:i/>
          <w:sz w:val="22"/>
        </w:rPr>
        <w:t>Prioritizing Time and Email</w:t>
      </w:r>
      <w:r>
        <w:rPr>
          <w:i/>
          <w:spacing w:val="-11"/>
          <w:sz w:val="22"/>
        </w:rPr>
        <w:t> </w:t>
      </w:r>
      <w:r>
        <w:rPr>
          <w:i/>
          <w:sz w:val="22"/>
        </w:rPr>
        <w:t>Management.</w:t>
      </w:r>
    </w:p>
    <w:p>
      <w:pPr>
        <w:pStyle w:val="BodyText"/>
        <w:spacing w:before="4"/>
        <w:rPr>
          <w:i/>
          <w:sz w:val="25"/>
        </w:rPr>
      </w:pPr>
    </w:p>
    <w:p>
      <w:pPr>
        <w:pStyle w:val="BodyText"/>
        <w:spacing w:line="276" w:lineRule="auto"/>
        <w:ind w:left="100" w:right="187"/>
      </w:pPr>
      <w:r>
        <w:rPr/>
        <w:t>Dr. Villarruel has also been a member of key working groups, and task forces at MSU, including*:</w:t>
      </w:r>
    </w:p>
    <w:p>
      <w:pPr>
        <w:pStyle w:val="ListParagraph"/>
        <w:numPr>
          <w:ilvl w:val="0"/>
          <w:numId w:val="4"/>
        </w:numPr>
        <w:tabs>
          <w:tab w:pos="819" w:val="left" w:leader="none"/>
          <w:tab w:pos="820" w:val="left" w:leader="none"/>
        </w:tabs>
        <w:spacing w:line="240" w:lineRule="auto" w:before="0" w:after="0"/>
        <w:ind w:left="820" w:right="0" w:hanging="360"/>
        <w:jc w:val="left"/>
        <w:rPr>
          <w:sz w:val="22"/>
        </w:rPr>
      </w:pPr>
      <w:r>
        <w:rPr>
          <w:sz w:val="22"/>
        </w:rPr>
        <w:t>Exploring Academic Leadership Workshop (AAN,</w:t>
      </w:r>
      <w:r>
        <w:rPr>
          <w:spacing w:val="-9"/>
          <w:sz w:val="22"/>
        </w:rPr>
        <w:t> </w:t>
      </w:r>
      <w:r>
        <w:rPr>
          <w:sz w:val="22"/>
        </w:rPr>
        <w:t>2022)</w:t>
      </w:r>
    </w:p>
    <w:p>
      <w:pPr>
        <w:pStyle w:val="ListParagraph"/>
        <w:numPr>
          <w:ilvl w:val="0"/>
          <w:numId w:val="4"/>
        </w:numPr>
        <w:tabs>
          <w:tab w:pos="819" w:val="left" w:leader="none"/>
          <w:tab w:pos="820" w:val="left" w:leader="none"/>
        </w:tabs>
        <w:spacing w:line="240" w:lineRule="auto" w:before="38" w:after="0"/>
        <w:ind w:left="820" w:right="0" w:hanging="360"/>
        <w:jc w:val="left"/>
        <w:rPr>
          <w:sz w:val="22"/>
        </w:rPr>
      </w:pPr>
      <w:r>
        <w:rPr>
          <w:sz w:val="22"/>
        </w:rPr>
        <w:t>Engaging with Faculty and Academic Staff on Retirement Workshop (AAN,</w:t>
      </w:r>
      <w:r>
        <w:rPr>
          <w:spacing w:val="-37"/>
          <w:sz w:val="22"/>
        </w:rPr>
        <w:t> </w:t>
      </w:r>
      <w:r>
        <w:rPr>
          <w:sz w:val="22"/>
        </w:rPr>
        <w:t>2022)</w:t>
      </w:r>
    </w:p>
    <w:p>
      <w:pPr>
        <w:pStyle w:val="ListParagraph"/>
        <w:numPr>
          <w:ilvl w:val="0"/>
          <w:numId w:val="4"/>
        </w:numPr>
        <w:tabs>
          <w:tab w:pos="819" w:val="left" w:leader="none"/>
          <w:tab w:pos="820" w:val="left" w:leader="none"/>
        </w:tabs>
        <w:spacing w:line="240" w:lineRule="auto" w:before="38" w:after="0"/>
        <w:ind w:left="820" w:right="0" w:hanging="360"/>
        <w:jc w:val="left"/>
        <w:rPr>
          <w:sz w:val="22"/>
        </w:rPr>
      </w:pPr>
      <w:r>
        <w:rPr>
          <w:sz w:val="22"/>
        </w:rPr>
        <w:t>Building </w:t>
      </w:r>
      <w:r>
        <w:rPr>
          <w:spacing w:val="-3"/>
          <w:sz w:val="22"/>
        </w:rPr>
        <w:t>Trust </w:t>
      </w:r>
      <w:r>
        <w:rPr>
          <w:sz w:val="22"/>
        </w:rPr>
        <w:t>and Morale in a Changing Landscape Workshop (AAN,</w:t>
      </w:r>
      <w:r>
        <w:rPr>
          <w:spacing w:val="-21"/>
          <w:sz w:val="22"/>
        </w:rPr>
        <w:t> </w:t>
      </w:r>
      <w:r>
        <w:rPr>
          <w:sz w:val="22"/>
        </w:rPr>
        <w:t>2022)</w:t>
      </w:r>
    </w:p>
    <w:p>
      <w:pPr>
        <w:pStyle w:val="ListParagraph"/>
        <w:numPr>
          <w:ilvl w:val="0"/>
          <w:numId w:val="4"/>
        </w:numPr>
        <w:tabs>
          <w:tab w:pos="819" w:val="left" w:leader="none"/>
          <w:tab w:pos="820" w:val="left" w:leader="none"/>
        </w:tabs>
        <w:spacing w:line="276" w:lineRule="auto" w:before="38" w:after="0"/>
        <w:ind w:left="820" w:right="620" w:hanging="360"/>
        <w:jc w:val="left"/>
        <w:rPr>
          <w:sz w:val="22"/>
        </w:rPr>
      </w:pPr>
      <w:r>
        <w:rPr>
          <w:sz w:val="22"/>
        </w:rPr>
        <w:t>The</w:t>
      </w:r>
      <w:r>
        <w:rPr>
          <w:spacing w:val="-7"/>
          <w:sz w:val="22"/>
        </w:rPr>
        <w:t> </w:t>
      </w:r>
      <w:r>
        <w:rPr>
          <w:sz w:val="22"/>
        </w:rPr>
        <w:t>Best</w:t>
      </w:r>
      <w:r>
        <w:rPr>
          <w:spacing w:val="-7"/>
          <w:sz w:val="22"/>
        </w:rPr>
        <w:t> </w:t>
      </w:r>
      <w:r>
        <w:rPr>
          <w:sz w:val="22"/>
        </w:rPr>
        <w:t>Practices</w:t>
      </w:r>
      <w:r>
        <w:rPr>
          <w:spacing w:val="-7"/>
          <w:sz w:val="22"/>
        </w:rPr>
        <w:t> </w:t>
      </w:r>
      <w:r>
        <w:rPr>
          <w:sz w:val="22"/>
        </w:rPr>
        <w:t>for</w:t>
      </w:r>
      <w:r>
        <w:rPr>
          <w:spacing w:val="-7"/>
          <w:sz w:val="22"/>
        </w:rPr>
        <w:t> </w:t>
      </w:r>
      <w:r>
        <w:rPr>
          <w:sz w:val="22"/>
        </w:rPr>
        <w:t>Risk</w:t>
      </w:r>
      <w:r>
        <w:rPr>
          <w:spacing w:val="-6"/>
          <w:sz w:val="22"/>
        </w:rPr>
        <w:t> </w:t>
      </w:r>
      <w:r>
        <w:rPr>
          <w:sz w:val="22"/>
        </w:rPr>
        <w:t>Management</w:t>
      </w:r>
      <w:r>
        <w:rPr>
          <w:spacing w:val="-7"/>
          <w:sz w:val="22"/>
        </w:rPr>
        <w:t> </w:t>
      </w:r>
      <w:r>
        <w:rPr>
          <w:sz w:val="22"/>
        </w:rPr>
        <w:t>Involving</w:t>
      </w:r>
      <w:r>
        <w:rPr>
          <w:spacing w:val="-7"/>
          <w:sz w:val="22"/>
        </w:rPr>
        <w:t> </w:t>
      </w:r>
      <w:r>
        <w:rPr>
          <w:sz w:val="22"/>
        </w:rPr>
        <w:t>Faculty</w:t>
      </w:r>
      <w:r>
        <w:rPr>
          <w:spacing w:val="-7"/>
          <w:sz w:val="22"/>
        </w:rPr>
        <w:t> </w:t>
      </w:r>
      <w:r>
        <w:rPr>
          <w:sz w:val="22"/>
        </w:rPr>
        <w:t>Activities</w:t>
      </w:r>
      <w:r>
        <w:rPr>
          <w:spacing w:val="-6"/>
          <w:sz w:val="22"/>
        </w:rPr>
        <w:t> </w:t>
      </w:r>
      <w:r>
        <w:rPr>
          <w:sz w:val="22"/>
        </w:rPr>
        <w:t>Working</w:t>
      </w:r>
      <w:r>
        <w:rPr>
          <w:spacing w:val="-7"/>
          <w:sz w:val="22"/>
        </w:rPr>
        <w:t> </w:t>
      </w:r>
      <w:r>
        <w:rPr>
          <w:sz w:val="22"/>
        </w:rPr>
        <w:t>Group (2021,</w:t>
      </w:r>
      <w:r>
        <w:rPr>
          <w:spacing w:val="-2"/>
          <w:sz w:val="22"/>
        </w:rPr>
        <w:t> </w:t>
      </w:r>
      <w:r>
        <w:rPr>
          <w:sz w:val="22"/>
        </w:rPr>
        <w:t>2022)</w:t>
      </w:r>
    </w:p>
    <w:p>
      <w:pPr>
        <w:pStyle w:val="ListParagraph"/>
        <w:numPr>
          <w:ilvl w:val="0"/>
          <w:numId w:val="4"/>
        </w:numPr>
        <w:tabs>
          <w:tab w:pos="819" w:val="left" w:leader="none"/>
          <w:tab w:pos="820" w:val="left" w:leader="none"/>
        </w:tabs>
        <w:spacing w:line="240" w:lineRule="auto" w:before="0" w:after="0"/>
        <w:ind w:left="820" w:right="0" w:hanging="360"/>
        <w:jc w:val="left"/>
        <w:rPr>
          <w:sz w:val="22"/>
        </w:rPr>
      </w:pPr>
      <w:r>
        <w:rPr>
          <w:sz w:val="22"/>
        </w:rPr>
        <w:t>The</w:t>
      </w:r>
      <w:r>
        <w:rPr>
          <w:spacing w:val="-8"/>
          <w:sz w:val="22"/>
        </w:rPr>
        <w:t> </w:t>
      </w:r>
      <w:r>
        <w:rPr>
          <w:sz w:val="22"/>
        </w:rPr>
        <w:t>MSU</w:t>
      </w:r>
      <w:r>
        <w:rPr>
          <w:spacing w:val="-7"/>
          <w:sz w:val="22"/>
        </w:rPr>
        <w:t> </w:t>
      </w:r>
      <w:r>
        <w:rPr>
          <w:sz w:val="22"/>
        </w:rPr>
        <w:t>Restorative</w:t>
      </w:r>
      <w:r>
        <w:rPr>
          <w:spacing w:val="-7"/>
          <w:sz w:val="22"/>
        </w:rPr>
        <w:t> </w:t>
      </w:r>
      <w:r>
        <w:rPr>
          <w:sz w:val="22"/>
        </w:rPr>
        <w:t>Justice</w:t>
      </w:r>
      <w:r>
        <w:rPr>
          <w:spacing w:val="-8"/>
          <w:sz w:val="22"/>
        </w:rPr>
        <w:t> </w:t>
      </w:r>
      <w:r>
        <w:rPr>
          <w:sz w:val="22"/>
        </w:rPr>
        <w:t>Learning</w:t>
      </w:r>
      <w:r>
        <w:rPr>
          <w:spacing w:val="-7"/>
          <w:sz w:val="22"/>
        </w:rPr>
        <w:t> </w:t>
      </w:r>
      <w:r>
        <w:rPr>
          <w:sz w:val="22"/>
        </w:rPr>
        <w:t>Community</w:t>
      </w:r>
      <w:r>
        <w:rPr>
          <w:spacing w:val="-7"/>
          <w:sz w:val="22"/>
        </w:rPr>
        <w:t> </w:t>
      </w:r>
      <w:r>
        <w:rPr>
          <w:sz w:val="22"/>
        </w:rPr>
        <w:t>Group</w:t>
      </w:r>
      <w:r>
        <w:rPr>
          <w:spacing w:val="-7"/>
          <w:sz w:val="22"/>
        </w:rPr>
        <w:t> </w:t>
      </w:r>
      <w:r>
        <w:rPr>
          <w:sz w:val="22"/>
        </w:rPr>
        <w:t>(2021)</w:t>
      </w:r>
    </w:p>
    <w:p>
      <w:pPr>
        <w:pStyle w:val="ListParagraph"/>
        <w:numPr>
          <w:ilvl w:val="0"/>
          <w:numId w:val="4"/>
        </w:numPr>
        <w:tabs>
          <w:tab w:pos="819" w:val="left" w:leader="none"/>
          <w:tab w:pos="820" w:val="left" w:leader="none"/>
        </w:tabs>
        <w:spacing w:line="240" w:lineRule="auto" w:before="38" w:after="0"/>
        <w:ind w:left="820" w:right="0" w:hanging="360"/>
        <w:jc w:val="left"/>
        <w:rPr>
          <w:sz w:val="22"/>
        </w:rPr>
      </w:pPr>
      <w:r>
        <w:rPr>
          <w:sz w:val="22"/>
        </w:rPr>
        <w:t>The</w:t>
      </w:r>
      <w:r>
        <w:rPr>
          <w:spacing w:val="-8"/>
          <w:sz w:val="22"/>
        </w:rPr>
        <w:t> </w:t>
      </w:r>
      <w:r>
        <w:rPr>
          <w:sz w:val="22"/>
        </w:rPr>
        <w:t>MSU</w:t>
      </w:r>
      <w:r>
        <w:rPr>
          <w:spacing w:val="-7"/>
          <w:sz w:val="22"/>
        </w:rPr>
        <w:t> </w:t>
      </w:r>
      <w:r>
        <w:rPr>
          <w:sz w:val="22"/>
        </w:rPr>
        <w:t>Restorative</w:t>
      </w:r>
      <w:r>
        <w:rPr>
          <w:spacing w:val="-7"/>
          <w:sz w:val="22"/>
        </w:rPr>
        <w:t> </w:t>
      </w:r>
      <w:r>
        <w:rPr>
          <w:sz w:val="22"/>
        </w:rPr>
        <w:t>Justice</w:t>
      </w:r>
      <w:r>
        <w:rPr>
          <w:spacing w:val="-8"/>
          <w:sz w:val="22"/>
        </w:rPr>
        <w:t> </w:t>
      </w:r>
      <w:r>
        <w:rPr>
          <w:sz w:val="22"/>
        </w:rPr>
        <w:t>Learning</w:t>
      </w:r>
      <w:r>
        <w:rPr>
          <w:spacing w:val="-7"/>
          <w:sz w:val="22"/>
        </w:rPr>
        <w:t> </w:t>
      </w:r>
      <w:r>
        <w:rPr>
          <w:sz w:val="22"/>
        </w:rPr>
        <w:t>Community</w:t>
      </w:r>
      <w:r>
        <w:rPr>
          <w:spacing w:val="-7"/>
          <w:sz w:val="22"/>
        </w:rPr>
        <w:t> </w:t>
      </w:r>
      <w:r>
        <w:rPr>
          <w:sz w:val="22"/>
        </w:rPr>
        <w:t>Group</w:t>
      </w:r>
      <w:r>
        <w:rPr>
          <w:spacing w:val="-7"/>
          <w:sz w:val="22"/>
        </w:rPr>
        <w:t> </w:t>
      </w:r>
      <w:r>
        <w:rPr>
          <w:sz w:val="22"/>
        </w:rPr>
        <w:t>(2021)</w:t>
      </w:r>
    </w:p>
    <w:p>
      <w:pPr>
        <w:pStyle w:val="ListParagraph"/>
        <w:numPr>
          <w:ilvl w:val="0"/>
          <w:numId w:val="4"/>
        </w:numPr>
        <w:tabs>
          <w:tab w:pos="819" w:val="left" w:leader="none"/>
          <w:tab w:pos="820" w:val="left" w:leader="none"/>
        </w:tabs>
        <w:spacing w:line="240" w:lineRule="auto" w:before="38" w:after="0"/>
        <w:ind w:left="820" w:right="0" w:hanging="360"/>
        <w:jc w:val="left"/>
        <w:rPr>
          <w:sz w:val="22"/>
        </w:rPr>
      </w:pPr>
      <w:r>
        <w:rPr>
          <w:sz w:val="22"/>
        </w:rPr>
        <w:t>The DEI </w:t>
      </w:r>
      <w:r>
        <w:rPr>
          <w:spacing w:val="-7"/>
          <w:sz w:val="22"/>
        </w:rPr>
        <w:t>Task </w:t>
      </w:r>
      <w:r>
        <w:rPr>
          <w:sz w:val="22"/>
        </w:rPr>
        <w:t>Force (2020,</w:t>
      </w:r>
      <w:r>
        <w:rPr>
          <w:spacing w:val="1"/>
          <w:sz w:val="22"/>
        </w:rPr>
        <w:t> </w:t>
      </w:r>
      <w:r>
        <w:rPr>
          <w:sz w:val="22"/>
        </w:rPr>
        <w:t>2021)</w:t>
      </w:r>
    </w:p>
    <w:p>
      <w:pPr>
        <w:pStyle w:val="ListParagraph"/>
        <w:numPr>
          <w:ilvl w:val="0"/>
          <w:numId w:val="4"/>
        </w:numPr>
        <w:tabs>
          <w:tab w:pos="819" w:val="left" w:leader="none"/>
          <w:tab w:pos="820" w:val="left" w:leader="none"/>
        </w:tabs>
        <w:spacing w:line="240" w:lineRule="auto" w:before="38" w:after="0"/>
        <w:ind w:left="820" w:right="0" w:hanging="360"/>
        <w:jc w:val="left"/>
        <w:rPr>
          <w:sz w:val="22"/>
        </w:rPr>
      </w:pPr>
      <w:r>
        <w:rPr>
          <w:sz w:val="22"/>
        </w:rPr>
        <w:t>The MSU </w:t>
      </w:r>
      <w:r>
        <w:rPr>
          <w:spacing w:val="-7"/>
          <w:sz w:val="22"/>
        </w:rPr>
        <w:t>Task </w:t>
      </w:r>
      <w:r>
        <w:rPr>
          <w:sz w:val="22"/>
        </w:rPr>
        <w:t>Force for Racial Equity (2020,</w:t>
      </w:r>
      <w:r>
        <w:rPr>
          <w:spacing w:val="-5"/>
          <w:sz w:val="22"/>
        </w:rPr>
        <w:t> </w:t>
      </w:r>
      <w:r>
        <w:rPr>
          <w:sz w:val="22"/>
        </w:rPr>
        <w:t>2021)</w:t>
      </w:r>
    </w:p>
    <w:p>
      <w:pPr>
        <w:pStyle w:val="BodyText"/>
        <w:spacing w:before="6"/>
        <w:rPr>
          <w:sz w:val="28"/>
        </w:rPr>
      </w:pPr>
    </w:p>
    <w:p>
      <w:pPr>
        <w:pStyle w:val="BodyText"/>
        <w:spacing w:line="276" w:lineRule="auto" w:before="1"/>
        <w:ind w:left="100"/>
      </w:pPr>
      <w:r>
        <w:rPr/>
        <w:t>Dr. Villarruel has also sought to share his expertise with the broader MSU community through seminars and training sessions, including:*</w:t>
      </w:r>
    </w:p>
    <w:p>
      <w:pPr>
        <w:pStyle w:val="ListParagraph"/>
        <w:numPr>
          <w:ilvl w:val="0"/>
          <w:numId w:val="4"/>
        </w:numPr>
        <w:tabs>
          <w:tab w:pos="819" w:val="left" w:leader="none"/>
          <w:tab w:pos="820" w:val="left" w:leader="none"/>
        </w:tabs>
        <w:spacing w:line="240" w:lineRule="auto" w:before="0" w:after="0"/>
        <w:ind w:left="820" w:right="0" w:hanging="360"/>
        <w:jc w:val="left"/>
        <w:rPr>
          <w:sz w:val="22"/>
        </w:rPr>
      </w:pPr>
      <w:r>
        <w:rPr>
          <w:sz w:val="22"/>
        </w:rPr>
        <w:t>Presenting at the “Dean School” for new Deans</w:t>
      </w:r>
      <w:r>
        <w:rPr>
          <w:spacing w:val="-13"/>
          <w:sz w:val="22"/>
        </w:rPr>
        <w:t> </w:t>
      </w:r>
      <w:r>
        <w:rPr>
          <w:sz w:val="22"/>
        </w:rPr>
        <w:t>(2020)</w:t>
      </w:r>
    </w:p>
    <w:p>
      <w:pPr>
        <w:pStyle w:val="ListParagraph"/>
        <w:numPr>
          <w:ilvl w:val="0"/>
          <w:numId w:val="4"/>
        </w:numPr>
        <w:tabs>
          <w:tab w:pos="819" w:val="left" w:leader="none"/>
          <w:tab w:pos="820" w:val="left" w:leader="none"/>
        </w:tabs>
        <w:spacing w:line="240" w:lineRule="auto" w:before="37" w:after="0"/>
        <w:ind w:left="820" w:right="0" w:hanging="360"/>
        <w:jc w:val="left"/>
        <w:rPr>
          <w:sz w:val="22"/>
        </w:rPr>
      </w:pPr>
      <w:r>
        <w:rPr>
          <w:sz w:val="22"/>
        </w:rPr>
        <w:t>Participating in New Administrator Orientation Resource Panel (2020,</w:t>
      </w:r>
      <w:r>
        <w:rPr>
          <w:spacing w:val="-23"/>
          <w:sz w:val="22"/>
        </w:rPr>
        <w:t> </w:t>
      </w:r>
      <w:r>
        <w:rPr>
          <w:sz w:val="22"/>
        </w:rPr>
        <w:t>2021)</w:t>
      </w:r>
    </w:p>
    <w:p>
      <w:pPr>
        <w:pStyle w:val="ListParagraph"/>
        <w:numPr>
          <w:ilvl w:val="0"/>
          <w:numId w:val="4"/>
        </w:numPr>
        <w:tabs>
          <w:tab w:pos="819" w:val="left" w:leader="none"/>
          <w:tab w:pos="820" w:val="left" w:leader="none"/>
        </w:tabs>
        <w:spacing w:line="240" w:lineRule="auto" w:before="38" w:after="0"/>
        <w:ind w:left="820" w:right="0" w:hanging="360"/>
        <w:jc w:val="left"/>
        <w:rPr>
          <w:sz w:val="22"/>
        </w:rPr>
      </w:pPr>
      <w:r>
        <w:rPr>
          <w:sz w:val="22"/>
        </w:rPr>
        <w:t>Serving on the AAN Panel on Exploring Academic Leadership</w:t>
      </w:r>
      <w:r>
        <w:rPr>
          <w:spacing w:val="-19"/>
          <w:sz w:val="22"/>
        </w:rPr>
        <w:t> </w:t>
      </w:r>
      <w:r>
        <w:rPr>
          <w:sz w:val="22"/>
        </w:rPr>
        <w:t>(2022)</w:t>
      </w:r>
    </w:p>
    <w:p>
      <w:pPr>
        <w:pStyle w:val="ListParagraph"/>
        <w:numPr>
          <w:ilvl w:val="0"/>
          <w:numId w:val="4"/>
        </w:numPr>
        <w:tabs>
          <w:tab w:pos="819" w:val="left" w:leader="none"/>
          <w:tab w:pos="820" w:val="left" w:leader="none"/>
        </w:tabs>
        <w:spacing w:line="276" w:lineRule="auto" w:before="38" w:after="0"/>
        <w:ind w:left="820" w:right="252" w:hanging="360"/>
        <w:jc w:val="left"/>
        <w:rPr>
          <w:sz w:val="22"/>
        </w:rPr>
      </w:pPr>
      <w:r>
        <w:rPr>
          <w:sz w:val="22"/>
        </w:rPr>
        <w:t>Serving</w:t>
      </w:r>
      <w:r>
        <w:rPr>
          <w:spacing w:val="-6"/>
          <w:sz w:val="22"/>
        </w:rPr>
        <w:t> </w:t>
      </w:r>
      <w:r>
        <w:rPr>
          <w:sz w:val="22"/>
        </w:rPr>
        <w:t>on</w:t>
      </w:r>
      <w:r>
        <w:rPr>
          <w:spacing w:val="-5"/>
          <w:sz w:val="22"/>
        </w:rPr>
        <w:t> </w:t>
      </w:r>
      <w:r>
        <w:rPr>
          <w:sz w:val="22"/>
        </w:rPr>
        <w:t>the</w:t>
      </w:r>
      <w:r>
        <w:rPr>
          <w:spacing w:val="-5"/>
          <w:sz w:val="22"/>
        </w:rPr>
        <w:t> </w:t>
      </w:r>
      <w:r>
        <w:rPr>
          <w:sz w:val="22"/>
        </w:rPr>
        <w:t>AAN</w:t>
      </w:r>
      <w:r>
        <w:rPr>
          <w:spacing w:val="-5"/>
          <w:sz w:val="22"/>
        </w:rPr>
        <w:t> </w:t>
      </w:r>
      <w:r>
        <w:rPr>
          <w:sz w:val="22"/>
        </w:rPr>
        <w:t>Panel</w:t>
      </w:r>
      <w:r>
        <w:rPr>
          <w:spacing w:val="-5"/>
          <w:sz w:val="22"/>
        </w:rPr>
        <w:t> </w:t>
      </w:r>
      <w:r>
        <w:rPr>
          <w:sz w:val="22"/>
        </w:rPr>
        <w:t>on</w:t>
      </w:r>
      <w:r>
        <w:rPr>
          <w:spacing w:val="-6"/>
          <w:sz w:val="22"/>
        </w:rPr>
        <w:t> </w:t>
      </w:r>
      <w:r>
        <w:rPr>
          <w:sz w:val="22"/>
        </w:rPr>
        <w:t>Engaging</w:t>
      </w:r>
      <w:r>
        <w:rPr>
          <w:spacing w:val="-5"/>
          <w:sz w:val="22"/>
        </w:rPr>
        <w:t> </w:t>
      </w:r>
      <w:r>
        <w:rPr>
          <w:sz w:val="22"/>
        </w:rPr>
        <w:t>With</w:t>
      </w:r>
      <w:r>
        <w:rPr>
          <w:spacing w:val="-5"/>
          <w:sz w:val="22"/>
        </w:rPr>
        <w:t> </w:t>
      </w:r>
      <w:r>
        <w:rPr>
          <w:sz w:val="22"/>
        </w:rPr>
        <w:t>Faculty</w:t>
      </w:r>
      <w:r>
        <w:rPr>
          <w:spacing w:val="-5"/>
          <w:sz w:val="22"/>
        </w:rPr>
        <w:t> </w:t>
      </w:r>
      <w:r>
        <w:rPr>
          <w:sz w:val="22"/>
        </w:rPr>
        <w:t>and</w:t>
      </w:r>
      <w:r>
        <w:rPr>
          <w:spacing w:val="-5"/>
          <w:sz w:val="22"/>
        </w:rPr>
        <w:t> </w:t>
      </w:r>
      <w:r>
        <w:rPr>
          <w:sz w:val="22"/>
        </w:rPr>
        <w:t>Academic</w:t>
      </w:r>
      <w:r>
        <w:rPr>
          <w:spacing w:val="-6"/>
          <w:sz w:val="22"/>
        </w:rPr>
        <w:t> </w:t>
      </w:r>
      <w:r>
        <w:rPr>
          <w:sz w:val="22"/>
        </w:rPr>
        <w:t>Staff</w:t>
      </w:r>
      <w:r>
        <w:rPr>
          <w:spacing w:val="-5"/>
          <w:sz w:val="22"/>
        </w:rPr>
        <w:t> </w:t>
      </w:r>
      <w:r>
        <w:rPr>
          <w:sz w:val="22"/>
        </w:rPr>
        <w:t>on</w:t>
      </w:r>
      <w:r>
        <w:rPr>
          <w:spacing w:val="-5"/>
          <w:sz w:val="22"/>
        </w:rPr>
        <w:t> </w:t>
      </w:r>
      <w:r>
        <w:rPr>
          <w:sz w:val="22"/>
        </w:rPr>
        <w:t>Retirement (2022)</w:t>
      </w:r>
    </w:p>
    <w:p>
      <w:pPr>
        <w:pStyle w:val="ListParagraph"/>
        <w:numPr>
          <w:ilvl w:val="0"/>
          <w:numId w:val="4"/>
        </w:numPr>
        <w:tabs>
          <w:tab w:pos="819" w:val="left" w:leader="none"/>
          <w:tab w:pos="820" w:val="left" w:leader="none"/>
        </w:tabs>
        <w:spacing w:line="276" w:lineRule="auto" w:before="0" w:after="0"/>
        <w:ind w:left="820" w:right="805" w:hanging="360"/>
        <w:jc w:val="left"/>
        <w:rPr>
          <w:sz w:val="22"/>
        </w:rPr>
      </w:pPr>
      <w:r>
        <w:rPr>
          <w:sz w:val="22"/>
        </w:rPr>
        <w:t>Serving on the AAN Panel on Building </w:t>
      </w:r>
      <w:r>
        <w:rPr>
          <w:spacing w:val="-3"/>
          <w:sz w:val="22"/>
        </w:rPr>
        <w:t>Trust </w:t>
      </w:r>
      <w:r>
        <w:rPr>
          <w:sz w:val="22"/>
        </w:rPr>
        <w:t>and Morale in a Changing Landscape (2022)</w:t>
      </w:r>
    </w:p>
    <w:p>
      <w:pPr>
        <w:pStyle w:val="BodyText"/>
        <w:spacing w:before="8"/>
        <w:rPr>
          <w:sz w:val="20"/>
        </w:rPr>
      </w:pPr>
    </w:p>
    <w:p>
      <w:pPr>
        <w:spacing w:line="276" w:lineRule="auto" w:before="0"/>
        <w:ind w:left="100" w:right="499" w:firstLine="0"/>
        <w:jc w:val="both"/>
        <w:rPr>
          <w:sz w:val="18"/>
        </w:rPr>
      </w:pPr>
      <w:r>
        <w:rPr>
          <w:sz w:val="18"/>
        </w:rPr>
        <w:t>*Note: These are not intended to be an exhaustive list, but rather, representative of </w:t>
      </w:r>
      <w:r>
        <w:rPr>
          <w:spacing w:val="-4"/>
          <w:sz w:val="18"/>
        </w:rPr>
        <w:t>Dr. </w:t>
      </w:r>
      <w:r>
        <w:rPr>
          <w:sz w:val="18"/>
        </w:rPr>
        <w:t>Villarruel’s activities in </w:t>
      </w:r>
      <w:r>
        <w:rPr>
          <w:spacing w:val="-4"/>
          <w:sz w:val="18"/>
        </w:rPr>
        <w:t>this </w:t>
      </w:r>
      <w:r>
        <w:rPr>
          <w:sz w:val="18"/>
        </w:rPr>
        <w:t>area.</w:t>
      </w:r>
    </w:p>
    <w:p>
      <w:pPr>
        <w:spacing w:after="0" w:line="276" w:lineRule="auto"/>
        <w:jc w:val="both"/>
        <w:rPr>
          <w:sz w:val="18"/>
        </w:rPr>
        <w:sectPr>
          <w:pgSz w:w="12240" w:h="15840"/>
          <w:pgMar w:header="0" w:footer="724" w:top="1360" w:bottom="1000" w:left="1340" w:right="1300"/>
        </w:sectPr>
      </w:pPr>
    </w:p>
    <w:p>
      <w:pPr>
        <w:pStyle w:val="Heading1"/>
        <w:rPr>
          <w:u w:val="none"/>
        </w:rPr>
      </w:pPr>
      <w:r>
        <w:rPr>
          <w:rFonts w:ascii="Times New Roman" w:hAnsi="Times New Roman"/>
          <w:b w:val="0"/>
          <w:spacing w:val="-60"/>
          <w:u w:val="thick"/>
        </w:rPr>
        <w:t> </w:t>
      </w:r>
      <w:r>
        <w:rPr>
          <w:spacing w:val="-5"/>
          <w:u w:val="thick"/>
        </w:rPr>
        <w:t>Dr. </w:t>
      </w:r>
      <w:r>
        <w:rPr>
          <w:u w:val="thick"/>
        </w:rPr>
        <w:t>Villarruel’s Reflective Self-Assessments</w:t>
      </w:r>
    </w:p>
    <w:p>
      <w:pPr>
        <w:pStyle w:val="BodyText"/>
        <w:spacing w:line="276" w:lineRule="auto" w:before="41"/>
        <w:ind w:left="100" w:right="117"/>
      </w:pPr>
      <w:r>
        <w:rPr/>
        <w:t>Dr Villarruel provides a reflective self-assessment and reflection for each year in his role as the FG Official. These roughly correspond to calendar years; he provided three reflective</w:t>
      </w:r>
    </w:p>
    <w:p>
      <w:pPr>
        <w:pStyle w:val="BodyText"/>
        <w:ind w:left="100"/>
      </w:pPr>
      <w:r>
        <w:rPr/>
        <w:t>self-assessments during his 3 ½ year tenure. It should be noted that these reflective</w:t>
      </w:r>
    </w:p>
    <w:p>
      <w:pPr>
        <w:pStyle w:val="BodyText"/>
        <w:spacing w:line="276" w:lineRule="auto" w:before="38"/>
        <w:ind w:left="100" w:right="259"/>
      </w:pPr>
      <w:r>
        <w:rPr/>
        <w:t>self-assessments are not </w:t>
      </w:r>
      <w:r>
        <w:rPr>
          <w:i/>
        </w:rPr>
        <w:t>required</w:t>
      </w:r>
      <w:r>
        <w:rPr/>
        <w:t>. Instead, Dr. Villarruel provides them to the UCFA in the interest of transparency, accountability, and to assist the UCFA with their annual evaluations of his work as the FG Official. We find this an excellent practice!</w:t>
      </w:r>
    </w:p>
    <w:p>
      <w:pPr>
        <w:pStyle w:val="BodyText"/>
        <w:spacing w:before="3"/>
        <w:rPr>
          <w:sz w:val="25"/>
        </w:rPr>
      </w:pPr>
    </w:p>
    <w:p>
      <w:pPr>
        <w:spacing w:before="1"/>
        <w:ind w:left="100" w:right="0" w:firstLine="0"/>
        <w:jc w:val="left"/>
        <w:rPr>
          <w:i/>
          <w:sz w:val="22"/>
        </w:rPr>
      </w:pPr>
      <w:r>
        <w:rPr>
          <w:rFonts w:ascii="Times New Roman"/>
          <w:spacing w:val="-55"/>
          <w:sz w:val="22"/>
          <w:u w:val="thick"/>
        </w:rPr>
        <w:t> </w:t>
      </w:r>
      <w:r>
        <w:rPr>
          <w:i/>
          <w:sz w:val="22"/>
          <w:u w:val="thick"/>
        </w:rPr>
        <w:t>Structure of Reflective Self-Assessments</w:t>
      </w:r>
    </w:p>
    <w:p>
      <w:pPr>
        <w:pStyle w:val="BodyText"/>
        <w:spacing w:line="276" w:lineRule="auto" w:before="37"/>
        <w:ind w:left="100"/>
      </w:pPr>
      <w:r>
        <w:rPr/>
        <w:t>The reflective self-assessments that Dr. Villarruel has provided to the UCFA during his tenure as the FG Official have have generally been structured to include: (1) an overview of his position,</w:t>
      </w:r>
    </w:p>
    <w:p>
      <w:pPr>
        <w:pStyle w:val="ListParagraph"/>
        <w:numPr>
          <w:ilvl w:val="0"/>
          <w:numId w:val="5"/>
        </w:numPr>
        <w:tabs>
          <w:tab w:pos="430" w:val="left" w:leader="none"/>
        </w:tabs>
        <w:spacing w:line="276" w:lineRule="auto" w:before="0" w:after="0"/>
        <w:ind w:left="100" w:right="234" w:firstLine="0"/>
        <w:jc w:val="left"/>
        <w:rPr>
          <w:sz w:val="22"/>
        </w:rPr>
      </w:pPr>
      <w:r>
        <w:rPr>
          <w:sz w:val="22"/>
        </w:rPr>
        <w:t>a summary of professional growth activities and development activities, (3) either a qualitative</w:t>
      </w:r>
      <w:r>
        <w:rPr>
          <w:spacing w:val="-6"/>
          <w:sz w:val="22"/>
        </w:rPr>
        <w:t> </w:t>
      </w:r>
      <w:r>
        <w:rPr>
          <w:sz w:val="22"/>
        </w:rPr>
        <w:t>or</w:t>
      </w:r>
      <w:r>
        <w:rPr>
          <w:spacing w:val="-5"/>
          <w:sz w:val="22"/>
        </w:rPr>
        <w:t> </w:t>
      </w:r>
      <w:r>
        <w:rPr>
          <w:sz w:val="22"/>
        </w:rPr>
        <w:t>quantitative</w:t>
      </w:r>
      <w:r>
        <w:rPr>
          <w:spacing w:val="-6"/>
          <w:sz w:val="22"/>
        </w:rPr>
        <w:t> </w:t>
      </w:r>
      <w:r>
        <w:rPr>
          <w:sz w:val="22"/>
        </w:rPr>
        <w:t>accounting</w:t>
      </w:r>
      <w:r>
        <w:rPr>
          <w:spacing w:val="-5"/>
          <w:sz w:val="22"/>
        </w:rPr>
        <w:t> </w:t>
      </w:r>
      <w:r>
        <w:rPr>
          <w:sz w:val="22"/>
        </w:rPr>
        <w:t>of</w:t>
      </w:r>
      <w:r>
        <w:rPr>
          <w:spacing w:val="-5"/>
          <w:sz w:val="22"/>
        </w:rPr>
        <w:t> </w:t>
      </w:r>
      <w:r>
        <w:rPr>
          <w:sz w:val="22"/>
        </w:rPr>
        <w:t>the</w:t>
      </w:r>
      <w:r>
        <w:rPr>
          <w:spacing w:val="-6"/>
          <w:sz w:val="22"/>
        </w:rPr>
        <w:t> </w:t>
      </w:r>
      <w:r>
        <w:rPr>
          <w:sz w:val="22"/>
        </w:rPr>
        <w:t>formal</w:t>
      </w:r>
      <w:r>
        <w:rPr>
          <w:spacing w:val="-5"/>
          <w:sz w:val="22"/>
        </w:rPr>
        <w:t> </w:t>
      </w:r>
      <w:r>
        <w:rPr>
          <w:sz w:val="22"/>
        </w:rPr>
        <w:t>and</w:t>
      </w:r>
      <w:r>
        <w:rPr>
          <w:spacing w:val="-6"/>
          <w:sz w:val="22"/>
        </w:rPr>
        <w:t> </w:t>
      </w:r>
      <w:r>
        <w:rPr>
          <w:sz w:val="22"/>
        </w:rPr>
        <w:t>informal</w:t>
      </w:r>
      <w:r>
        <w:rPr>
          <w:spacing w:val="-5"/>
          <w:sz w:val="22"/>
        </w:rPr>
        <w:t> </w:t>
      </w:r>
      <w:r>
        <w:rPr>
          <w:sz w:val="22"/>
        </w:rPr>
        <w:t>proceedings</w:t>
      </w:r>
      <w:r>
        <w:rPr>
          <w:spacing w:val="-5"/>
          <w:sz w:val="22"/>
        </w:rPr>
        <w:t> </w:t>
      </w:r>
      <w:r>
        <w:rPr>
          <w:sz w:val="22"/>
        </w:rPr>
        <w:t>that</w:t>
      </w:r>
      <w:r>
        <w:rPr>
          <w:spacing w:val="-6"/>
          <w:sz w:val="22"/>
        </w:rPr>
        <w:t> </w:t>
      </w:r>
      <w:r>
        <w:rPr>
          <w:sz w:val="22"/>
        </w:rPr>
        <w:t>he</w:t>
      </w:r>
      <w:r>
        <w:rPr>
          <w:spacing w:val="-5"/>
          <w:sz w:val="22"/>
        </w:rPr>
        <w:t> </w:t>
      </w:r>
      <w:r>
        <w:rPr>
          <w:sz w:val="22"/>
        </w:rPr>
        <w:t>and</w:t>
      </w:r>
      <w:r>
        <w:rPr>
          <w:spacing w:val="-5"/>
          <w:sz w:val="22"/>
        </w:rPr>
        <w:t> </w:t>
      </w:r>
      <w:r>
        <w:rPr>
          <w:sz w:val="22"/>
        </w:rPr>
        <w:t>the</w:t>
      </w:r>
      <w:r>
        <w:rPr>
          <w:spacing w:val="-6"/>
          <w:sz w:val="22"/>
        </w:rPr>
        <w:t> </w:t>
      </w:r>
      <w:r>
        <w:rPr>
          <w:sz w:val="22"/>
        </w:rPr>
        <w:t>FG Office engaged in during the given </w:t>
      </w:r>
      <w:r>
        <w:rPr>
          <w:spacing w:val="-4"/>
          <w:sz w:val="22"/>
        </w:rPr>
        <w:t>year, </w:t>
      </w:r>
      <w:r>
        <w:rPr>
          <w:sz w:val="22"/>
        </w:rPr>
        <w:t>(4) a description of any significant staff and/or organizational changes that the FG Office underwent in the given </w:t>
      </w:r>
      <w:r>
        <w:rPr>
          <w:spacing w:val="-4"/>
          <w:sz w:val="22"/>
        </w:rPr>
        <w:t>year, </w:t>
      </w:r>
      <w:r>
        <w:rPr>
          <w:sz w:val="22"/>
        </w:rPr>
        <w:t>and (5) a description of how he and the FG Office attempted to address goals that he had for the </w:t>
      </w:r>
      <w:r>
        <w:rPr>
          <w:spacing w:val="-4"/>
          <w:sz w:val="22"/>
        </w:rPr>
        <w:t>year, </w:t>
      </w:r>
      <w:r>
        <w:rPr>
          <w:sz w:val="22"/>
        </w:rPr>
        <w:t>and (6) a concluding self-assessment paragraph, tied to a description of areas where he felt that he met or</w:t>
      </w:r>
      <w:r>
        <w:rPr>
          <w:spacing w:val="-4"/>
          <w:sz w:val="22"/>
        </w:rPr>
        <w:t> </w:t>
      </w:r>
      <w:r>
        <w:rPr>
          <w:sz w:val="22"/>
        </w:rPr>
        <w:t>exceeded</w:t>
      </w:r>
      <w:r>
        <w:rPr>
          <w:spacing w:val="-3"/>
          <w:sz w:val="22"/>
        </w:rPr>
        <w:t> </w:t>
      </w:r>
      <w:r>
        <w:rPr>
          <w:sz w:val="22"/>
        </w:rPr>
        <w:t>expectations,</w:t>
      </w:r>
      <w:r>
        <w:rPr>
          <w:spacing w:val="-3"/>
          <w:sz w:val="22"/>
        </w:rPr>
        <w:t> </w:t>
      </w:r>
      <w:r>
        <w:rPr>
          <w:sz w:val="22"/>
        </w:rPr>
        <w:t>and</w:t>
      </w:r>
      <w:r>
        <w:rPr>
          <w:spacing w:val="-3"/>
          <w:sz w:val="22"/>
        </w:rPr>
        <w:t> </w:t>
      </w:r>
      <w:r>
        <w:rPr>
          <w:sz w:val="22"/>
        </w:rPr>
        <w:t>areas</w:t>
      </w:r>
      <w:r>
        <w:rPr>
          <w:spacing w:val="-3"/>
          <w:sz w:val="22"/>
        </w:rPr>
        <w:t> </w:t>
      </w:r>
      <w:r>
        <w:rPr>
          <w:sz w:val="22"/>
        </w:rPr>
        <w:t>where</w:t>
      </w:r>
      <w:r>
        <w:rPr>
          <w:spacing w:val="-4"/>
          <w:sz w:val="22"/>
        </w:rPr>
        <w:t> </w:t>
      </w:r>
      <w:r>
        <w:rPr>
          <w:sz w:val="22"/>
        </w:rPr>
        <w:t>he</w:t>
      </w:r>
      <w:r>
        <w:rPr>
          <w:spacing w:val="-3"/>
          <w:sz w:val="22"/>
        </w:rPr>
        <w:t> </w:t>
      </w:r>
      <w:r>
        <w:rPr>
          <w:sz w:val="22"/>
        </w:rPr>
        <w:t>felt</w:t>
      </w:r>
      <w:r>
        <w:rPr>
          <w:spacing w:val="-3"/>
          <w:sz w:val="22"/>
        </w:rPr>
        <w:t> </w:t>
      </w:r>
      <w:r>
        <w:rPr>
          <w:sz w:val="22"/>
        </w:rPr>
        <w:t>he</w:t>
      </w:r>
      <w:r>
        <w:rPr>
          <w:spacing w:val="-3"/>
          <w:sz w:val="22"/>
        </w:rPr>
        <w:t> </w:t>
      </w:r>
      <w:r>
        <w:rPr>
          <w:sz w:val="22"/>
        </w:rPr>
        <w:t>and</w:t>
      </w:r>
      <w:r>
        <w:rPr>
          <w:spacing w:val="-3"/>
          <w:sz w:val="22"/>
        </w:rPr>
        <w:t> </w:t>
      </w:r>
      <w:r>
        <w:rPr>
          <w:sz w:val="22"/>
        </w:rPr>
        <w:t>the</w:t>
      </w:r>
      <w:r>
        <w:rPr>
          <w:spacing w:val="-3"/>
          <w:sz w:val="22"/>
        </w:rPr>
        <w:t> </w:t>
      </w:r>
      <w:r>
        <w:rPr>
          <w:sz w:val="22"/>
        </w:rPr>
        <w:t>FG</w:t>
      </w:r>
      <w:r>
        <w:rPr>
          <w:spacing w:val="-4"/>
          <w:sz w:val="22"/>
        </w:rPr>
        <w:t> </w:t>
      </w:r>
      <w:r>
        <w:rPr>
          <w:sz w:val="22"/>
        </w:rPr>
        <w:t>Office</w:t>
      </w:r>
      <w:r>
        <w:rPr>
          <w:spacing w:val="-3"/>
          <w:sz w:val="22"/>
        </w:rPr>
        <w:t> </w:t>
      </w:r>
      <w:r>
        <w:rPr>
          <w:sz w:val="22"/>
        </w:rPr>
        <w:t>could</w:t>
      </w:r>
      <w:r>
        <w:rPr>
          <w:spacing w:val="-3"/>
          <w:sz w:val="22"/>
        </w:rPr>
        <w:t> </w:t>
      </w:r>
      <w:r>
        <w:rPr>
          <w:sz w:val="22"/>
        </w:rPr>
        <w:t>improve.</w:t>
      </w:r>
    </w:p>
    <w:p>
      <w:pPr>
        <w:pStyle w:val="BodyText"/>
        <w:rPr>
          <w:sz w:val="24"/>
        </w:rPr>
      </w:pPr>
    </w:p>
    <w:p>
      <w:pPr>
        <w:pStyle w:val="BodyText"/>
        <w:spacing w:before="7"/>
        <w:rPr>
          <w:sz w:val="26"/>
        </w:rPr>
      </w:pPr>
    </w:p>
    <w:p>
      <w:pPr>
        <w:spacing w:before="0"/>
        <w:ind w:left="100" w:right="0" w:firstLine="0"/>
        <w:jc w:val="left"/>
        <w:rPr>
          <w:i/>
          <w:sz w:val="22"/>
        </w:rPr>
      </w:pPr>
      <w:r>
        <w:rPr>
          <w:rFonts w:ascii="Times New Roman"/>
          <w:spacing w:val="-55"/>
          <w:sz w:val="22"/>
          <w:u w:val="thick"/>
        </w:rPr>
        <w:t> </w:t>
      </w:r>
      <w:r>
        <w:rPr>
          <w:i/>
          <w:sz w:val="22"/>
          <w:u w:val="thick"/>
        </w:rPr>
        <w:t>Common Themes in Self-Assessments</w:t>
      </w:r>
    </w:p>
    <w:p>
      <w:pPr>
        <w:pStyle w:val="BodyText"/>
        <w:spacing w:line="276" w:lineRule="auto" w:before="38"/>
        <w:ind w:left="100" w:right="162"/>
      </w:pPr>
      <w:r>
        <w:rPr/>
        <w:t>While it seems evident that </w:t>
      </w:r>
      <w:r>
        <w:rPr>
          <w:spacing w:val="-5"/>
        </w:rPr>
        <w:t>Dr. </w:t>
      </w:r>
      <w:r>
        <w:rPr/>
        <w:t>Villarruel takes pride in his quest for excellence – both as the FG Official, and when it comes to the operations of the FG Office – he is also very forthright about areas where he has felt that the operations of the FG Office (or his own work as the FG Official) could improve. These have ranged from efforts to optimize the organizational structure of the FG Office personnel, to improving the layout and accessibility of the FG Office’s website, to being</w:t>
      </w:r>
      <w:r>
        <w:rPr>
          <w:spacing w:val="-6"/>
        </w:rPr>
        <w:t> </w:t>
      </w:r>
      <w:r>
        <w:rPr/>
        <w:t>intentional</w:t>
      </w:r>
      <w:r>
        <w:rPr>
          <w:spacing w:val="-6"/>
        </w:rPr>
        <w:t> </w:t>
      </w:r>
      <w:r>
        <w:rPr/>
        <w:t>about</w:t>
      </w:r>
      <w:r>
        <w:rPr>
          <w:spacing w:val="-5"/>
        </w:rPr>
        <w:t> </w:t>
      </w:r>
      <w:r>
        <w:rPr/>
        <w:t>broadening</w:t>
      </w:r>
      <w:r>
        <w:rPr>
          <w:spacing w:val="-6"/>
        </w:rPr>
        <w:t> </w:t>
      </w:r>
      <w:r>
        <w:rPr/>
        <w:t>ways</w:t>
      </w:r>
      <w:r>
        <w:rPr>
          <w:spacing w:val="-5"/>
        </w:rPr>
        <w:t> </w:t>
      </w:r>
      <w:r>
        <w:rPr/>
        <w:t>that</w:t>
      </w:r>
      <w:r>
        <w:rPr>
          <w:spacing w:val="-6"/>
        </w:rPr>
        <w:t> </w:t>
      </w:r>
      <w:r>
        <w:rPr/>
        <w:t>he</w:t>
      </w:r>
      <w:r>
        <w:rPr>
          <w:spacing w:val="-5"/>
        </w:rPr>
        <w:t> </w:t>
      </w:r>
      <w:r>
        <w:rPr/>
        <w:t>and</w:t>
      </w:r>
      <w:r>
        <w:rPr>
          <w:spacing w:val="-6"/>
        </w:rPr>
        <w:t> </w:t>
      </w:r>
      <w:r>
        <w:rPr/>
        <w:t>the</w:t>
      </w:r>
      <w:r>
        <w:rPr>
          <w:spacing w:val="-5"/>
        </w:rPr>
        <w:t> </w:t>
      </w:r>
      <w:r>
        <w:rPr/>
        <w:t>FG</w:t>
      </w:r>
      <w:r>
        <w:rPr>
          <w:spacing w:val="-6"/>
        </w:rPr>
        <w:t> </w:t>
      </w:r>
      <w:r>
        <w:rPr/>
        <w:t>Office</w:t>
      </w:r>
      <w:r>
        <w:rPr>
          <w:spacing w:val="-5"/>
        </w:rPr>
        <w:t> </w:t>
      </w:r>
      <w:r>
        <w:rPr/>
        <w:t>can</w:t>
      </w:r>
      <w:r>
        <w:rPr>
          <w:spacing w:val="-6"/>
        </w:rPr>
        <w:t> </w:t>
      </w:r>
      <w:r>
        <w:rPr/>
        <w:t>better</w:t>
      </w:r>
      <w:r>
        <w:rPr>
          <w:spacing w:val="-5"/>
        </w:rPr>
        <w:t> </w:t>
      </w:r>
      <w:r>
        <w:rPr/>
        <w:t>understand</w:t>
      </w:r>
      <w:r>
        <w:rPr>
          <w:spacing w:val="-6"/>
        </w:rPr>
        <w:t> </w:t>
      </w:r>
      <w:r>
        <w:rPr/>
        <w:t>issues of DEI that MSU faculty and administrators may</w:t>
      </w:r>
      <w:r>
        <w:rPr>
          <w:spacing w:val="-12"/>
        </w:rPr>
        <w:t> </w:t>
      </w:r>
      <w:r>
        <w:rPr/>
        <w:t>face.</w:t>
      </w:r>
    </w:p>
    <w:p>
      <w:pPr>
        <w:pStyle w:val="BodyText"/>
        <w:spacing w:line="276" w:lineRule="auto"/>
        <w:ind w:left="100" w:right="117" w:firstLine="720"/>
      </w:pPr>
      <w:r>
        <w:rPr/>
        <w:t>Each annual reflective self-assessment has also included goals for the year ahead. These have often focused on training that Dr. Villarruel felt he could participate in, in order to broaden his capacities and skills as the FG Official.</w:t>
      </w:r>
    </w:p>
    <w:p>
      <w:pPr>
        <w:pStyle w:val="BodyText"/>
        <w:spacing w:line="276" w:lineRule="auto"/>
        <w:ind w:left="100" w:right="124" w:firstLine="720"/>
      </w:pPr>
      <w:r>
        <w:rPr/>
        <w:t>In his annual reflective self-assessments, Dr. Villarruel has also clearly articulated ways in which he, and/or the FG Office more broadly, has excelled. In his reflections for the 2019 calendar year, he highlighted his efforts in the areas of accessible and timely communications, his fidelity to the Faculty Grievance Policy (FGP), and his work to improve the FG Office’s infrastructure and grievance processing practices. For 2020, he again highlighted his fidelity to the FGP along with the summative feedback that he received from faculty who engaged with his office, applauding him for his ability to provide them with helpful tools and resources to bolster their ability to advocate for themselves. For 2021, he highlighted how the FG Office had to be adaptive and flexible during the pandemic in order to maintain efficiency in a changing academic landscape.</w:t>
      </w:r>
    </w:p>
    <w:p>
      <w:pPr>
        <w:spacing w:after="0" w:line="276" w:lineRule="auto"/>
        <w:sectPr>
          <w:pgSz w:w="12240" w:h="15840"/>
          <w:pgMar w:header="0" w:footer="724" w:top="1360" w:bottom="1000" w:left="1340" w:right="1300"/>
        </w:sectPr>
      </w:pPr>
    </w:p>
    <w:p>
      <w:pPr>
        <w:pStyle w:val="BodyText"/>
        <w:spacing w:line="276" w:lineRule="auto" w:before="80"/>
        <w:ind w:left="100"/>
      </w:pPr>
      <w:r>
        <w:rPr/>
        <w:t>Dr. Villarruel’s approach to his work as the FG Official is exemplified in an excerpt from his 2020 reflective self-assessment:</w:t>
      </w:r>
    </w:p>
    <w:p>
      <w:pPr>
        <w:pStyle w:val="BodyText"/>
        <w:spacing w:before="3"/>
        <w:rPr>
          <w:sz w:val="25"/>
        </w:rPr>
      </w:pPr>
    </w:p>
    <w:p>
      <w:pPr>
        <w:spacing w:line="276" w:lineRule="auto" w:before="0"/>
        <w:ind w:left="100" w:right="117" w:firstLine="0"/>
        <w:jc w:val="left"/>
        <w:rPr>
          <w:sz w:val="22"/>
        </w:rPr>
      </w:pPr>
      <w:r>
        <w:rPr>
          <w:sz w:val="22"/>
        </w:rPr>
        <w:t>“</w:t>
      </w:r>
      <w:r>
        <w:rPr>
          <w:i/>
          <w:sz w:val="22"/>
        </w:rPr>
        <w:t>I attempt to deal with all FGO activities in a similar manner: to respond to each person with </w:t>
      </w:r>
      <w:r>
        <w:rPr>
          <w:i/>
          <w:sz w:val="22"/>
        </w:rPr>
        <w:t>respect, dignity, trust, authenticity, and with integrity. In their communications, faculty, staff, and administrators often convey that they are stressed, angered, and/or confused, seeking an outcome that meets their individual expectations. Unfortunately, a satisfactory outcome for them is not always possible, resulting in some feeling that issues were resolved unfavorably. I adhere to the parameters of the FGP and do my best to explain to stakeholders how the process works and that my determinations are made based on Policy, not on my personal opinion.</w:t>
      </w:r>
      <w:r>
        <w:rPr>
          <w:sz w:val="22"/>
        </w:rPr>
        <w:t>”</w:t>
      </w:r>
    </w:p>
    <w:p>
      <w:pPr>
        <w:pStyle w:val="BodyText"/>
        <w:spacing w:before="3"/>
        <w:rPr>
          <w:sz w:val="25"/>
        </w:rPr>
      </w:pPr>
    </w:p>
    <w:p>
      <w:pPr>
        <w:spacing w:before="1"/>
        <w:ind w:left="100" w:right="0" w:firstLine="0"/>
        <w:jc w:val="left"/>
        <w:rPr>
          <w:i/>
          <w:sz w:val="22"/>
        </w:rPr>
      </w:pPr>
      <w:r>
        <w:rPr>
          <w:rFonts w:ascii="Times New Roman"/>
          <w:spacing w:val="-55"/>
          <w:sz w:val="22"/>
          <w:u w:val="thick"/>
        </w:rPr>
        <w:t> </w:t>
      </w:r>
      <w:r>
        <w:rPr>
          <w:i/>
          <w:spacing w:val="-4"/>
          <w:sz w:val="22"/>
          <w:u w:val="thick"/>
        </w:rPr>
        <w:t>Takeaway:</w:t>
      </w:r>
    </w:p>
    <w:p>
      <w:pPr>
        <w:pStyle w:val="BodyText"/>
        <w:spacing w:line="276" w:lineRule="auto" w:before="38"/>
        <w:ind w:left="100" w:right="242"/>
      </w:pPr>
      <w:r>
        <w:rPr/>
        <w:t>It seems clear that Dr. Villarruel is motivated to undertake thoughtful and critical analyses of both his role as the FG Official, and the operations of the FG Office, on an annual basis. He is transparent about areas for improvement, and is timely in providing these reflective</w:t>
      </w:r>
    </w:p>
    <w:p>
      <w:pPr>
        <w:pStyle w:val="BodyText"/>
        <w:ind w:left="100"/>
      </w:pPr>
      <w:r>
        <w:rPr/>
        <w:t>self-assessments to the UCFA Personnel Subcommittee for review. These reflective</w:t>
      </w:r>
    </w:p>
    <w:p>
      <w:pPr>
        <w:pStyle w:val="BodyText"/>
        <w:spacing w:line="276" w:lineRule="auto" w:before="37"/>
        <w:ind w:left="100" w:right="187"/>
      </w:pPr>
      <w:r>
        <w:rPr/>
        <w:t>self-assessments constitute strong evidence of a growth-mindset, and a quest for excellence. Put another way, Dr. Villarruel operates as though he always feels he can </w:t>
      </w:r>
      <w:r>
        <w:rPr>
          <w:i/>
        </w:rPr>
        <w:t>learn and grow more </w:t>
      </w:r>
      <w:r>
        <w:rPr/>
        <w:t>in his role as the FG Official to provide the best services possible to MSU Faculty and Administration.</w:t>
      </w:r>
    </w:p>
    <w:p>
      <w:pPr>
        <w:spacing w:after="0" w:line="276" w:lineRule="auto"/>
        <w:sectPr>
          <w:pgSz w:w="12240" w:h="15840"/>
          <w:pgMar w:header="0" w:footer="724" w:top="1360" w:bottom="1000" w:left="1340" w:right="1300"/>
        </w:sectPr>
      </w:pPr>
    </w:p>
    <w:p>
      <w:pPr>
        <w:pStyle w:val="Heading1"/>
        <w:rPr>
          <w:u w:val="none"/>
        </w:rPr>
      </w:pPr>
      <w:r>
        <w:rPr>
          <w:rFonts w:ascii="Times New Roman"/>
          <w:b w:val="0"/>
          <w:spacing w:val="-60"/>
          <w:u w:val="thick"/>
        </w:rPr>
        <w:t> </w:t>
      </w:r>
      <w:r>
        <w:rPr>
          <w:u w:val="thick"/>
        </w:rPr>
        <w:t>Appendix 1, Review of the FG Office and FG Official from the 2019 Calendar </w:t>
      </w:r>
      <w:r>
        <w:rPr>
          <w:spacing w:val="-4"/>
          <w:u w:val="thick"/>
        </w:rPr>
        <w:t>Year</w:t>
      </w:r>
    </w:p>
    <w:p>
      <w:pPr>
        <w:pStyle w:val="BodyText"/>
        <w:spacing w:before="10"/>
        <w:rPr>
          <w:b/>
          <w:sz w:val="28"/>
        </w:rPr>
      </w:pPr>
    </w:p>
    <w:p>
      <w:pPr>
        <w:pStyle w:val="BodyText"/>
        <w:ind w:left="100"/>
      </w:pPr>
      <w:r>
        <w:rPr/>
        <w:t>April 21, 2020</w:t>
      </w:r>
    </w:p>
    <w:p>
      <w:pPr>
        <w:pStyle w:val="BodyText"/>
        <w:spacing w:before="7"/>
        <w:rPr>
          <w:sz w:val="28"/>
        </w:rPr>
      </w:pPr>
    </w:p>
    <w:p>
      <w:pPr>
        <w:pStyle w:val="BodyText"/>
        <w:tabs>
          <w:tab w:pos="819" w:val="left" w:leader="none"/>
        </w:tabs>
        <w:ind w:left="100"/>
      </w:pPr>
      <w:r>
        <w:rPr>
          <w:spacing w:val="-9"/>
        </w:rPr>
        <w:t>To:</w:t>
        <w:tab/>
      </w:r>
      <w:r>
        <w:rPr>
          <w:spacing w:val="-5"/>
        </w:rPr>
        <w:t>Dr. </w:t>
      </w:r>
      <w:r>
        <w:rPr/>
        <w:t>Richard Fulton,</w:t>
      </w:r>
      <w:r>
        <w:rPr>
          <w:spacing w:val="1"/>
        </w:rPr>
        <w:t> </w:t>
      </w:r>
      <w:r>
        <w:rPr/>
        <w:t>Chair</w:t>
      </w:r>
    </w:p>
    <w:p>
      <w:pPr>
        <w:pStyle w:val="BodyText"/>
        <w:spacing w:before="38"/>
        <w:ind w:left="820"/>
      </w:pPr>
      <w:r>
        <w:rPr/>
        <w:t>University Committee on Faculty Affairs</w:t>
      </w:r>
    </w:p>
    <w:p>
      <w:pPr>
        <w:pStyle w:val="BodyText"/>
        <w:spacing w:before="7"/>
        <w:rPr>
          <w:sz w:val="28"/>
        </w:rPr>
      </w:pPr>
    </w:p>
    <w:p>
      <w:pPr>
        <w:pStyle w:val="BodyText"/>
        <w:ind w:left="100"/>
      </w:pPr>
      <w:r>
        <w:rPr/>
        <w:t>From: Dr. Martha Faner, Chair</w:t>
      </w:r>
    </w:p>
    <w:p>
      <w:pPr>
        <w:pStyle w:val="BodyText"/>
        <w:spacing w:line="552" w:lineRule="auto" w:before="38"/>
        <w:ind w:left="100" w:right="4239" w:firstLine="720"/>
      </w:pPr>
      <w:r>
        <w:rPr/>
        <w:t>UCFA Personnel Policy Subcommittee Subject: Faculty Grievance Official--Annual Review</w:t>
      </w:r>
    </w:p>
    <w:p>
      <w:pPr>
        <w:pStyle w:val="BodyText"/>
        <w:spacing w:line="276" w:lineRule="auto"/>
        <w:ind w:left="100" w:right="117"/>
      </w:pPr>
      <w:r>
        <w:rPr/>
        <w:t>During the 2019 calendar year the Faculty Grievance Office had two officials working in the office: Faculty Grievance Official, Dr. Francisco Villarruel and Associate Faculty Grievance Official, Dr. Michelle Kaminski. The Personnel Policy Subcommittee of the University Committee on Faculty Affairs completed the usual annual review of the Faculty Grievance Official and Faculty Grievance Office for 2019.</w:t>
      </w:r>
    </w:p>
    <w:p>
      <w:pPr>
        <w:pStyle w:val="BodyText"/>
        <w:spacing w:before="3"/>
        <w:rPr>
          <w:sz w:val="25"/>
        </w:rPr>
      </w:pPr>
    </w:p>
    <w:p>
      <w:pPr>
        <w:pStyle w:val="BodyText"/>
        <w:spacing w:line="276" w:lineRule="auto"/>
        <w:ind w:left="100" w:right="117"/>
      </w:pPr>
      <w:r>
        <w:rPr/>
        <w:t>The survey used this year was the same as last year’s survey and asked about the services provided by the office historically. There has been an expansion of services provided this year and those have not been captured in this survey. The participants were asked to identify which individual(s) they had worked with during the year and answer questions about that(those) individual(s).</w:t>
      </w:r>
    </w:p>
    <w:p>
      <w:pPr>
        <w:pStyle w:val="BodyText"/>
        <w:spacing w:before="3"/>
        <w:rPr>
          <w:sz w:val="25"/>
        </w:rPr>
      </w:pPr>
    </w:p>
    <w:p>
      <w:pPr>
        <w:pStyle w:val="BodyText"/>
        <w:spacing w:line="276" w:lineRule="auto" w:before="1"/>
        <w:ind w:left="100" w:right="242"/>
      </w:pPr>
      <w:r>
        <w:rPr/>
        <w:t>In preparing its report, the committee worked with Karen Clark (Senior </w:t>
      </w:r>
      <w:r>
        <w:rPr>
          <w:shd w:fill="FDFDF6" w:color="auto" w:val="clear"/>
        </w:rPr>
        <w:t>Project Manager) of the</w:t>
      </w:r>
      <w:r>
        <w:rPr/>
        <w:t> </w:t>
      </w:r>
      <w:r>
        <w:rPr>
          <w:shd w:fill="FDFDF6" w:color="auto" w:val="clear"/>
        </w:rPr>
        <w:t>Office of Survey Research to</w:t>
      </w:r>
      <w:r>
        <w:rPr/>
        <w:t> survey those using the services of the Faculty Grievance Office during the year. Surveys were sent to 125 individuals whose names were provided by the Faculty Grievance Office. Thirty-nine (39) of those individuals completed the survey, for a 31.2% response rate. The response rate was slightly higher than last year.</w:t>
      </w:r>
    </w:p>
    <w:p>
      <w:pPr>
        <w:pStyle w:val="BodyText"/>
        <w:spacing w:before="3"/>
        <w:rPr>
          <w:sz w:val="25"/>
        </w:rPr>
      </w:pPr>
    </w:p>
    <w:p>
      <w:pPr>
        <w:pStyle w:val="Heading2"/>
      </w:pPr>
      <w:r>
        <w:rPr/>
        <w:t>Use of the Office in 2019</w:t>
      </w:r>
    </w:p>
    <w:p>
      <w:pPr>
        <w:pStyle w:val="BodyText"/>
        <w:spacing w:before="7"/>
        <w:rPr>
          <w:b/>
          <w:sz w:val="28"/>
        </w:rPr>
      </w:pPr>
    </w:p>
    <w:p>
      <w:pPr>
        <w:pStyle w:val="BodyText"/>
        <w:spacing w:line="276" w:lineRule="auto"/>
        <w:ind w:left="100" w:right="187"/>
      </w:pPr>
      <w:r>
        <w:rPr/>
        <w:t>To give an idea of who used the Faculty Grievance Office during 2019, information about those who responded to the survey is shown in Tables 1 and 2. The largest group of users were faculty in the tenure system. Of all who answered the survey, 47.4% identified themselves as members of an underrepresented group at MSU.</w:t>
      </w:r>
    </w:p>
    <w:p>
      <w:pPr>
        <w:pStyle w:val="BodyText"/>
        <w:spacing w:before="3"/>
        <w:rPr>
          <w:sz w:val="25"/>
        </w:rPr>
      </w:pPr>
    </w:p>
    <w:p>
      <w:pPr>
        <w:pStyle w:val="BodyText"/>
        <w:spacing w:line="276" w:lineRule="auto"/>
        <w:ind w:left="100" w:right="187"/>
      </w:pPr>
      <w:r>
        <w:rPr/>
        <w:t>Most interactions with the office in 2019 were general inquiries and informal discussions, as seen in Table 3. Respondents were asked to choose all answers that applied. The number of contacts and hours of contacts are shown in Tables 4 and 5.</w:t>
      </w:r>
    </w:p>
    <w:p>
      <w:pPr>
        <w:pStyle w:val="BodyText"/>
        <w:spacing w:before="4"/>
        <w:rPr>
          <w:sz w:val="25"/>
        </w:rPr>
      </w:pPr>
    </w:p>
    <w:p>
      <w:pPr>
        <w:pStyle w:val="Heading2"/>
      </w:pPr>
      <w:r>
        <w:rPr/>
        <w:t>Impressions of the Office Staff and Web site</w:t>
      </w:r>
    </w:p>
    <w:p>
      <w:pPr>
        <w:pStyle w:val="BodyText"/>
        <w:spacing w:line="254" w:lineRule="auto" w:before="175"/>
        <w:ind w:left="100" w:right="296"/>
      </w:pPr>
      <w:r>
        <w:rPr/>
        <w:t>The staff in the Faculty Grievance Office remained the same over the year. Table 6 shows that respondents indicated overwhelmingly favorable impressions of the staff as accessible and</w:t>
      </w:r>
    </w:p>
    <w:p>
      <w:pPr>
        <w:spacing w:after="0" w:line="254" w:lineRule="auto"/>
        <w:sectPr>
          <w:pgSz w:w="12240" w:h="15840"/>
          <w:pgMar w:header="0" w:footer="724" w:top="1360" w:bottom="1000" w:left="1340" w:right="1300"/>
        </w:sectPr>
      </w:pPr>
    </w:p>
    <w:p>
      <w:pPr>
        <w:pStyle w:val="BodyText"/>
        <w:spacing w:line="254" w:lineRule="auto" w:before="80"/>
        <w:ind w:left="100"/>
      </w:pPr>
      <w:r>
        <w:rPr/>
        <w:t>approachable, able to communicate clearly, conducting work in a timely manner, maintaining confidentiality, knowledgeable of university polices and to be able to answer questions.</w:t>
      </w:r>
    </w:p>
    <w:p>
      <w:pPr>
        <w:pStyle w:val="BodyText"/>
        <w:spacing w:line="254" w:lineRule="auto" w:before="160"/>
        <w:ind w:left="100"/>
      </w:pPr>
      <w:r>
        <w:rPr/>
        <w:t>Ratings of staff were still very favorable but slightly lower by those that identified as being a member of an underrepresented group at MSU (Table 7).</w:t>
      </w:r>
    </w:p>
    <w:p>
      <w:pPr>
        <w:pStyle w:val="BodyText"/>
        <w:spacing w:line="254" w:lineRule="auto" w:before="160"/>
        <w:ind w:left="100" w:right="117"/>
      </w:pPr>
      <w:r>
        <w:rPr/>
        <w:t>When asked about ease of use of the web site, most respondents found it easy or somewhat easy to use, although 13.4% found it difficult or very difficult to use (Table 8).</w:t>
      </w:r>
    </w:p>
    <w:p>
      <w:pPr>
        <w:pStyle w:val="Heading2"/>
        <w:spacing w:before="160"/>
        <w:ind w:left="161"/>
      </w:pPr>
      <w:r>
        <w:rPr/>
        <w:t>Impressions about Interactions with Professor Francisco Villarruel</w:t>
      </w:r>
    </w:p>
    <w:p>
      <w:pPr>
        <w:pStyle w:val="BodyText"/>
        <w:spacing w:line="254" w:lineRule="auto" w:before="175"/>
        <w:ind w:left="100"/>
      </w:pPr>
      <w:r>
        <w:rPr/>
        <w:t>Out of the 38 respondents that consented to the survey 33 had interactions with Professor Villarruel. The ratings of those interactions are shown in Table 9.</w:t>
      </w:r>
    </w:p>
    <w:p>
      <w:pPr>
        <w:pStyle w:val="BodyText"/>
        <w:spacing w:line="254" w:lineRule="auto" w:before="160"/>
        <w:ind w:left="100" w:right="117"/>
      </w:pPr>
      <w:r>
        <w:rPr/>
        <w:t>Dr. Villarruel received his highest ratings for being approachable, conducting work in a timely manner, knowledge of university policies and regulations (this is an area of improvement from last year), clearly communicating and trying to resolve conflicts informally.</w:t>
      </w:r>
    </w:p>
    <w:p>
      <w:pPr>
        <w:pStyle w:val="BodyText"/>
        <w:spacing w:line="254" w:lineRule="auto" w:before="160"/>
        <w:ind w:left="100" w:right="117"/>
      </w:pPr>
      <w:r>
        <w:rPr/>
        <w:t>He received some lower ratings overall for administering grievances in a fair manner, being an effective problem solver and seeking and respecting diverse perspectives. His lowest rating was in his ability to act as an effective mediator between parties (this is the same as last year).</w:t>
      </w:r>
    </w:p>
    <w:p>
      <w:pPr>
        <w:pStyle w:val="BodyText"/>
        <w:spacing w:line="254" w:lineRule="auto" w:before="160"/>
        <w:ind w:left="100" w:right="837"/>
        <w:jc w:val="both"/>
      </w:pPr>
      <w:r>
        <w:rPr/>
        <w:t>When these ratings were broken out between those who did or did not identify as being a member</w:t>
      </w:r>
      <w:r>
        <w:rPr>
          <w:spacing w:val="-6"/>
        </w:rPr>
        <w:t> </w:t>
      </w:r>
      <w:r>
        <w:rPr/>
        <w:t>of</w:t>
      </w:r>
      <w:r>
        <w:rPr>
          <w:spacing w:val="-6"/>
        </w:rPr>
        <w:t> </w:t>
      </w:r>
      <w:r>
        <w:rPr/>
        <w:t>a</w:t>
      </w:r>
      <w:r>
        <w:rPr>
          <w:spacing w:val="-5"/>
        </w:rPr>
        <w:t> </w:t>
      </w:r>
      <w:r>
        <w:rPr/>
        <w:t>underrepresented</w:t>
      </w:r>
      <w:r>
        <w:rPr>
          <w:spacing w:val="-6"/>
        </w:rPr>
        <w:t> </w:t>
      </w:r>
      <w:r>
        <w:rPr/>
        <w:t>group,</w:t>
      </w:r>
      <w:r>
        <w:rPr>
          <w:spacing w:val="-5"/>
        </w:rPr>
        <w:t> </w:t>
      </w:r>
      <w:r>
        <w:rPr/>
        <w:t>there</w:t>
      </w:r>
      <w:r>
        <w:rPr>
          <w:spacing w:val="-6"/>
        </w:rPr>
        <w:t> </w:t>
      </w:r>
      <w:r>
        <w:rPr/>
        <w:t>was</w:t>
      </w:r>
      <w:r>
        <w:rPr>
          <w:spacing w:val="-5"/>
        </w:rPr>
        <w:t> </w:t>
      </w:r>
      <w:r>
        <w:rPr/>
        <w:t>no</w:t>
      </w:r>
      <w:r>
        <w:rPr>
          <w:spacing w:val="-6"/>
        </w:rPr>
        <w:t> </w:t>
      </w:r>
      <w:r>
        <w:rPr/>
        <w:t>difference.</w:t>
      </w:r>
      <w:r>
        <w:rPr>
          <w:spacing w:val="-5"/>
        </w:rPr>
        <w:t> </w:t>
      </w:r>
      <w:r>
        <w:rPr/>
        <w:t>In</w:t>
      </w:r>
      <w:r>
        <w:rPr>
          <w:spacing w:val="-6"/>
        </w:rPr>
        <w:t> </w:t>
      </w:r>
      <w:r>
        <w:rPr/>
        <w:t>addition,</w:t>
      </w:r>
      <w:r>
        <w:rPr>
          <w:spacing w:val="-5"/>
        </w:rPr>
        <w:t> </w:t>
      </w:r>
      <w:r>
        <w:rPr/>
        <w:t>there</w:t>
      </w:r>
      <w:r>
        <w:rPr>
          <w:spacing w:val="-6"/>
        </w:rPr>
        <w:t> </w:t>
      </w:r>
      <w:r>
        <w:rPr/>
        <w:t>were</w:t>
      </w:r>
      <w:r>
        <w:rPr>
          <w:spacing w:val="-5"/>
        </w:rPr>
        <w:t> </w:t>
      </w:r>
      <w:r>
        <w:rPr/>
        <w:t>no differences between those who had a formal grievance and those that did</w:t>
      </w:r>
      <w:r>
        <w:rPr>
          <w:spacing w:val="-34"/>
        </w:rPr>
        <w:t> </w:t>
      </w:r>
      <w:r>
        <w:rPr/>
        <w:t>not.</w:t>
      </w:r>
    </w:p>
    <w:p>
      <w:pPr>
        <w:pStyle w:val="BodyText"/>
        <w:spacing w:line="254" w:lineRule="auto" w:before="160"/>
        <w:ind w:left="100" w:right="147"/>
      </w:pPr>
      <w:r>
        <w:rPr/>
        <w:t>Upon self-reflection Prof. Villarruel noted successes including updating the Faculty Grievance </w:t>
      </w:r>
      <w:r>
        <w:rPr>
          <w:spacing w:val="-4"/>
        </w:rPr>
        <w:t>Policy, </w:t>
      </w:r>
      <w:r>
        <w:rPr/>
        <w:t>maintaining the integrity of the office, being accessible to </w:t>
      </w:r>
      <w:r>
        <w:rPr>
          <w:spacing w:val="-3"/>
        </w:rPr>
        <w:t>faculty, </w:t>
      </w:r>
      <w:r>
        <w:rPr/>
        <w:t>staff and administrators. He cites the need to work more closely with the Associate Faculty Grievance Officer to develop the dispute resolution component of the office for peer-to-peer</w:t>
      </w:r>
      <w:r>
        <w:rPr>
          <w:spacing w:val="-20"/>
        </w:rPr>
        <w:t> </w:t>
      </w:r>
      <w:r>
        <w:rPr/>
        <w:t>conflict.</w:t>
      </w:r>
    </w:p>
    <w:p>
      <w:pPr>
        <w:pStyle w:val="Heading2"/>
        <w:spacing w:before="160"/>
        <w:jc w:val="both"/>
      </w:pPr>
      <w:r>
        <w:rPr/>
        <w:t>Impressions</w:t>
      </w:r>
      <w:r>
        <w:rPr>
          <w:spacing w:val="-10"/>
        </w:rPr>
        <w:t> </w:t>
      </w:r>
      <w:r>
        <w:rPr/>
        <w:t>about</w:t>
      </w:r>
      <w:r>
        <w:rPr>
          <w:spacing w:val="-9"/>
        </w:rPr>
        <w:t> </w:t>
      </w:r>
      <w:r>
        <w:rPr/>
        <w:t>Interactions</w:t>
      </w:r>
      <w:r>
        <w:rPr>
          <w:spacing w:val="-9"/>
        </w:rPr>
        <w:t> </w:t>
      </w:r>
      <w:r>
        <w:rPr/>
        <w:t>with</w:t>
      </w:r>
      <w:r>
        <w:rPr>
          <w:spacing w:val="-10"/>
        </w:rPr>
        <w:t> </w:t>
      </w:r>
      <w:r>
        <w:rPr/>
        <w:t>Professor</w:t>
      </w:r>
      <w:r>
        <w:rPr>
          <w:spacing w:val="-9"/>
        </w:rPr>
        <w:t> </w:t>
      </w:r>
      <w:r>
        <w:rPr/>
        <w:t>Michelle</w:t>
      </w:r>
      <w:r>
        <w:rPr>
          <w:spacing w:val="-9"/>
        </w:rPr>
        <w:t> </w:t>
      </w:r>
      <w:r>
        <w:rPr/>
        <w:t>Kaminski</w:t>
      </w:r>
    </w:p>
    <w:p>
      <w:pPr>
        <w:pStyle w:val="BodyText"/>
        <w:spacing w:line="254" w:lineRule="auto" w:before="175"/>
        <w:ind w:left="100" w:right="258"/>
      </w:pPr>
      <w:r>
        <w:rPr/>
        <w:t>Out of the 38 respondents that consented to the survey none had interactions with Professor Michelle Kaminski. This reflects the fact that she was not assigned to any of the work by the office. Instead, she engaged in work that would not be represented on the </w:t>
      </w:r>
      <w:r>
        <w:rPr>
          <w:spacing w:val="-4"/>
        </w:rPr>
        <w:t>survey. </w:t>
      </w:r>
      <w:r>
        <w:rPr/>
        <w:t>When asked to share with us a self-reflection of the work that she has done she noted that she has focused on expanding the role of the office in alternative conflict resolution. That included speaking with faculty</w:t>
      </w:r>
      <w:r>
        <w:rPr>
          <w:spacing w:val="-6"/>
        </w:rPr>
        <w:t> </w:t>
      </w:r>
      <w:r>
        <w:rPr/>
        <w:t>about</w:t>
      </w:r>
      <w:r>
        <w:rPr>
          <w:spacing w:val="-6"/>
        </w:rPr>
        <w:t> </w:t>
      </w:r>
      <w:r>
        <w:rPr/>
        <w:t>options</w:t>
      </w:r>
      <w:r>
        <w:rPr>
          <w:spacing w:val="-6"/>
        </w:rPr>
        <w:t> </w:t>
      </w:r>
      <w:r>
        <w:rPr/>
        <w:t>that</w:t>
      </w:r>
      <w:r>
        <w:rPr>
          <w:spacing w:val="-6"/>
        </w:rPr>
        <w:t> </w:t>
      </w:r>
      <w:r>
        <w:rPr/>
        <w:t>they</w:t>
      </w:r>
      <w:r>
        <w:rPr>
          <w:spacing w:val="-6"/>
        </w:rPr>
        <w:t> </w:t>
      </w:r>
      <w:r>
        <w:rPr/>
        <w:t>might</w:t>
      </w:r>
      <w:r>
        <w:rPr>
          <w:spacing w:val="-5"/>
        </w:rPr>
        <w:t> </w:t>
      </w:r>
      <w:r>
        <w:rPr/>
        <w:t>have</w:t>
      </w:r>
      <w:r>
        <w:rPr>
          <w:spacing w:val="-6"/>
        </w:rPr>
        <w:t> </w:t>
      </w:r>
      <w:r>
        <w:rPr/>
        <w:t>regarding</w:t>
      </w:r>
      <w:r>
        <w:rPr>
          <w:spacing w:val="-6"/>
        </w:rPr>
        <w:t> </w:t>
      </w:r>
      <w:r>
        <w:rPr/>
        <w:t>a</w:t>
      </w:r>
      <w:r>
        <w:rPr>
          <w:spacing w:val="-6"/>
        </w:rPr>
        <w:t> </w:t>
      </w:r>
      <w:r>
        <w:rPr/>
        <w:t>conflict</w:t>
      </w:r>
      <w:r>
        <w:rPr>
          <w:spacing w:val="-6"/>
        </w:rPr>
        <w:t> </w:t>
      </w:r>
      <w:r>
        <w:rPr/>
        <w:t>and</w:t>
      </w:r>
      <w:r>
        <w:rPr>
          <w:spacing w:val="-6"/>
        </w:rPr>
        <w:t> </w:t>
      </w:r>
      <w:r>
        <w:rPr/>
        <w:t>speaking</w:t>
      </w:r>
      <w:r>
        <w:rPr>
          <w:spacing w:val="-5"/>
        </w:rPr>
        <w:t> </w:t>
      </w:r>
      <w:r>
        <w:rPr/>
        <w:t>with</w:t>
      </w:r>
      <w:r>
        <w:rPr>
          <w:spacing w:val="-6"/>
        </w:rPr>
        <w:t> </w:t>
      </w:r>
      <w:r>
        <w:rPr/>
        <w:t>administrators to inform them of the role of non-grievance conflict resolution. This is a new role for the office which is why it was not included in the </w:t>
      </w:r>
      <w:r>
        <w:rPr>
          <w:spacing w:val="-4"/>
        </w:rPr>
        <w:t>survey. </w:t>
      </w:r>
      <w:r>
        <w:rPr>
          <w:spacing w:val="-3"/>
        </w:rPr>
        <w:t>We </w:t>
      </w:r>
      <w:r>
        <w:rPr/>
        <w:t>are concerned that none of the work in the office was assigned to Michelle and hope that her skills will be utilized in the future. The goal in hiring two faculty grievance officials was to add diversity to the office. That goal is not being reached if one individual is not being included in the work of the</w:t>
      </w:r>
      <w:r>
        <w:rPr>
          <w:spacing w:val="-26"/>
        </w:rPr>
        <w:t> </w:t>
      </w:r>
      <w:r>
        <w:rPr/>
        <w:t>office.</w:t>
      </w:r>
    </w:p>
    <w:p>
      <w:pPr>
        <w:pStyle w:val="BodyText"/>
        <w:spacing w:line="254" w:lineRule="auto" w:before="160"/>
        <w:ind w:left="100" w:right="187"/>
      </w:pPr>
      <w:r>
        <w:rPr/>
        <w:t>As for the future, Prof. Kaminski shared that she would like to contribute to the offices handling of formal grievances. In addition, she envisions two other important roles for herself as the Associate FGO:</w:t>
      </w:r>
    </w:p>
    <w:p>
      <w:pPr>
        <w:pStyle w:val="ListParagraph"/>
        <w:numPr>
          <w:ilvl w:val="1"/>
          <w:numId w:val="5"/>
        </w:numPr>
        <w:tabs>
          <w:tab w:pos="1540" w:val="left" w:leader="none"/>
        </w:tabs>
        <w:spacing w:line="254" w:lineRule="auto" w:before="160" w:after="0"/>
        <w:ind w:left="1540" w:right="513" w:hanging="360"/>
        <w:jc w:val="left"/>
        <w:rPr>
          <w:sz w:val="22"/>
        </w:rPr>
      </w:pPr>
      <w:r>
        <w:rPr>
          <w:sz w:val="22"/>
        </w:rPr>
        <w:t>Advising </w:t>
      </w:r>
      <w:r>
        <w:rPr>
          <w:spacing w:val="-3"/>
          <w:sz w:val="22"/>
        </w:rPr>
        <w:t>faculty, </w:t>
      </w:r>
      <w:r>
        <w:rPr>
          <w:sz w:val="22"/>
        </w:rPr>
        <w:t>staff, and administrators on issues related to bullying and the code of conduct and working to resolve those</w:t>
      </w:r>
      <w:r>
        <w:rPr>
          <w:spacing w:val="-13"/>
          <w:sz w:val="22"/>
        </w:rPr>
        <w:t> </w:t>
      </w:r>
      <w:r>
        <w:rPr>
          <w:spacing w:val="-3"/>
          <w:sz w:val="22"/>
        </w:rPr>
        <w:t>informally.</w:t>
      </w:r>
    </w:p>
    <w:p>
      <w:pPr>
        <w:pStyle w:val="ListParagraph"/>
        <w:numPr>
          <w:ilvl w:val="1"/>
          <w:numId w:val="5"/>
        </w:numPr>
        <w:tabs>
          <w:tab w:pos="1540" w:val="left" w:leader="none"/>
        </w:tabs>
        <w:spacing w:line="240" w:lineRule="auto" w:before="0" w:after="0"/>
        <w:ind w:left="1540" w:right="0" w:hanging="360"/>
        <w:jc w:val="left"/>
        <w:rPr>
          <w:sz w:val="22"/>
        </w:rPr>
      </w:pPr>
      <w:r>
        <w:rPr>
          <w:sz w:val="22"/>
        </w:rPr>
        <w:t>Offering expertise in restorative justice in the</w:t>
      </w:r>
      <w:r>
        <w:rPr>
          <w:spacing w:val="-14"/>
          <w:sz w:val="22"/>
        </w:rPr>
        <w:t> </w:t>
      </w:r>
      <w:r>
        <w:rPr>
          <w:sz w:val="22"/>
        </w:rPr>
        <w:t>workplace.</w:t>
      </w:r>
    </w:p>
    <w:p>
      <w:pPr>
        <w:spacing w:after="0" w:line="240" w:lineRule="auto"/>
        <w:jc w:val="left"/>
        <w:rPr>
          <w:sz w:val="22"/>
        </w:rPr>
        <w:sectPr>
          <w:pgSz w:w="12240" w:h="15840"/>
          <w:pgMar w:header="0" w:footer="724" w:top="1360" w:bottom="1000" w:left="1340" w:right="1300"/>
        </w:sectPr>
      </w:pPr>
    </w:p>
    <w:p>
      <w:pPr>
        <w:pStyle w:val="Heading2"/>
        <w:spacing w:before="80"/>
      </w:pPr>
      <w:r>
        <w:rPr/>
        <w:t>Open-Ended Comments</w:t>
      </w:r>
    </w:p>
    <w:p>
      <w:pPr>
        <w:pStyle w:val="BodyText"/>
        <w:spacing w:line="276" w:lineRule="auto" w:before="175"/>
        <w:ind w:left="100" w:right="173"/>
      </w:pPr>
      <w:r>
        <w:rPr/>
        <w:t>The survey allowed for open-ended textual comments and suggestions for improvement. There were comments commending the office on being welcoming and inclusive. Several respondents indicated that they were unaware of the office or that there is ambiguity regarding the roles of the Faculty Grievance Official and Associate Faculty Grievance official. One comment indicated that it would be helpful to have links to relevant university policies. There are also comments expressing a lack of due process and a partiality toward administration. One comment mentioned a lack of knowledge on a policy that was not followed up on.</w:t>
      </w:r>
    </w:p>
    <w:p>
      <w:pPr>
        <w:pStyle w:val="BodyText"/>
        <w:spacing w:before="3"/>
        <w:rPr>
          <w:sz w:val="25"/>
        </w:rPr>
      </w:pPr>
    </w:p>
    <w:p>
      <w:pPr>
        <w:pStyle w:val="Heading2"/>
      </w:pPr>
      <w:r>
        <w:rPr/>
        <w:t>Conclusions and Recommendations</w:t>
      </w:r>
    </w:p>
    <w:p>
      <w:pPr>
        <w:pStyle w:val="BodyText"/>
        <w:rPr>
          <w:b/>
          <w:sz w:val="24"/>
        </w:rPr>
      </w:pPr>
    </w:p>
    <w:p>
      <w:pPr>
        <w:pStyle w:val="BodyText"/>
        <w:spacing w:line="254" w:lineRule="auto" w:before="190"/>
        <w:ind w:left="100"/>
      </w:pPr>
      <w:r>
        <w:rPr/>
        <w:t>Overall, the ratings on all items were extremely positive with no areas being problematic. When considering overall satisfaction 17% and 19% of respondents were very dissatisfied with the process or the outcome of their grievance respectively (Table 10). When comparing how faculty versus administrators answered questions on satisfaction, faculty were slightly less satisfied though the difference was not statistically significant (Table 11).</w:t>
      </w:r>
    </w:p>
    <w:p>
      <w:pPr>
        <w:pStyle w:val="BodyText"/>
        <w:spacing w:line="254" w:lineRule="auto" w:before="160"/>
        <w:ind w:left="100" w:right="128"/>
      </w:pPr>
      <w:r>
        <w:rPr/>
        <w:t>At this time, we would also like to comment on an issue that was not asked about in the survey (though it was commented upon in the open comments) but has presented a significant problem to the office. The roles of the Faculty Grievance Official and the Associate Faculty Grievance Official have not been established. The hiring of two officials is a new arrangement and was undertaken with the goal of creating a well-rounded office by combining two complementary skill sets. In reality, that has been a challenge and the two officials have not been able to articulate a clear vision for the office and how the two roles should work together. We recognize that this issue has presented itself out of the novelty of having two Faculty Grievance Officials, but it is our concern that until it is resolved the office will function below its potential.</w:t>
      </w:r>
    </w:p>
    <w:p>
      <w:pPr>
        <w:pStyle w:val="BodyText"/>
        <w:spacing w:before="160"/>
        <w:ind w:left="100"/>
      </w:pPr>
      <w:r>
        <w:rPr/>
        <w:t>The committee suggests that:</w:t>
      </w:r>
    </w:p>
    <w:p>
      <w:pPr>
        <w:pStyle w:val="ListParagraph"/>
        <w:numPr>
          <w:ilvl w:val="0"/>
          <w:numId w:val="6"/>
        </w:numPr>
        <w:tabs>
          <w:tab w:pos="820" w:val="left" w:leader="none"/>
        </w:tabs>
        <w:spacing w:line="254" w:lineRule="auto" w:before="176" w:after="0"/>
        <w:ind w:left="820" w:right="411" w:hanging="360"/>
        <w:jc w:val="left"/>
        <w:rPr>
          <w:sz w:val="22"/>
        </w:rPr>
      </w:pPr>
      <w:r>
        <w:rPr>
          <w:sz w:val="22"/>
        </w:rPr>
        <w:t>Professor</w:t>
      </w:r>
      <w:r>
        <w:rPr>
          <w:spacing w:val="-6"/>
          <w:sz w:val="22"/>
        </w:rPr>
        <w:t> </w:t>
      </w:r>
      <w:r>
        <w:rPr>
          <w:sz w:val="22"/>
        </w:rPr>
        <w:t>Villarruel</w:t>
      </w:r>
      <w:r>
        <w:rPr>
          <w:spacing w:val="-6"/>
          <w:sz w:val="22"/>
        </w:rPr>
        <w:t> </w:t>
      </w:r>
      <w:r>
        <w:rPr>
          <w:sz w:val="22"/>
        </w:rPr>
        <w:t>review</w:t>
      </w:r>
      <w:r>
        <w:rPr>
          <w:spacing w:val="-6"/>
          <w:sz w:val="22"/>
        </w:rPr>
        <w:t> </w:t>
      </w:r>
      <w:r>
        <w:rPr>
          <w:sz w:val="22"/>
        </w:rPr>
        <w:t>the</w:t>
      </w:r>
      <w:r>
        <w:rPr>
          <w:spacing w:val="-6"/>
          <w:sz w:val="22"/>
        </w:rPr>
        <w:t> </w:t>
      </w:r>
      <w:r>
        <w:rPr>
          <w:sz w:val="22"/>
        </w:rPr>
        <w:t>table</w:t>
      </w:r>
      <w:r>
        <w:rPr>
          <w:spacing w:val="-5"/>
          <w:sz w:val="22"/>
        </w:rPr>
        <w:t> </w:t>
      </w:r>
      <w:r>
        <w:rPr>
          <w:sz w:val="22"/>
        </w:rPr>
        <w:t>of</w:t>
      </w:r>
      <w:r>
        <w:rPr>
          <w:spacing w:val="-6"/>
          <w:sz w:val="22"/>
        </w:rPr>
        <w:t> </w:t>
      </w:r>
      <w:r>
        <w:rPr>
          <w:sz w:val="22"/>
        </w:rPr>
        <w:t>rankings</w:t>
      </w:r>
      <w:r>
        <w:rPr>
          <w:spacing w:val="-6"/>
          <w:sz w:val="22"/>
        </w:rPr>
        <w:t> </w:t>
      </w:r>
      <w:r>
        <w:rPr>
          <w:sz w:val="22"/>
        </w:rPr>
        <w:t>with</w:t>
      </w:r>
      <w:r>
        <w:rPr>
          <w:spacing w:val="-6"/>
          <w:sz w:val="22"/>
        </w:rPr>
        <w:t> </w:t>
      </w:r>
      <w:r>
        <w:rPr>
          <w:sz w:val="22"/>
        </w:rPr>
        <w:t>a</w:t>
      </w:r>
      <w:r>
        <w:rPr>
          <w:spacing w:val="-6"/>
          <w:sz w:val="22"/>
        </w:rPr>
        <w:t> </w:t>
      </w:r>
      <w:r>
        <w:rPr>
          <w:sz w:val="22"/>
        </w:rPr>
        <w:t>goal</w:t>
      </w:r>
      <w:r>
        <w:rPr>
          <w:spacing w:val="-5"/>
          <w:sz w:val="22"/>
        </w:rPr>
        <w:t> </w:t>
      </w:r>
      <w:r>
        <w:rPr>
          <w:sz w:val="22"/>
        </w:rPr>
        <w:t>towards</w:t>
      </w:r>
      <w:r>
        <w:rPr>
          <w:spacing w:val="-6"/>
          <w:sz w:val="22"/>
        </w:rPr>
        <w:t> </w:t>
      </w:r>
      <w:r>
        <w:rPr>
          <w:sz w:val="22"/>
        </w:rPr>
        <w:t>identifying</w:t>
      </w:r>
      <w:r>
        <w:rPr>
          <w:spacing w:val="-6"/>
          <w:sz w:val="22"/>
        </w:rPr>
        <w:t> </w:t>
      </w:r>
      <w:r>
        <w:rPr>
          <w:sz w:val="22"/>
        </w:rPr>
        <w:t>skills</w:t>
      </w:r>
      <w:r>
        <w:rPr>
          <w:spacing w:val="-6"/>
          <w:sz w:val="22"/>
        </w:rPr>
        <w:t> </w:t>
      </w:r>
      <w:r>
        <w:rPr>
          <w:sz w:val="22"/>
        </w:rPr>
        <w:t>to work</w:t>
      </w:r>
      <w:r>
        <w:rPr>
          <w:spacing w:val="-2"/>
          <w:sz w:val="22"/>
        </w:rPr>
        <w:t> </w:t>
      </w:r>
      <w:r>
        <w:rPr>
          <w:sz w:val="22"/>
        </w:rPr>
        <w:t>on.</w:t>
      </w:r>
    </w:p>
    <w:p>
      <w:pPr>
        <w:pStyle w:val="ListParagraph"/>
        <w:numPr>
          <w:ilvl w:val="0"/>
          <w:numId w:val="6"/>
        </w:numPr>
        <w:tabs>
          <w:tab w:pos="820" w:val="left" w:leader="none"/>
        </w:tabs>
        <w:spacing w:line="256" w:lineRule="auto" w:before="0" w:after="0"/>
        <w:ind w:left="820" w:right="501" w:hanging="360"/>
        <w:jc w:val="left"/>
        <w:rPr>
          <w:sz w:val="22"/>
        </w:rPr>
      </w:pPr>
      <w:r>
        <w:rPr>
          <w:sz w:val="22"/>
        </w:rPr>
        <w:t>Professors</w:t>
      </w:r>
      <w:r>
        <w:rPr>
          <w:spacing w:val="-6"/>
          <w:sz w:val="22"/>
        </w:rPr>
        <w:t> </w:t>
      </w:r>
      <w:r>
        <w:rPr>
          <w:sz w:val="22"/>
        </w:rPr>
        <w:t>Villarruel</w:t>
      </w:r>
      <w:r>
        <w:rPr>
          <w:spacing w:val="-6"/>
          <w:sz w:val="22"/>
        </w:rPr>
        <w:t> </w:t>
      </w:r>
      <w:r>
        <w:rPr>
          <w:sz w:val="22"/>
        </w:rPr>
        <w:t>and</w:t>
      </w:r>
      <w:r>
        <w:rPr>
          <w:spacing w:val="-6"/>
          <w:sz w:val="22"/>
        </w:rPr>
        <w:t> </w:t>
      </w:r>
      <w:r>
        <w:rPr>
          <w:sz w:val="22"/>
        </w:rPr>
        <w:t>Kaminski</w:t>
      </w:r>
      <w:r>
        <w:rPr>
          <w:spacing w:val="-5"/>
          <w:sz w:val="22"/>
        </w:rPr>
        <w:t> </w:t>
      </w:r>
      <w:r>
        <w:rPr>
          <w:sz w:val="22"/>
        </w:rPr>
        <w:t>work</w:t>
      </w:r>
      <w:r>
        <w:rPr>
          <w:spacing w:val="-6"/>
          <w:sz w:val="22"/>
        </w:rPr>
        <w:t> </w:t>
      </w:r>
      <w:r>
        <w:rPr>
          <w:sz w:val="22"/>
        </w:rPr>
        <w:t>together</w:t>
      </w:r>
      <w:r>
        <w:rPr>
          <w:spacing w:val="-6"/>
          <w:sz w:val="22"/>
        </w:rPr>
        <w:t> </w:t>
      </w:r>
      <w:r>
        <w:rPr>
          <w:sz w:val="22"/>
        </w:rPr>
        <w:t>and</w:t>
      </w:r>
      <w:r>
        <w:rPr>
          <w:spacing w:val="-6"/>
          <w:sz w:val="22"/>
        </w:rPr>
        <w:t> </w:t>
      </w:r>
      <w:r>
        <w:rPr>
          <w:sz w:val="22"/>
        </w:rPr>
        <w:t>with</w:t>
      </w:r>
      <w:r>
        <w:rPr>
          <w:spacing w:val="-5"/>
          <w:sz w:val="22"/>
        </w:rPr>
        <w:t> </w:t>
      </w:r>
      <w:r>
        <w:rPr>
          <w:sz w:val="22"/>
        </w:rPr>
        <w:t>the</w:t>
      </w:r>
      <w:r>
        <w:rPr>
          <w:spacing w:val="-6"/>
          <w:sz w:val="22"/>
        </w:rPr>
        <w:t> </w:t>
      </w:r>
      <w:r>
        <w:rPr>
          <w:sz w:val="22"/>
        </w:rPr>
        <w:t>Office</w:t>
      </w:r>
      <w:r>
        <w:rPr>
          <w:spacing w:val="-6"/>
          <w:sz w:val="22"/>
        </w:rPr>
        <w:t> </w:t>
      </w:r>
      <w:r>
        <w:rPr>
          <w:sz w:val="22"/>
        </w:rPr>
        <w:t>of</w:t>
      </w:r>
      <w:r>
        <w:rPr>
          <w:spacing w:val="-6"/>
          <w:sz w:val="22"/>
        </w:rPr>
        <w:t> </w:t>
      </w:r>
      <w:r>
        <w:rPr>
          <w:sz w:val="22"/>
        </w:rPr>
        <w:t>the</w:t>
      </w:r>
      <w:r>
        <w:rPr>
          <w:spacing w:val="-5"/>
          <w:sz w:val="22"/>
        </w:rPr>
        <w:t> </w:t>
      </w:r>
      <w:r>
        <w:rPr>
          <w:sz w:val="22"/>
        </w:rPr>
        <w:t>Provost</w:t>
      </w:r>
      <w:r>
        <w:rPr>
          <w:spacing w:val="-6"/>
          <w:sz w:val="22"/>
        </w:rPr>
        <w:t> </w:t>
      </w:r>
      <w:r>
        <w:rPr>
          <w:sz w:val="22"/>
        </w:rPr>
        <w:t>to outline and agree upon the roles for their</w:t>
      </w:r>
      <w:r>
        <w:rPr>
          <w:spacing w:val="-13"/>
          <w:sz w:val="22"/>
        </w:rPr>
        <w:t> </w:t>
      </w:r>
      <w:r>
        <w:rPr>
          <w:sz w:val="22"/>
        </w:rPr>
        <w:t>positions.</w:t>
      </w:r>
    </w:p>
    <w:p>
      <w:pPr>
        <w:pStyle w:val="Heading2"/>
        <w:spacing w:line="552" w:lineRule="auto" w:before="160"/>
        <w:ind w:right="7844"/>
      </w:pPr>
      <w:r>
        <w:rPr/>
        <w:drawing>
          <wp:anchor distT="0" distB="0" distL="0" distR="0" allowOverlap="1" layoutInCell="1" locked="0" behindDoc="1" simplePos="0" relativeHeight="250807296">
            <wp:simplePos x="0" y="0"/>
            <wp:positionH relativeFrom="page">
              <wp:posOffset>958850</wp:posOffset>
            </wp:positionH>
            <wp:positionV relativeFrom="paragraph">
              <wp:posOffset>770111</wp:posOffset>
            </wp:positionV>
            <wp:extent cx="5873750" cy="1536700"/>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5873750" cy="1536700"/>
                    </a:xfrm>
                    <a:prstGeom prst="rect">
                      <a:avLst/>
                    </a:prstGeom>
                  </pic:spPr>
                </pic:pic>
              </a:graphicData>
            </a:graphic>
          </wp:anchor>
        </w:drawing>
      </w:r>
      <w:r>
        <w:rPr/>
        <w:t>Data Tables Table 1</w:t>
      </w:r>
    </w:p>
    <w:p>
      <w:pPr>
        <w:spacing w:after="0" w:line="552" w:lineRule="auto"/>
        <w:sectPr>
          <w:pgSz w:w="12240" w:h="15840"/>
          <w:pgMar w:header="0" w:footer="724" w:top="1360" w:bottom="1000" w:left="1340" w:right="1300"/>
        </w:sectPr>
      </w:pPr>
    </w:p>
    <w:p>
      <w:pPr>
        <w:spacing w:before="80"/>
        <w:ind w:left="161" w:right="0" w:firstLine="0"/>
        <w:jc w:val="left"/>
        <w:rPr>
          <w:b/>
          <w:sz w:val="22"/>
        </w:rPr>
      </w:pPr>
      <w:r>
        <w:rPr>
          <w:b/>
          <w:sz w:val="22"/>
        </w:rPr>
        <w:t>Table 2</w:t>
      </w:r>
    </w:p>
    <w:p>
      <w:pPr>
        <w:pStyle w:val="BodyText"/>
        <w:spacing w:before="9"/>
        <w:rPr>
          <w:b/>
          <w:sz w:val="18"/>
        </w:rPr>
      </w:pPr>
      <w:r>
        <w:rPr/>
        <w:drawing>
          <wp:anchor distT="0" distB="0" distL="0" distR="0" allowOverlap="1" layoutInCell="1" locked="0" behindDoc="0" simplePos="0" relativeHeight="1">
            <wp:simplePos x="0" y="0"/>
            <wp:positionH relativeFrom="page">
              <wp:posOffset>996950</wp:posOffset>
            </wp:positionH>
            <wp:positionV relativeFrom="paragraph">
              <wp:posOffset>162137</wp:posOffset>
            </wp:positionV>
            <wp:extent cx="5832361" cy="829627"/>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5832361" cy="829627"/>
                    </a:xfrm>
                    <a:prstGeom prst="rect">
                      <a:avLst/>
                    </a:prstGeom>
                  </pic:spPr>
                </pic:pic>
              </a:graphicData>
            </a:graphic>
          </wp:anchor>
        </w:drawing>
      </w:r>
    </w:p>
    <w:p>
      <w:pPr>
        <w:pStyle w:val="BodyText"/>
        <w:rPr>
          <w:b/>
          <w:sz w:val="24"/>
        </w:rPr>
      </w:pPr>
    </w:p>
    <w:p>
      <w:pPr>
        <w:pStyle w:val="BodyText"/>
        <w:rPr>
          <w:b/>
          <w:sz w:val="24"/>
        </w:rPr>
      </w:pPr>
    </w:p>
    <w:p>
      <w:pPr>
        <w:spacing w:before="197"/>
        <w:ind w:left="100" w:right="0" w:firstLine="0"/>
        <w:jc w:val="left"/>
        <w:rPr>
          <w:b/>
          <w:sz w:val="22"/>
        </w:rPr>
      </w:pPr>
      <w:r>
        <w:rPr>
          <w:b/>
          <w:spacing w:val="-4"/>
          <w:sz w:val="22"/>
        </w:rPr>
        <w:t>Table</w:t>
      </w:r>
      <w:r>
        <w:rPr>
          <w:b/>
          <w:spacing w:val="-1"/>
          <w:sz w:val="22"/>
        </w:rPr>
        <w:t> </w:t>
      </w:r>
      <w:r>
        <w:rPr>
          <w:b/>
          <w:sz w:val="22"/>
        </w:rPr>
        <w:t>3</w:t>
      </w:r>
    </w:p>
    <w:p>
      <w:pPr>
        <w:pStyle w:val="BodyText"/>
        <w:spacing w:before="11"/>
        <w:rPr>
          <w:b/>
          <w:sz w:val="12"/>
        </w:rPr>
      </w:pPr>
      <w:r>
        <w:rPr/>
        <w:drawing>
          <wp:anchor distT="0" distB="0" distL="0" distR="0" allowOverlap="1" layoutInCell="1" locked="0" behindDoc="0" simplePos="0" relativeHeight="2">
            <wp:simplePos x="0" y="0"/>
            <wp:positionH relativeFrom="page">
              <wp:posOffset>1022350</wp:posOffset>
            </wp:positionH>
            <wp:positionV relativeFrom="paragraph">
              <wp:posOffset>119647</wp:posOffset>
            </wp:positionV>
            <wp:extent cx="5807774" cy="2973895"/>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807774" cy="2973895"/>
                    </a:xfrm>
                    <a:prstGeom prst="rect">
                      <a:avLst/>
                    </a:prstGeom>
                  </pic:spPr>
                </pic:pic>
              </a:graphicData>
            </a:graphic>
          </wp:anchor>
        </w:drawing>
      </w:r>
    </w:p>
    <w:p>
      <w:pPr>
        <w:pStyle w:val="BodyText"/>
        <w:spacing w:before="8"/>
        <w:rPr>
          <w:b/>
          <w:sz w:val="33"/>
        </w:rPr>
      </w:pPr>
    </w:p>
    <w:p>
      <w:pPr>
        <w:spacing w:before="0"/>
        <w:ind w:left="100" w:right="0" w:firstLine="0"/>
        <w:jc w:val="left"/>
        <w:rPr>
          <w:b/>
          <w:sz w:val="22"/>
        </w:rPr>
      </w:pPr>
      <w:r>
        <w:rPr>
          <w:b/>
          <w:spacing w:val="-4"/>
          <w:sz w:val="22"/>
        </w:rPr>
        <w:t>Table</w:t>
      </w:r>
      <w:r>
        <w:rPr>
          <w:b/>
          <w:spacing w:val="-1"/>
          <w:sz w:val="22"/>
        </w:rPr>
        <w:t> </w:t>
      </w:r>
      <w:r>
        <w:rPr>
          <w:b/>
          <w:sz w:val="22"/>
        </w:rPr>
        <w:t>4</w:t>
      </w:r>
    </w:p>
    <w:p>
      <w:pPr>
        <w:pStyle w:val="BodyText"/>
        <w:rPr>
          <w:b/>
          <w:sz w:val="20"/>
        </w:rPr>
      </w:pPr>
    </w:p>
    <w:p>
      <w:pPr>
        <w:pStyle w:val="BodyText"/>
        <w:rPr>
          <w:b/>
          <w:sz w:val="13"/>
        </w:rPr>
      </w:pPr>
      <w:r>
        <w:rPr/>
        <w:drawing>
          <wp:anchor distT="0" distB="0" distL="0" distR="0" allowOverlap="1" layoutInCell="1" locked="0" behindDoc="0" simplePos="0" relativeHeight="3">
            <wp:simplePos x="0" y="0"/>
            <wp:positionH relativeFrom="page">
              <wp:posOffset>946150</wp:posOffset>
            </wp:positionH>
            <wp:positionV relativeFrom="paragraph">
              <wp:posOffset>120214</wp:posOffset>
            </wp:positionV>
            <wp:extent cx="5805306" cy="1093851"/>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5805306" cy="1093851"/>
                    </a:xfrm>
                    <a:prstGeom prst="rect">
                      <a:avLst/>
                    </a:prstGeom>
                  </pic:spPr>
                </pic:pic>
              </a:graphicData>
            </a:graphic>
          </wp:anchor>
        </w:drawing>
      </w:r>
    </w:p>
    <w:p>
      <w:pPr>
        <w:spacing w:before="148"/>
        <w:ind w:left="100" w:right="0" w:firstLine="0"/>
        <w:jc w:val="left"/>
        <w:rPr>
          <w:b/>
          <w:sz w:val="22"/>
        </w:rPr>
      </w:pPr>
      <w:r>
        <w:rPr>
          <w:b/>
          <w:spacing w:val="-4"/>
          <w:sz w:val="22"/>
        </w:rPr>
        <w:t>Table</w:t>
      </w:r>
      <w:r>
        <w:rPr>
          <w:b/>
          <w:spacing w:val="-1"/>
          <w:sz w:val="22"/>
        </w:rPr>
        <w:t> </w:t>
      </w:r>
      <w:r>
        <w:rPr>
          <w:b/>
          <w:sz w:val="22"/>
        </w:rPr>
        <w:t>5</w:t>
      </w:r>
    </w:p>
    <w:p>
      <w:pPr>
        <w:pStyle w:val="BodyText"/>
        <w:spacing w:before="6"/>
        <w:rPr>
          <w:b/>
          <w:sz w:val="15"/>
        </w:rPr>
      </w:pPr>
      <w:r>
        <w:rPr/>
        <w:drawing>
          <wp:anchor distT="0" distB="0" distL="0" distR="0" allowOverlap="1" layoutInCell="1" locked="0" behindDoc="0" simplePos="0" relativeHeight="4">
            <wp:simplePos x="0" y="0"/>
            <wp:positionH relativeFrom="page">
              <wp:posOffset>933450</wp:posOffset>
            </wp:positionH>
            <wp:positionV relativeFrom="paragraph">
              <wp:posOffset>138215</wp:posOffset>
            </wp:positionV>
            <wp:extent cx="5856797" cy="911542"/>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5856797" cy="911542"/>
                    </a:xfrm>
                    <a:prstGeom prst="rect">
                      <a:avLst/>
                    </a:prstGeom>
                  </pic:spPr>
                </pic:pic>
              </a:graphicData>
            </a:graphic>
          </wp:anchor>
        </w:drawing>
      </w:r>
    </w:p>
    <w:p>
      <w:pPr>
        <w:spacing w:after="0"/>
        <w:rPr>
          <w:sz w:val="15"/>
        </w:rPr>
        <w:sectPr>
          <w:pgSz w:w="12240" w:h="15840"/>
          <w:pgMar w:header="0" w:footer="724" w:top="1360" w:bottom="1000" w:left="1340" w:right="1300"/>
        </w:sectPr>
      </w:pPr>
    </w:p>
    <w:p>
      <w:pPr>
        <w:spacing w:before="80"/>
        <w:ind w:left="100" w:right="0" w:firstLine="0"/>
        <w:jc w:val="left"/>
        <w:rPr>
          <w:b/>
          <w:sz w:val="22"/>
        </w:rPr>
      </w:pPr>
      <w:r>
        <w:rPr>
          <w:b/>
          <w:spacing w:val="-4"/>
          <w:sz w:val="22"/>
        </w:rPr>
        <w:t>Table</w:t>
      </w:r>
      <w:r>
        <w:rPr>
          <w:b/>
          <w:spacing w:val="-1"/>
          <w:sz w:val="22"/>
        </w:rPr>
        <w:t> </w:t>
      </w:r>
      <w:r>
        <w:rPr>
          <w:b/>
          <w:sz w:val="22"/>
        </w:rPr>
        <w:t>6</w:t>
      </w:r>
    </w:p>
    <w:p>
      <w:pPr>
        <w:pStyle w:val="BodyText"/>
        <w:spacing w:before="5"/>
        <w:rPr>
          <w:b/>
          <w:sz w:val="9"/>
        </w:rPr>
      </w:pPr>
      <w:r>
        <w:rPr/>
        <w:drawing>
          <wp:anchor distT="0" distB="0" distL="0" distR="0" allowOverlap="1" layoutInCell="1" locked="0" behindDoc="0" simplePos="0" relativeHeight="5">
            <wp:simplePos x="0" y="0"/>
            <wp:positionH relativeFrom="page">
              <wp:posOffset>965268</wp:posOffset>
            </wp:positionH>
            <wp:positionV relativeFrom="paragraph">
              <wp:posOffset>94113</wp:posOffset>
            </wp:positionV>
            <wp:extent cx="5863971" cy="829627"/>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5863971" cy="829627"/>
                    </a:xfrm>
                    <a:prstGeom prst="rect">
                      <a:avLst/>
                    </a:prstGeom>
                  </pic:spPr>
                </pic:pic>
              </a:graphicData>
            </a:graphic>
          </wp:anchor>
        </w:drawing>
      </w:r>
    </w:p>
    <w:p>
      <w:pPr>
        <w:spacing w:before="154" w:after="128"/>
        <w:ind w:left="100" w:right="0" w:firstLine="0"/>
        <w:jc w:val="left"/>
        <w:rPr>
          <w:b/>
          <w:sz w:val="22"/>
        </w:rPr>
      </w:pPr>
      <w:r>
        <w:rPr>
          <w:b/>
          <w:spacing w:val="-4"/>
          <w:sz w:val="22"/>
        </w:rPr>
        <w:t>Table</w:t>
      </w:r>
      <w:r>
        <w:rPr>
          <w:b/>
          <w:spacing w:val="-1"/>
          <w:sz w:val="22"/>
        </w:rPr>
        <w:t> </w:t>
      </w:r>
      <w:r>
        <w:rPr>
          <w:b/>
          <w:sz w:val="22"/>
        </w:rPr>
        <w:t>7</w:t>
      </w:r>
    </w:p>
    <w:p>
      <w:pPr>
        <w:pStyle w:val="BodyText"/>
        <w:ind w:left="160"/>
        <w:rPr>
          <w:sz w:val="20"/>
        </w:rPr>
      </w:pPr>
      <w:r>
        <w:rPr>
          <w:sz w:val="20"/>
        </w:rPr>
        <w:drawing>
          <wp:inline distT="0" distB="0" distL="0" distR="0">
            <wp:extent cx="5902467" cy="1276350"/>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5902467" cy="1276350"/>
                    </a:xfrm>
                    <a:prstGeom prst="rect">
                      <a:avLst/>
                    </a:prstGeom>
                  </pic:spPr>
                </pic:pic>
              </a:graphicData>
            </a:graphic>
          </wp:inline>
        </w:drawing>
      </w:r>
      <w:r>
        <w:rPr>
          <w:sz w:val="20"/>
        </w:rPr>
      </w:r>
    </w:p>
    <w:p>
      <w:pPr>
        <w:pStyle w:val="BodyText"/>
        <w:rPr>
          <w:b/>
          <w:sz w:val="24"/>
        </w:rPr>
      </w:pPr>
    </w:p>
    <w:p>
      <w:pPr>
        <w:pStyle w:val="BodyText"/>
        <w:rPr>
          <w:b/>
          <w:sz w:val="24"/>
        </w:rPr>
      </w:pPr>
    </w:p>
    <w:p>
      <w:pPr>
        <w:pStyle w:val="BodyText"/>
        <w:spacing w:before="7"/>
        <w:rPr>
          <w:b/>
          <w:sz w:val="21"/>
        </w:rPr>
      </w:pPr>
    </w:p>
    <w:p>
      <w:pPr>
        <w:spacing w:before="1"/>
        <w:ind w:left="100" w:right="0" w:firstLine="0"/>
        <w:jc w:val="left"/>
        <w:rPr>
          <w:b/>
          <w:sz w:val="22"/>
        </w:rPr>
      </w:pPr>
      <w:r>
        <w:rPr/>
        <w:drawing>
          <wp:anchor distT="0" distB="0" distL="0" distR="0" allowOverlap="1" layoutInCell="1" locked="0" behindDoc="0" simplePos="0" relativeHeight="6">
            <wp:simplePos x="0" y="0"/>
            <wp:positionH relativeFrom="page">
              <wp:posOffset>958850</wp:posOffset>
            </wp:positionH>
            <wp:positionV relativeFrom="paragraph">
              <wp:posOffset>236251</wp:posOffset>
            </wp:positionV>
            <wp:extent cx="5849435" cy="1091279"/>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5849435" cy="1091279"/>
                    </a:xfrm>
                    <a:prstGeom prst="rect">
                      <a:avLst/>
                    </a:prstGeom>
                  </pic:spPr>
                </pic:pic>
              </a:graphicData>
            </a:graphic>
          </wp:anchor>
        </w:drawing>
      </w:r>
      <w:r>
        <w:rPr>
          <w:b/>
          <w:spacing w:val="-4"/>
          <w:sz w:val="22"/>
        </w:rPr>
        <w:t>Table</w:t>
      </w:r>
      <w:r>
        <w:rPr>
          <w:b/>
          <w:spacing w:val="-1"/>
          <w:sz w:val="22"/>
        </w:rPr>
        <w:t> </w:t>
      </w:r>
      <w:r>
        <w:rPr>
          <w:b/>
          <w:sz w:val="22"/>
        </w:rPr>
        <w:t>8</w:t>
      </w:r>
    </w:p>
    <w:p>
      <w:pPr>
        <w:pStyle w:val="BodyText"/>
        <w:rPr>
          <w:b/>
          <w:sz w:val="24"/>
        </w:rPr>
      </w:pPr>
    </w:p>
    <w:p>
      <w:pPr>
        <w:spacing w:before="207"/>
        <w:ind w:left="100" w:right="0" w:firstLine="0"/>
        <w:jc w:val="left"/>
        <w:rPr>
          <w:b/>
          <w:sz w:val="22"/>
        </w:rPr>
      </w:pPr>
      <w:r>
        <w:rPr/>
        <w:drawing>
          <wp:anchor distT="0" distB="0" distL="0" distR="0" allowOverlap="1" layoutInCell="1" locked="0" behindDoc="0" simplePos="0" relativeHeight="7">
            <wp:simplePos x="0" y="0"/>
            <wp:positionH relativeFrom="page">
              <wp:posOffset>984250</wp:posOffset>
            </wp:positionH>
            <wp:positionV relativeFrom="paragraph">
              <wp:posOffset>379690</wp:posOffset>
            </wp:positionV>
            <wp:extent cx="5783580" cy="2420302"/>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5783580" cy="2420302"/>
                    </a:xfrm>
                    <a:prstGeom prst="rect">
                      <a:avLst/>
                    </a:prstGeom>
                  </pic:spPr>
                </pic:pic>
              </a:graphicData>
            </a:graphic>
          </wp:anchor>
        </w:drawing>
      </w:r>
      <w:r>
        <w:rPr>
          <w:b/>
          <w:spacing w:val="-4"/>
          <w:sz w:val="22"/>
        </w:rPr>
        <w:t>Table</w:t>
      </w:r>
      <w:r>
        <w:rPr>
          <w:b/>
          <w:spacing w:val="-1"/>
          <w:sz w:val="22"/>
        </w:rPr>
        <w:t> </w:t>
      </w:r>
      <w:r>
        <w:rPr>
          <w:b/>
          <w:sz w:val="22"/>
        </w:rPr>
        <w:t>9</w:t>
      </w:r>
    </w:p>
    <w:p>
      <w:pPr>
        <w:spacing w:after="0"/>
        <w:jc w:val="left"/>
        <w:rPr>
          <w:sz w:val="22"/>
        </w:rPr>
        <w:sectPr>
          <w:pgSz w:w="12240" w:h="15840"/>
          <w:pgMar w:header="0" w:footer="724" w:top="1360" w:bottom="1000" w:left="1340" w:right="1300"/>
        </w:sectPr>
      </w:pPr>
    </w:p>
    <w:p>
      <w:pPr>
        <w:spacing w:before="80"/>
        <w:ind w:left="100" w:right="0" w:firstLine="0"/>
        <w:jc w:val="left"/>
        <w:rPr>
          <w:b/>
          <w:sz w:val="22"/>
        </w:rPr>
      </w:pPr>
      <w:r>
        <w:rPr/>
        <w:drawing>
          <wp:anchor distT="0" distB="0" distL="0" distR="0" allowOverlap="1" layoutInCell="1" locked="0" behindDoc="0" simplePos="0" relativeHeight="8">
            <wp:simplePos x="0" y="0"/>
            <wp:positionH relativeFrom="page">
              <wp:posOffset>984250</wp:posOffset>
            </wp:positionH>
            <wp:positionV relativeFrom="paragraph">
              <wp:posOffset>279892</wp:posOffset>
            </wp:positionV>
            <wp:extent cx="5829545" cy="829818"/>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5829545" cy="829818"/>
                    </a:xfrm>
                    <a:prstGeom prst="rect">
                      <a:avLst/>
                    </a:prstGeom>
                  </pic:spPr>
                </pic:pic>
              </a:graphicData>
            </a:graphic>
          </wp:anchor>
        </w:drawing>
      </w:r>
      <w:r>
        <w:rPr>
          <w:b/>
          <w:spacing w:val="-4"/>
          <w:sz w:val="22"/>
        </w:rPr>
        <w:t>Table</w:t>
      </w:r>
      <w:r>
        <w:rPr>
          <w:b/>
          <w:spacing w:val="-2"/>
          <w:sz w:val="22"/>
        </w:rPr>
        <w:t> </w:t>
      </w:r>
      <w:r>
        <w:rPr>
          <w:b/>
          <w:sz w:val="22"/>
        </w:rPr>
        <w:t>10</w:t>
      </w:r>
    </w:p>
    <w:p>
      <w:pPr>
        <w:pStyle w:val="BodyText"/>
        <w:spacing w:before="3"/>
        <w:rPr>
          <w:b/>
          <w:sz w:val="34"/>
        </w:rPr>
      </w:pPr>
    </w:p>
    <w:p>
      <w:pPr>
        <w:spacing w:before="1"/>
        <w:ind w:left="100" w:right="0" w:firstLine="0"/>
        <w:jc w:val="left"/>
        <w:rPr>
          <w:b/>
          <w:sz w:val="22"/>
        </w:rPr>
      </w:pPr>
      <w:r>
        <w:rPr>
          <w:b/>
          <w:spacing w:val="-4"/>
          <w:sz w:val="22"/>
        </w:rPr>
        <w:t>Table</w:t>
      </w:r>
      <w:r>
        <w:rPr>
          <w:b/>
          <w:sz w:val="22"/>
        </w:rPr>
        <w:t> </w:t>
      </w:r>
      <w:r>
        <w:rPr>
          <w:b/>
          <w:spacing w:val="-7"/>
          <w:sz w:val="22"/>
        </w:rPr>
        <w:t>11</w:t>
      </w:r>
    </w:p>
    <w:p>
      <w:pPr>
        <w:pStyle w:val="BodyText"/>
        <w:rPr>
          <w:b/>
          <w:sz w:val="20"/>
        </w:rPr>
      </w:pPr>
    </w:p>
    <w:p>
      <w:pPr>
        <w:pStyle w:val="BodyText"/>
        <w:spacing w:before="10"/>
        <w:rPr>
          <w:b/>
          <w:sz w:val="13"/>
        </w:rPr>
      </w:pPr>
      <w:r>
        <w:rPr/>
        <w:drawing>
          <wp:anchor distT="0" distB="0" distL="0" distR="0" allowOverlap="1" layoutInCell="1" locked="0" behindDoc="0" simplePos="0" relativeHeight="9">
            <wp:simplePos x="0" y="0"/>
            <wp:positionH relativeFrom="page">
              <wp:posOffset>946150</wp:posOffset>
            </wp:positionH>
            <wp:positionV relativeFrom="paragraph">
              <wp:posOffset>126120</wp:posOffset>
            </wp:positionV>
            <wp:extent cx="5784650" cy="1200721"/>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5784650" cy="1200721"/>
                    </a:xfrm>
                    <a:prstGeom prst="rect">
                      <a:avLst/>
                    </a:prstGeom>
                  </pic:spPr>
                </pic:pic>
              </a:graphicData>
            </a:graphic>
          </wp:anchor>
        </w:drawing>
      </w:r>
    </w:p>
    <w:p>
      <w:pPr>
        <w:spacing w:after="0"/>
        <w:rPr>
          <w:sz w:val="13"/>
        </w:rPr>
        <w:sectPr>
          <w:pgSz w:w="12240" w:h="15840"/>
          <w:pgMar w:header="0" w:footer="724" w:top="1360" w:bottom="1000" w:left="1340" w:right="1300"/>
        </w:sectPr>
      </w:pPr>
    </w:p>
    <w:p>
      <w:pPr>
        <w:spacing w:before="80"/>
        <w:ind w:left="100" w:right="0" w:firstLine="0"/>
        <w:jc w:val="left"/>
        <w:rPr>
          <w:b/>
          <w:sz w:val="24"/>
        </w:rPr>
      </w:pPr>
      <w:r>
        <w:rPr>
          <w:rFonts w:ascii="Times New Roman"/>
          <w:spacing w:val="-60"/>
          <w:sz w:val="24"/>
          <w:u w:val="thick"/>
        </w:rPr>
        <w:t> </w:t>
      </w:r>
      <w:r>
        <w:rPr>
          <w:b/>
          <w:sz w:val="24"/>
          <w:u w:val="thick"/>
        </w:rPr>
        <w:t>Appendix 2, Review of the FG Office and FG Official from the 2020 Calendar </w:t>
      </w:r>
      <w:r>
        <w:rPr>
          <w:b/>
          <w:spacing w:val="-4"/>
          <w:sz w:val="24"/>
          <w:u w:val="thick"/>
        </w:rPr>
        <w:t>Year</w:t>
      </w:r>
    </w:p>
    <w:p>
      <w:pPr>
        <w:pStyle w:val="BodyText"/>
        <w:spacing w:before="10"/>
        <w:rPr>
          <w:b/>
          <w:sz w:val="28"/>
        </w:rPr>
      </w:pPr>
    </w:p>
    <w:p>
      <w:pPr>
        <w:pStyle w:val="BodyText"/>
        <w:ind w:left="100"/>
      </w:pPr>
      <w:r>
        <w:rPr/>
        <w:t>April 16, [2021]</w:t>
      </w:r>
    </w:p>
    <w:p>
      <w:pPr>
        <w:pStyle w:val="BodyText"/>
        <w:spacing w:before="38"/>
        <w:ind w:left="100"/>
      </w:pPr>
      <w:r>
        <w:rPr/>
        <w:t>To: Dr. Richard Fulton, Chair</w:t>
      </w:r>
    </w:p>
    <w:p>
      <w:pPr>
        <w:pStyle w:val="BodyText"/>
        <w:spacing w:before="38"/>
        <w:ind w:left="100"/>
      </w:pPr>
      <w:r>
        <w:rPr/>
        <w:t>University Committee on Faculty Affairs</w:t>
      </w:r>
    </w:p>
    <w:p>
      <w:pPr>
        <w:pStyle w:val="BodyText"/>
        <w:spacing w:before="7"/>
        <w:rPr>
          <w:sz w:val="28"/>
        </w:rPr>
      </w:pPr>
    </w:p>
    <w:p>
      <w:pPr>
        <w:pStyle w:val="BodyText"/>
        <w:spacing w:line="276" w:lineRule="auto"/>
        <w:ind w:left="100" w:right="5938"/>
      </w:pPr>
      <w:r>
        <w:rPr/>
        <w:t>From: Dr. Mark Waddell, Chair UCFA Personnel Subcommittee</w:t>
      </w:r>
    </w:p>
    <w:p>
      <w:pPr>
        <w:pStyle w:val="BodyText"/>
        <w:spacing w:before="3"/>
        <w:rPr>
          <w:sz w:val="25"/>
        </w:rPr>
      </w:pPr>
    </w:p>
    <w:p>
      <w:pPr>
        <w:pStyle w:val="BodyText"/>
        <w:ind w:left="100"/>
      </w:pPr>
      <w:r>
        <w:rPr/>
        <w:t>Subject: Faculty Grievance Official--Annual Review</w:t>
      </w:r>
    </w:p>
    <w:p>
      <w:pPr>
        <w:pStyle w:val="BodyText"/>
        <w:spacing w:before="7"/>
        <w:rPr>
          <w:sz w:val="28"/>
        </w:rPr>
      </w:pPr>
    </w:p>
    <w:p>
      <w:pPr>
        <w:pStyle w:val="BodyText"/>
        <w:spacing w:line="276" w:lineRule="auto"/>
        <w:ind w:left="100" w:right="117"/>
      </w:pPr>
      <w:r>
        <w:rPr/>
        <w:t>The Personnel Subcommittee of the University Committee on Faculty Affairs has completed its annual review of the Faculty Grievance Official, Dr. Francisco Villarruel, and the Faculty Grievance Office for the calendar year 2020.</w:t>
      </w:r>
    </w:p>
    <w:p>
      <w:pPr>
        <w:pStyle w:val="BodyText"/>
        <w:spacing w:before="3"/>
        <w:rPr>
          <w:sz w:val="25"/>
        </w:rPr>
      </w:pPr>
    </w:p>
    <w:p>
      <w:pPr>
        <w:pStyle w:val="BodyText"/>
        <w:spacing w:line="276" w:lineRule="auto" w:before="1"/>
        <w:ind w:left="100" w:right="187"/>
      </w:pPr>
      <w:r>
        <w:rPr/>
        <w:t>The survey used this year was amended and improved in consultation with Dr. Villarruel and with the rest of the Personnel subcommittee, to provide more useful and actionable feedback to the FGO. In preparing its report the subcommittee worked with Karen Clark, Senior Project Manager in the Office of Survey Research, to survey those using the services of the Faculty Grievance Office during the year. Surveys were sent to 90 individuals whose names were provided by the Faculty Grievance Office. Thirty-four (34) of those individuals completed the survey, for a 38% response rate. The number of individuals interacting with the FGO was lower in 2020 than in 2019, but the response rate to the survey was higher than in 2019 (when it was 31.2%).</w:t>
      </w:r>
    </w:p>
    <w:p>
      <w:pPr>
        <w:pStyle w:val="BodyText"/>
        <w:spacing w:before="3"/>
        <w:rPr>
          <w:sz w:val="25"/>
        </w:rPr>
      </w:pPr>
    </w:p>
    <w:p>
      <w:pPr>
        <w:pStyle w:val="Heading2"/>
      </w:pPr>
      <w:r>
        <w:rPr/>
        <w:t>Use of the Office in 2020</w:t>
      </w:r>
    </w:p>
    <w:p>
      <w:pPr>
        <w:pStyle w:val="BodyText"/>
        <w:spacing w:before="7"/>
        <w:rPr>
          <w:b/>
          <w:sz w:val="28"/>
        </w:rPr>
      </w:pPr>
    </w:p>
    <w:p>
      <w:pPr>
        <w:pStyle w:val="BodyText"/>
        <w:spacing w:line="276" w:lineRule="auto"/>
        <w:ind w:left="100" w:right="187"/>
      </w:pPr>
      <w:r>
        <w:rPr/>
        <w:t>To give an idea of who used the Faculty Grievance Office during 2020, information about those who responded to the survey is shown in Tables 1 and 2. The largest group of users were faculty in the tenure system (70.6%). Of those who completed the survey, 14.7% identified themselves as members of an underrepresented group at MSU (down from 47.4% last year).</w:t>
      </w:r>
    </w:p>
    <w:p>
      <w:pPr>
        <w:pStyle w:val="BodyText"/>
        <w:spacing w:before="3"/>
        <w:rPr>
          <w:sz w:val="25"/>
        </w:rPr>
      </w:pPr>
    </w:p>
    <w:p>
      <w:pPr>
        <w:pStyle w:val="BodyText"/>
        <w:spacing w:line="276" w:lineRule="auto"/>
        <w:ind w:left="100" w:right="187"/>
      </w:pPr>
      <w:r>
        <w:rPr/>
        <w:t>Most interactions with the office in 2020 were general inquiries and informal discussions, as seen in Table 3. Respondents were asked to choose all answers that applied. The methods of contact, number of contacts, and hours of contacts are shown in Tables 4 and 5.</w:t>
      </w:r>
    </w:p>
    <w:p>
      <w:pPr>
        <w:pStyle w:val="BodyText"/>
        <w:spacing w:before="4"/>
        <w:rPr>
          <w:sz w:val="25"/>
        </w:rPr>
      </w:pPr>
    </w:p>
    <w:p>
      <w:pPr>
        <w:pStyle w:val="Heading2"/>
      </w:pPr>
      <w:r>
        <w:rPr/>
        <w:t>Impressions of the Office Staff and Website</w:t>
      </w:r>
    </w:p>
    <w:p>
      <w:pPr>
        <w:pStyle w:val="BodyText"/>
        <w:spacing w:before="7"/>
        <w:rPr>
          <w:b/>
          <w:sz w:val="28"/>
        </w:rPr>
      </w:pPr>
    </w:p>
    <w:p>
      <w:pPr>
        <w:pStyle w:val="BodyText"/>
        <w:spacing w:line="276" w:lineRule="auto"/>
        <w:ind w:left="100" w:right="296"/>
      </w:pPr>
      <w:r>
        <w:rPr/>
        <w:t>The staff in the Faculty Grievance Office remained the same over the year. Table 7 shows that respondents indicated overwhelmingly favorable impressions of the staff as accessible and approachable, able to communicate clearly, conduct work in a timely manner, maintain confidentiality, and were knowledgeable of university policies and to be able to answer questions.</w:t>
      </w:r>
    </w:p>
    <w:p>
      <w:pPr>
        <w:spacing w:after="0" w:line="276" w:lineRule="auto"/>
        <w:sectPr>
          <w:pgSz w:w="12240" w:h="15840"/>
          <w:pgMar w:header="0" w:footer="724" w:top="1360" w:bottom="1000" w:left="1340" w:right="1300"/>
        </w:sectPr>
      </w:pPr>
    </w:p>
    <w:p>
      <w:pPr>
        <w:pStyle w:val="BodyText"/>
        <w:spacing w:line="276" w:lineRule="auto" w:before="80"/>
        <w:ind w:left="100"/>
      </w:pPr>
      <w:r>
        <w:rPr/>
        <w:t>When asked about ease of use of the website, most respondents found it easy (58.3%) or somewhat easy (25%) to use, although 16.6% found it difficult or very difficult to use (Table 10).</w:t>
      </w:r>
    </w:p>
    <w:p>
      <w:pPr>
        <w:pStyle w:val="BodyText"/>
        <w:spacing w:before="3"/>
        <w:rPr>
          <w:sz w:val="25"/>
        </w:rPr>
      </w:pPr>
    </w:p>
    <w:p>
      <w:pPr>
        <w:pStyle w:val="Heading2"/>
      </w:pPr>
      <w:r>
        <w:rPr/>
        <w:t>Impressions about Interactions with Professor Francisco Villarruel</w:t>
      </w:r>
    </w:p>
    <w:p>
      <w:pPr>
        <w:pStyle w:val="BodyText"/>
        <w:spacing w:before="7"/>
        <w:rPr>
          <w:b/>
          <w:sz w:val="28"/>
        </w:rPr>
      </w:pPr>
    </w:p>
    <w:p>
      <w:pPr>
        <w:pStyle w:val="BodyText"/>
        <w:spacing w:line="276" w:lineRule="auto"/>
        <w:ind w:left="100"/>
      </w:pPr>
      <w:r>
        <w:rPr/>
        <w:t>Out of the 34 respondents that completed the survey, all of them had interactions with Professor Villarruel. The ratings of those interactions are shown in Table 6. Since the number of responses to the survey represents merely 38% of those faculty who interacted with the office, it is very difficult to draw rigorous conclusions from this data set.</w:t>
      </w:r>
    </w:p>
    <w:p>
      <w:pPr>
        <w:pStyle w:val="BodyText"/>
        <w:spacing w:before="3"/>
        <w:rPr>
          <w:sz w:val="25"/>
        </w:rPr>
      </w:pPr>
    </w:p>
    <w:p>
      <w:pPr>
        <w:pStyle w:val="BodyText"/>
        <w:spacing w:line="276" w:lineRule="auto"/>
        <w:ind w:left="100"/>
      </w:pPr>
      <w:r>
        <w:rPr/>
        <w:t>Dr. Villarruel received his highest ratings for being approachable, responding to inquiries in a timely manner, his knowledge of university policies and regulations, and his willingness to schedule meetings at times that were convenient for respondents.</w:t>
      </w:r>
    </w:p>
    <w:p>
      <w:pPr>
        <w:pStyle w:val="BodyText"/>
        <w:spacing w:before="4"/>
        <w:rPr>
          <w:sz w:val="25"/>
        </w:rPr>
      </w:pPr>
    </w:p>
    <w:p>
      <w:pPr>
        <w:pStyle w:val="BodyText"/>
        <w:spacing w:line="276" w:lineRule="auto"/>
        <w:ind w:left="100" w:right="190"/>
      </w:pPr>
      <w:r>
        <w:rPr/>
        <w:t>The</w:t>
      </w:r>
      <w:r>
        <w:rPr>
          <w:spacing w:val="-7"/>
        </w:rPr>
        <w:t> </w:t>
      </w:r>
      <w:r>
        <w:rPr/>
        <w:t>lowest</w:t>
      </w:r>
      <w:r>
        <w:rPr>
          <w:spacing w:val="-7"/>
        </w:rPr>
        <w:t> </w:t>
      </w:r>
      <w:r>
        <w:rPr/>
        <w:t>ratings</w:t>
      </w:r>
      <w:r>
        <w:rPr>
          <w:spacing w:val="-7"/>
        </w:rPr>
        <w:t> </w:t>
      </w:r>
      <w:r>
        <w:rPr/>
        <w:t>overall</w:t>
      </w:r>
      <w:r>
        <w:rPr>
          <w:spacing w:val="-7"/>
        </w:rPr>
        <w:t> </w:t>
      </w:r>
      <w:r>
        <w:rPr/>
        <w:t>reflect</w:t>
      </w:r>
      <w:r>
        <w:rPr>
          <w:spacing w:val="-7"/>
        </w:rPr>
        <w:t> </w:t>
      </w:r>
      <w:r>
        <w:rPr/>
        <w:t>respondents’</w:t>
      </w:r>
      <w:r>
        <w:rPr>
          <w:spacing w:val="-7"/>
        </w:rPr>
        <w:t> </w:t>
      </w:r>
      <w:r>
        <w:rPr/>
        <w:t>beliefs</w:t>
      </w:r>
      <w:r>
        <w:rPr>
          <w:spacing w:val="-7"/>
        </w:rPr>
        <w:t> </w:t>
      </w:r>
      <w:r>
        <w:rPr/>
        <w:t>that</w:t>
      </w:r>
      <w:r>
        <w:rPr>
          <w:spacing w:val="-7"/>
        </w:rPr>
        <w:t> </w:t>
      </w:r>
      <w:r>
        <w:rPr/>
        <w:t>Professor</w:t>
      </w:r>
      <w:r>
        <w:rPr>
          <w:spacing w:val="-7"/>
        </w:rPr>
        <w:t> </w:t>
      </w:r>
      <w:r>
        <w:rPr/>
        <w:t>Villarruel</w:t>
      </w:r>
      <w:r>
        <w:rPr>
          <w:spacing w:val="-7"/>
        </w:rPr>
        <w:t> </w:t>
      </w:r>
      <w:r>
        <w:rPr/>
        <w:t>did</w:t>
      </w:r>
      <w:r>
        <w:rPr>
          <w:spacing w:val="-6"/>
        </w:rPr>
        <w:t> </w:t>
      </w:r>
      <w:r>
        <w:rPr/>
        <w:t>not</w:t>
      </w:r>
      <w:r>
        <w:rPr>
          <w:spacing w:val="-7"/>
        </w:rPr>
        <w:t> </w:t>
      </w:r>
      <w:r>
        <w:rPr/>
        <w:t>administer grievances in a fair and impartial </w:t>
      </w:r>
      <w:r>
        <w:rPr>
          <w:spacing w:val="-3"/>
        </w:rPr>
        <w:t>manner, </w:t>
      </w:r>
      <w:r>
        <w:rPr/>
        <w:t>did not acknowledge when he did not know the answer to particular questions or concerns, and did not administer grievances in accordance with the Faculty Grievance </w:t>
      </w:r>
      <w:r>
        <w:rPr>
          <w:spacing w:val="-4"/>
        </w:rPr>
        <w:t>Policy. </w:t>
      </w:r>
      <w:r>
        <w:rPr/>
        <w:t>Note that even though these were among the lowest scores, around 85% of respondents either strongly or somewhat agreed that Professor Villarruel performed these tasks well, meaning that these ratings reflect only a small minority of an already small sample</w:t>
      </w:r>
      <w:r>
        <w:rPr>
          <w:spacing w:val="-4"/>
        </w:rPr>
        <w:t> </w:t>
      </w:r>
      <w:r>
        <w:rPr/>
        <w:t>size.</w:t>
      </w:r>
    </w:p>
    <w:p>
      <w:pPr>
        <w:pStyle w:val="BodyText"/>
        <w:spacing w:before="3"/>
        <w:rPr>
          <w:sz w:val="25"/>
        </w:rPr>
      </w:pPr>
    </w:p>
    <w:p>
      <w:pPr>
        <w:pStyle w:val="BodyText"/>
        <w:spacing w:line="276" w:lineRule="auto"/>
        <w:ind w:left="100" w:right="117"/>
      </w:pPr>
      <w:r>
        <w:rPr/>
        <w:t>Table 11 provides a means comparison of these ratings between individuals who self-identified as members of an underrepresented group and those who did not. Because the N for underrepresented individuals is extremely small (4-5 individuals) the results here are tenuous at best. However, there is a stark difference in the responses between these two cohorts from this year, with individuals from underrepresented groups reporting significantly lower levels of agreement and/or satisfaction with the items surveyed, especially in responding to the question of “acted as an effective mediator between parties.”</w:t>
      </w:r>
    </w:p>
    <w:p>
      <w:pPr>
        <w:pStyle w:val="BodyText"/>
        <w:spacing w:before="4"/>
        <w:rPr>
          <w:sz w:val="25"/>
        </w:rPr>
      </w:pPr>
    </w:p>
    <w:p>
      <w:pPr>
        <w:pStyle w:val="BodyText"/>
        <w:spacing w:line="276" w:lineRule="auto"/>
        <w:ind w:left="100" w:right="186"/>
      </w:pPr>
      <w:r>
        <w:rPr/>
        <w:t>Table 8 includes a question about overall satisfaction “with the outcome of your hearing, mediation, inquiry, or discussion.” This question has been posed in past surveys and, when he worked with the subcommittee to revise the 2020 survey, Dr. Villarruel identified this question in particular as not helpful. He proposed a rewording that asked about satisfaction with the FGO’s adherence to the Faculty Grievance Policy, and we submitted this rewording to Karen Clark for inclusion in this survey. Unfortunately, this revision did not make its way into the survey, and we are unable to draw conclusions that are helpful. Hopefully, future iterations of the survey will include the revised language.</w:t>
      </w:r>
    </w:p>
    <w:p>
      <w:pPr>
        <w:pStyle w:val="BodyText"/>
        <w:spacing w:before="3"/>
        <w:rPr>
          <w:sz w:val="25"/>
        </w:rPr>
      </w:pPr>
    </w:p>
    <w:p>
      <w:pPr>
        <w:pStyle w:val="Heading2"/>
      </w:pPr>
      <w:r>
        <w:rPr/>
        <w:t>Open-Ended Comments</w:t>
      </w:r>
    </w:p>
    <w:p>
      <w:pPr>
        <w:pStyle w:val="BodyText"/>
        <w:spacing w:before="7"/>
        <w:rPr>
          <w:b/>
          <w:sz w:val="28"/>
        </w:rPr>
      </w:pPr>
    </w:p>
    <w:p>
      <w:pPr>
        <w:pStyle w:val="BodyText"/>
        <w:spacing w:line="276" w:lineRule="auto"/>
        <w:ind w:left="100"/>
      </w:pPr>
      <w:r>
        <w:rPr/>
        <w:t>The survey allowed for open-ended comments and suggestions for improvement. There were comments commending Dr. Villarruel on being courteous, dedicated, and available. Several respondents indicated that they were unaware of the 30-day time limit on filing a grievance,</w:t>
      </w:r>
    </w:p>
    <w:p>
      <w:pPr>
        <w:spacing w:after="0" w:line="276" w:lineRule="auto"/>
        <w:sectPr>
          <w:pgSz w:w="12240" w:h="15840"/>
          <w:pgMar w:header="0" w:footer="724" w:top="1360" w:bottom="1000" w:left="1340" w:right="1300"/>
        </w:sectPr>
      </w:pPr>
    </w:p>
    <w:p>
      <w:pPr>
        <w:pStyle w:val="BodyText"/>
        <w:spacing w:line="276" w:lineRule="auto" w:before="80"/>
        <w:ind w:left="100" w:right="117"/>
      </w:pPr>
      <w:r>
        <w:rPr/>
        <w:t>and/or felt that this was an unreasonably short length of time. There are also comments expressing a belief in the partiality of the FGO toward administration (a common theme in previous iterations of this survey going back several years).</w:t>
      </w:r>
    </w:p>
    <w:p>
      <w:pPr>
        <w:pStyle w:val="BodyText"/>
        <w:spacing w:before="3"/>
        <w:rPr>
          <w:sz w:val="25"/>
        </w:rPr>
      </w:pPr>
    </w:p>
    <w:p>
      <w:pPr>
        <w:pStyle w:val="Heading2"/>
      </w:pPr>
      <w:r>
        <w:rPr/>
        <w:t>Conclusions and Recommendations</w:t>
      </w:r>
    </w:p>
    <w:p>
      <w:pPr>
        <w:pStyle w:val="BodyText"/>
        <w:spacing w:before="7"/>
        <w:rPr>
          <w:b/>
          <w:sz w:val="28"/>
        </w:rPr>
      </w:pPr>
    </w:p>
    <w:p>
      <w:pPr>
        <w:pStyle w:val="BodyText"/>
        <w:spacing w:line="276" w:lineRule="auto"/>
        <w:ind w:left="100" w:right="117"/>
      </w:pPr>
      <w:r>
        <w:rPr/>
        <w:t>Overall, the ratings across the survey were positive with no areas seen as especially problematic.</w:t>
      </w:r>
    </w:p>
    <w:p>
      <w:pPr>
        <w:pStyle w:val="BodyText"/>
        <w:spacing w:before="3"/>
        <w:rPr>
          <w:sz w:val="25"/>
        </w:rPr>
      </w:pPr>
    </w:p>
    <w:p>
      <w:pPr>
        <w:pStyle w:val="Heading2"/>
      </w:pPr>
      <w:r>
        <w:rPr/>
        <w:t>Moving forward, the committee suggests that:</w:t>
      </w:r>
    </w:p>
    <w:p>
      <w:pPr>
        <w:pStyle w:val="BodyText"/>
        <w:spacing w:before="7"/>
        <w:rPr>
          <w:b/>
          <w:sz w:val="28"/>
        </w:rPr>
      </w:pPr>
    </w:p>
    <w:p>
      <w:pPr>
        <w:pStyle w:val="ListParagraph"/>
        <w:numPr>
          <w:ilvl w:val="0"/>
          <w:numId w:val="7"/>
        </w:numPr>
        <w:tabs>
          <w:tab w:pos="820" w:val="left" w:leader="none"/>
        </w:tabs>
        <w:spacing w:line="276" w:lineRule="auto" w:before="0" w:after="0"/>
        <w:ind w:left="820" w:right="219" w:hanging="360"/>
        <w:jc w:val="left"/>
        <w:rPr>
          <w:sz w:val="22"/>
        </w:rPr>
      </w:pPr>
      <w:r>
        <w:rPr>
          <w:sz w:val="22"/>
        </w:rPr>
        <w:t>Professor Villarruel review the table of rankings with a goal towards identifying skills to work</w:t>
      </w:r>
      <w:r>
        <w:rPr>
          <w:spacing w:val="-7"/>
          <w:sz w:val="22"/>
        </w:rPr>
        <w:t> </w:t>
      </w:r>
      <w:r>
        <w:rPr>
          <w:sz w:val="22"/>
        </w:rPr>
        <w:t>on,</w:t>
      </w:r>
      <w:r>
        <w:rPr>
          <w:spacing w:val="-6"/>
          <w:sz w:val="22"/>
        </w:rPr>
        <w:t> </w:t>
      </w:r>
      <w:r>
        <w:rPr>
          <w:sz w:val="22"/>
        </w:rPr>
        <w:t>and</w:t>
      </w:r>
      <w:r>
        <w:rPr>
          <w:spacing w:val="-6"/>
          <w:sz w:val="22"/>
        </w:rPr>
        <w:t> </w:t>
      </w:r>
      <w:r>
        <w:rPr>
          <w:sz w:val="22"/>
        </w:rPr>
        <w:t>consider</w:t>
      </w:r>
      <w:r>
        <w:rPr>
          <w:spacing w:val="-6"/>
          <w:sz w:val="22"/>
        </w:rPr>
        <w:t> </w:t>
      </w:r>
      <w:r>
        <w:rPr>
          <w:sz w:val="22"/>
        </w:rPr>
        <w:t>how</w:t>
      </w:r>
      <w:r>
        <w:rPr>
          <w:spacing w:val="-6"/>
          <w:sz w:val="22"/>
        </w:rPr>
        <w:t> </w:t>
      </w:r>
      <w:r>
        <w:rPr>
          <w:sz w:val="22"/>
        </w:rPr>
        <w:t>the</w:t>
      </w:r>
      <w:r>
        <w:rPr>
          <w:spacing w:val="-7"/>
          <w:sz w:val="22"/>
        </w:rPr>
        <w:t> </w:t>
      </w:r>
      <w:r>
        <w:rPr>
          <w:sz w:val="22"/>
        </w:rPr>
        <w:t>office</w:t>
      </w:r>
      <w:r>
        <w:rPr>
          <w:spacing w:val="-6"/>
          <w:sz w:val="22"/>
        </w:rPr>
        <w:t> </w:t>
      </w:r>
      <w:r>
        <w:rPr>
          <w:sz w:val="22"/>
        </w:rPr>
        <w:t>might</w:t>
      </w:r>
      <w:r>
        <w:rPr>
          <w:spacing w:val="-6"/>
          <w:sz w:val="22"/>
        </w:rPr>
        <w:t> </w:t>
      </w:r>
      <w:r>
        <w:rPr>
          <w:sz w:val="22"/>
        </w:rPr>
        <w:t>address</w:t>
      </w:r>
      <w:r>
        <w:rPr>
          <w:spacing w:val="-6"/>
          <w:sz w:val="22"/>
        </w:rPr>
        <w:t> </w:t>
      </w:r>
      <w:r>
        <w:rPr>
          <w:sz w:val="22"/>
        </w:rPr>
        <w:t>the</w:t>
      </w:r>
      <w:r>
        <w:rPr>
          <w:spacing w:val="-6"/>
          <w:sz w:val="22"/>
        </w:rPr>
        <w:t> </w:t>
      </w:r>
      <w:r>
        <w:rPr>
          <w:sz w:val="22"/>
        </w:rPr>
        <w:t>differences</w:t>
      </w:r>
      <w:r>
        <w:rPr>
          <w:spacing w:val="-6"/>
          <w:sz w:val="22"/>
        </w:rPr>
        <w:t> </w:t>
      </w:r>
      <w:r>
        <w:rPr>
          <w:sz w:val="22"/>
        </w:rPr>
        <w:t>between</w:t>
      </w:r>
      <w:r>
        <w:rPr>
          <w:spacing w:val="-7"/>
          <w:sz w:val="22"/>
        </w:rPr>
        <w:t> </w:t>
      </w:r>
      <w:r>
        <w:rPr>
          <w:sz w:val="22"/>
        </w:rPr>
        <w:t>respondent groups evident in </w:t>
      </w:r>
      <w:r>
        <w:rPr>
          <w:spacing w:val="-6"/>
          <w:sz w:val="22"/>
        </w:rPr>
        <w:t>Table </w:t>
      </w:r>
      <w:r>
        <w:rPr>
          <w:spacing w:val="-9"/>
          <w:sz w:val="22"/>
        </w:rPr>
        <w:t>11 </w:t>
      </w:r>
      <w:r>
        <w:rPr>
          <w:sz w:val="22"/>
        </w:rPr>
        <w:t>if Professor Villarruel believes this would be</w:t>
      </w:r>
      <w:r>
        <w:rPr>
          <w:spacing w:val="-28"/>
          <w:sz w:val="22"/>
        </w:rPr>
        <w:t> </w:t>
      </w:r>
      <w:r>
        <w:rPr>
          <w:sz w:val="22"/>
        </w:rPr>
        <w:t>worthwhile.</w:t>
      </w:r>
    </w:p>
    <w:p>
      <w:pPr>
        <w:pStyle w:val="ListParagraph"/>
        <w:numPr>
          <w:ilvl w:val="0"/>
          <w:numId w:val="7"/>
        </w:numPr>
        <w:tabs>
          <w:tab w:pos="820" w:val="left" w:leader="none"/>
        </w:tabs>
        <w:spacing w:line="276" w:lineRule="auto" w:before="0" w:after="0"/>
        <w:ind w:left="820" w:right="215" w:hanging="360"/>
        <w:jc w:val="left"/>
        <w:rPr>
          <w:sz w:val="22"/>
        </w:rPr>
      </w:pPr>
      <w:r>
        <w:rPr>
          <w:sz w:val="22"/>
        </w:rPr>
        <w:t>Professor</w:t>
      </w:r>
      <w:r>
        <w:rPr>
          <w:spacing w:val="-6"/>
          <w:sz w:val="22"/>
        </w:rPr>
        <w:t> </w:t>
      </w:r>
      <w:r>
        <w:rPr>
          <w:sz w:val="22"/>
        </w:rPr>
        <w:t>Villarruel</w:t>
      </w:r>
      <w:r>
        <w:rPr>
          <w:spacing w:val="-5"/>
          <w:sz w:val="22"/>
        </w:rPr>
        <w:t> </w:t>
      </w:r>
      <w:r>
        <w:rPr>
          <w:sz w:val="22"/>
        </w:rPr>
        <w:t>consider</w:t>
      </w:r>
      <w:r>
        <w:rPr>
          <w:spacing w:val="-5"/>
          <w:sz w:val="22"/>
        </w:rPr>
        <w:t> </w:t>
      </w:r>
      <w:r>
        <w:rPr>
          <w:sz w:val="22"/>
        </w:rPr>
        <w:t>creating</w:t>
      </w:r>
      <w:r>
        <w:rPr>
          <w:spacing w:val="-6"/>
          <w:sz w:val="22"/>
        </w:rPr>
        <w:t> </w:t>
      </w:r>
      <w:r>
        <w:rPr>
          <w:sz w:val="22"/>
        </w:rPr>
        <w:t>a</w:t>
      </w:r>
      <w:r>
        <w:rPr>
          <w:spacing w:val="-5"/>
          <w:sz w:val="22"/>
        </w:rPr>
        <w:t> </w:t>
      </w:r>
      <w:r>
        <w:rPr>
          <w:sz w:val="22"/>
        </w:rPr>
        <w:t>survey</w:t>
      </w:r>
      <w:r>
        <w:rPr>
          <w:spacing w:val="-5"/>
          <w:sz w:val="22"/>
        </w:rPr>
        <w:t> </w:t>
      </w:r>
      <w:r>
        <w:rPr>
          <w:sz w:val="22"/>
        </w:rPr>
        <w:t>that</w:t>
      </w:r>
      <w:r>
        <w:rPr>
          <w:spacing w:val="-5"/>
          <w:sz w:val="22"/>
        </w:rPr>
        <w:t> </w:t>
      </w:r>
      <w:r>
        <w:rPr>
          <w:sz w:val="22"/>
        </w:rPr>
        <w:t>can</w:t>
      </w:r>
      <w:r>
        <w:rPr>
          <w:spacing w:val="-6"/>
          <w:sz w:val="22"/>
        </w:rPr>
        <w:t> </w:t>
      </w:r>
      <w:r>
        <w:rPr>
          <w:sz w:val="22"/>
        </w:rPr>
        <w:t>be</w:t>
      </w:r>
      <w:r>
        <w:rPr>
          <w:spacing w:val="-5"/>
          <w:sz w:val="22"/>
        </w:rPr>
        <w:t> </w:t>
      </w:r>
      <w:r>
        <w:rPr>
          <w:sz w:val="22"/>
        </w:rPr>
        <w:t>sent</w:t>
      </w:r>
      <w:r>
        <w:rPr>
          <w:spacing w:val="-5"/>
          <w:sz w:val="22"/>
        </w:rPr>
        <w:t> </w:t>
      </w:r>
      <w:r>
        <w:rPr>
          <w:sz w:val="22"/>
        </w:rPr>
        <w:t>to</w:t>
      </w:r>
      <w:r>
        <w:rPr>
          <w:spacing w:val="-6"/>
          <w:sz w:val="22"/>
        </w:rPr>
        <w:t> </w:t>
      </w:r>
      <w:r>
        <w:rPr>
          <w:sz w:val="22"/>
        </w:rPr>
        <w:t>individuals</w:t>
      </w:r>
      <w:r>
        <w:rPr>
          <w:spacing w:val="-5"/>
          <w:sz w:val="22"/>
        </w:rPr>
        <w:t> </w:t>
      </w:r>
      <w:r>
        <w:rPr>
          <w:sz w:val="22"/>
        </w:rPr>
        <w:t>as</w:t>
      </w:r>
      <w:r>
        <w:rPr>
          <w:spacing w:val="-5"/>
          <w:sz w:val="22"/>
        </w:rPr>
        <w:t> </w:t>
      </w:r>
      <w:r>
        <w:rPr>
          <w:sz w:val="22"/>
        </w:rPr>
        <w:t>soon</w:t>
      </w:r>
      <w:r>
        <w:rPr>
          <w:spacing w:val="-5"/>
          <w:sz w:val="22"/>
        </w:rPr>
        <w:t> </w:t>
      </w:r>
      <w:r>
        <w:rPr>
          <w:sz w:val="22"/>
        </w:rPr>
        <w:t>as their interactions with the FGO are finished. With the present </w:t>
      </w:r>
      <w:r>
        <w:rPr>
          <w:spacing w:val="-4"/>
          <w:sz w:val="22"/>
        </w:rPr>
        <w:t>survey, </w:t>
      </w:r>
      <w:r>
        <w:rPr>
          <w:sz w:val="22"/>
        </w:rPr>
        <w:t>if an individual interacted with the FGO in January of 2020 they only received a survey in March of 2021. This significant lag might account for the</w:t>
      </w:r>
      <w:r>
        <w:rPr>
          <w:spacing w:val="-15"/>
          <w:sz w:val="22"/>
        </w:rPr>
        <w:t> </w:t>
      </w:r>
      <w:r>
        <w:rPr>
          <w:sz w:val="22"/>
        </w:rPr>
        <w:t>historically</w:t>
      </w:r>
    </w:p>
    <w:p>
      <w:pPr>
        <w:pStyle w:val="ListParagraph"/>
        <w:numPr>
          <w:ilvl w:val="0"/>
          <w:numId w:val="7"/>
        </w:numPr>
        <w:tabs>
          <w:tab w:pos="820" w:val="left" w:leader="none"/>
        </w:tabs>
        <w:spacing w:line="276" w:lineRule="auto" w:before="0" w:after="0"/>
        <w:ind w:left="820" w:right="211" w:hanging="360"/>
        <w:jc w:val="left"/>
        <w:rPr>
          <w:sz w:val="22"/>
        </w:rPr>
      </w:pPr>
      <w:r>
        <w:rPr>
          <w:sz w:val="22"/>
        </w:rPr>
        <w:t>Professor Villarruel work to improve the amount of information available on the FGO website – for example, ensuring that basic information such as timeline required to file a grievance,</w:t>
      </w:r>
      <w:r>
        <w:rPr>
          <w:spacing w:val="-6"/>
          <w:sz w:val="22"/>
        </w:rPr>
        <w:t> </w:t>
      </w:r>
      <w:r>
        <w:rPr>
          <w:sz w:val="22"/>
        </w:rPr>
        <w:t>role</w:t>
      </w:r>
      <w:r>
        <w:rPr>
          <w:spacing w:val="-5"/>
          <w:sz w:val="22"/>
        </w:rPr>
        <w:t> </w:t>
      </w:r>
      <w:r>
        <w:rPr>
          <w:sz w:val="22"/>
        </w:rPr>
        <w:t>of</w:t>
      </w:r>
      <w:r>
        <w:rPr>
          <w:spacing w:val="-5"/>
          <w:sz w:val="22"/>
        </w:rPr>
        <w:t> </w:t>
      </w:r>
      <w:r>
        <w:rPr>
          <w:sz w:val="22"/>
        </w:rPr>
        <w:t>the</w:t>
      </w:r>
      <w:r>
        <w:rPr>
          <w:spacing w:val="-6"/>
          <w:sz w:val="22"/>
        </w:rPr>
        <w:t> </w:t>
      </w:r>
      <w:r>
        <w:rPr>
          <w:sz w:val="22"/>
        </w:rPr>
        <w:t>FGO,</w:t>
      </w:r>
      <w:r>
        <w:rPr>
          <w:spacing w:val="-5"/>
          <w:sz w:val="22"/>
        </w:rPr>
        <w:t> </w:t>
      </w:r>
      <w:r>
        <w:rPr>
          <w:sz w:val="22"/>
        </w:rPr>
        <w:t>etc.,</w:t>
      </w:r>
      <w:r>
        <w:rPr>
          <w:spacing w:val="-5"/>
          <w:sz w:val="22"/>
        </w:rPr>
        <w:t> </w:t>
      </w:r>
      <w:r>
        <w:rPr>
          <w:sz w:val="22"/>
        </w:rPr>
        <w:t>is</w:t>
      </w:r>
      <w:r>
        <w:rPr>
          <w:spacing w:val="-6"/>
          <w:sz w:val="22"/>
        </w:rPr>
        <w:t> </w:t>
      </w:r>
      <w:r>
        <w:rPr>
          <w:sz w:val="22"/>
        </w:rPr>
        <w:t>presented</w:t>
      </w:r>
      <w:r>
        <w:rPr>
          <w:spacing w:val="-5"/>
          <w:sz w:val="22"/>
        </w:rPr>
        <w:t> </w:t>
      </w:r>
      <w:r>
        <w:rPr>
          <w:sz w:val="22"/>
        </w:rPr>
        <w:t>clearly</w:t>
      </w:r>
      <w:r>
        <w:rPr>
          <w:spacing w:val="-5"/>
          <w:sz w:val="22"/>
        </w:rPr>
        <w:t> </w:t>
      </w:r>
      <w:r>
        <w:rPr>
          <w:sz w:val="22"/>
        </w:rPr>
        <w:t>and</w:t>
      </w:r>
      <w:r>
        <w:rPr>
          <w:spacing w:val="-6"/>
          <w:sz w:val="22"/>
        </w:rPr>
        <w:t> </w:t>
      </w:r>
      <w:r>
        <w:rPr>
          <w:sz w:val="22"/>
        </w:rPr>
        <w:t>immediately</w:t>
      </w:r>
      <w:r>
        <w:rPr>
          <w:spacing w:val="-5"/>
          <w:sz w:val="22"/>
        </w:rPr>
        <w:t> </w:t>
      </w:r>
      <w:r>
        <w:rPr>
          <w:sz w:val="22"/>
        </w:rPr>
        <w:t>upon</w:t>
      </w:r>
      <w:r>
        <w:rPr>
          <w:spacing w:val="-5"/>
          <w:sz w:val="22"/>
        </w:rPr>
        <w:t> </w:t>
      </w:r>
      <w:r>
        <w:rPr>
          <w:sz w:val="22"/>
        </w:rPr>
        <w:t>reaching</w:t>
      </w:r>
      <w:r>
        <w:rPr>
          <w:spacing w:val="-5"/>
          <w:sz w:val="22"/>
        </w:rPr>
        <w:t> </w:t>
      </w:r>
      <w:r>
        <w:rPr>
          <w:sz w:val="22"/>
        </w:rPr>
        <w:t>the website. Asking or requiring individuals to consult the Faculty Grievance Policy to find answers to basic or common questions may discourage some people from using the office,</w:t>
      </w:r>
      <w:r>
        <w:rPr>
          <w:spacing w:val="-5"/>
          <w:sz w:val="22"/>
        </w:rPr>
        <w:t> </w:t>
      </w:r>
      <w:r>
        <w:rPr>
          <w:sz w:val="22"/>
        </w:rPr>
        <w:t>and/or</w:t>
      </w:r>
      <w:r>
        <w:rPr>
          <w:spacing w:val="-4"/>
          <w:sz w:val="22"/>
        </w:rPr>
        <w:t> </w:t>
      </w:r>
      <w:r>
        <w:rPr>
          <w:sz w:val="22"/>
        </w:rPr>
        <w:t>may</w:t>
      </w:r>
      <w:r>
        <w:rPr>
          <w:spacing w:val="-5"/>
          <w:sz w:val="22"/>
        </w:rPr>
        <w:t> </w:t>
      </w:r>
      <w:r>
        <w:rPr>
          <w:sz w:val="22"/>
        </w:rPr>
        <w:t>make</w:t>
      </w:r>
      <w:r>
        <w:rPr>
          <w:spacing w:val="-4"/>
          <w:sz w:val="22"/>
        </w:rPr>
        <w:t> </w:t>
      </w:r>
      <w:r>
        <w:rPr>
          <w:sz w:val="22"/>
        </w:rPr>
        <w:t>it</w:t>
      </w:r>
      <w:r>
        <w:rPr>
          <w:spacing w:val="-4"/>
          <w:sz w:val="22"/>
        </w:rPr>
        <w:t> </w:t>
      </w:r>
      <w:r>
        <w:rPr>
          <w:sz w:val="22"/>
        </w:rPr>
        <w:t>more</w:t>
      </w:r>
      <w:r>
        <w:rPr>
          <w:spacing w:val="-5"/>
          <w:sz w:val="22"/>
        </w:rPr>
        <w:t> </w:t>
      </w:r>
      <w:r>
        <w:rPr>
          <w:sz w:val="22"/>
        </w:rPr>
        <w:t>likely</w:t>
      </w:r>
      <w:r>
        <w:rPr>
          <w:spacing w:val="-4"/>
          <w:sz w:val="22"/>
        </w:rPr>
        <w:t> </w:t>
      </w:r>
      <w:r>
        <w:rPr>
          <w:sz w:val="22"/>
        </w:rPr>
        <w:t>for</w:t>
      </w:r>
      <w:r>
        <w:rPr>
          <w:spacing w:val="-4"/>
          <w:sz w:val="22"/>
        </w:rPr>
        <w:t> </w:t>
      </w:r>
      <w:r>
        <w:rPr>
          <w:sz w:val="22"/>
        </w:rPr>
        <w:t>faculty</w:t>
      </w:r>
      <w:r>
        <w:rPr>
          <w:spacing w:val="-5"/>
          <w:sz w:val="22"/>
        </w:rPr>
        <w:t> </w:t>
      </w:r>
      <w:r>
        <w:rPr>
          <w:sz w:val="22"/>
        </w:rPr>
        <w:t>to</w:t>
      </w:r>
      <w:r>
        <w:rPr>
          <w:spacing w:val="-4"/>
          <w:sz w:val="22"/>
        </w:rPr>
        <w:t> </w:t>
      </w:r>
      <w:r>
        <w:rPr>
          <w:sz w:val="22"/>
        </w:rPr>
        <w:t>make</w:t>
      </w:r>
      <w:r>
        <w:rPr>
          <w:spacing w:val="-4"/>
          <w:sz w:val="22"/>
        </w:rPr>
        <w:t> </w:t>
      </w:r>
      <w:r>
        <w:rPr>
          <w:sz w:val="22"/>
        </w:rPr>
        <w:t>a</w:t>
      </w:r>
      <w:r>
        <w:rPr>
          <w:spacing w:val="-5"/>
          <w:sz w:val="22"/>
        </w:rPr>
        <w:t> </w:t>
      </w:r>
      <w:r>
        <w:rPr>
          <w:sz w:val="22"/>
        </w:rPr>
        <w:t>mistake</w:t>
      </w:r>
      <w:r>
        <w:rPr>
          <w:spacing w:val="-4"/>
          <w:sz w:val="22"/>
        </w:rPr>
        <w:t> </w:t>
      </w:r>
      <w:r>
        <w:rPr>
          <w:sz w:val="22"/>
        </w:rPr>
        <w:t>in</w:t>
      </w:r>
      <w:r>
        <w:rPr>
          <w:spacing w:val="-4"/>
          <w:sz w:val="22"/>
        </w:rPr>
        <w:t> </w:t>
      </w:r>
      <w:r>
        <w:rPr>
          <w:sz w:val="22"/>
        </w:rPr>
        <w:t>filing</w:t>
      </w:r>
      <w:r>
        <w:rPr>
          <w:spacing w:val="-5"/>
          <w:sz w:val="22"/>
        </w:rPr>
        <w:t> </w:t>
      </w:r>
      <w:r>
        <w:rPr>
          <w:sz w:val="22"/>
        </w:rPr>
        <w:t>a</w:t>
      </w:r>
      <w:r>
        <w:rPr>
          <w:spacing w:val="-4"/>
          <w:sz w:val="22"/>
        </w:rPr>
        <w:t> </w:t>
      </w:r>
      <w:r>
        <w:rPr>
          <w:sz w:val="22"/>
        </w:rPr>
        <w:t>grievance.</w:t>
      </w:r>
    </w:p>
    <w:p>
      <w:pPr>
        <w:pStyle w:val="BodyText"/>
        <w:spacing w:before="4"/>
        <w:rPr>
          <w:sz w:val="25"/>
        </w:rPr>
      </w:pPr>
    </w:p>
    <w:p>
      <w:pPr>
        <w:pStyle w:val="Heading2"/>
      </w:pPr>
      <w:r>
        <w:rPr/>
        <w:t>Data Tables</w:t>
      </w:r>
    </w:p>
    <w:p>
      <w:pPr>
        <w:pStyle w:val="BodyText"/>
        <w:spacing w:before="4"/>
        <w:rPr>
          <w:b/>
          <w:sz w:val="10"/>
        </w:rPr>
      </w:pPr>
      <w:r>
        <w:rPr/>
        <w:drawing>
          <wp:anchor distT="0" distB="0" distL="0" distR="0" allowOverlap="1" layoutInCell="1" locked="0" behindDoc="0" simplePos="0" relativeHeight="10">
            <wp:simplePos x="0" y="0"/>
            <wp:positionH relativeFrom="page">
              <wp:posOffset>959991</wp:posOffset>
            </wp:positionH>
            <wp:positionV relativeFrom="paragraph">
              <wp:posOffset>100328</wp:posOffset>
            </wp:positionV>
            <wp:extent cx="4904013" cy="3131534"/>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4904013" cy="3131534"/>
                    </a:xfrm>
                    <a:prstGeom prst="rect">
                      <a:avLst/>
                    </a:prstGeom>
                  </pic:spPr>
                </pic:pic>
              </a:graphicData>
            </a:graphic>
          </wp:anchor>
        </w:drawing>
      </w:r>
    </w:p>
    <w:p>
      <w:pPr>
        <w:spacing w:after="0"/>
        <w:rPr>
          <w:sz w:val="10"/>
        </w:rPr>
        <w:sectPr>
          <w:pgSz w:w="12240" w:h="15840"/>
          <w:pgMar w:header="0" w:footer="724" w:top="1360" w:bottom="1000" w:left="1340" w:right="1300"/>
        </w:sectPr>
      </w:pPr>
    </w:p>
    <w:p>
      <w:pPr>
        <w:pStyle w:val="BodyText"/>
        <w:spacing w:before="4"/>
        <w:rPr>
          <w:b/>
          <w:sz w:val="12"/>
        </w:rPr>
      </w:pPr>
    </w:p>
    <w:p>
      <w:pPr>
        <w:pStyle w:val="BodyText"/>
        <w:ind w:left="249"/>
        <w:rPr>
          <w:sz w:val="20"/>
        </w:rPr>
      </w:pPr>
      <w:r>
        <w:rPr>
          <w:sz w:val="20"/>
        </w:rPr>
        <w:drawing>
          <wp:inline distT="0" distB="0" distL="0" distR="0">
            <wp:extent cx="5783794" cy="2334386"/>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19" cstate="print"/>
                    <a:stretch>
                      <a:fillRect/>
                    </a:stretch>
                  </pic:blipFill>
                  <pic:spPr>
                    <a:xfrm>
                      <a:off x="0" y="0"/>
                      <a:ext cx="5783794" cy="2334386"/>
                    </a:xfrm>
                    <a:prstGeom prst="rect">
                      <a:avLst/>
                    </a:prstGeom>
                  </pic:spPr>
                </pic:pic>
              </a:graphicData>
            </a:graphic>
          </wp:inline>
        </w:drawing>
      </w:r>
      <w:r>
        <w:rPr>
          <w:sz w:val="20"/>
        </w:rPr>
      </w:r>
    </w:p>
    <w:p>
      <w:pPr>
        <w:pStyle w:val="BodyText"/>
        <w:spacing w:before="2"/>
        <w:rPr>
          <w:b/>
          <w:sz w:val="27"/>
        </w:rPr>
      </w:pPr>
      <w:r>
        <w:rPr/>
        <w:drawing>
          <wp:anchor distT="0" distB="0" distL="0" distR="0" allowOverlap="1" layoutInCell="1" locked="0" behindDoc="0" simplePos="0" relativeHeight="11">
            <wp:simplePos x="0" y="0"/>
            <wp:positionH relativeFrom="page">
              <wp:posOffset>952647</wp:posOffset>
            </wp:positionH>
            <wp:positionV relativeFrom="paragraph">
              <wp:posOffset>223298</wp:posOffset>
            </wp:positionV>
            <wp:extent cx="5825426" cy="4164329"/>
            <wp:effectExtent l="0" t="0" r="0" b="0"/>
            <wp:wrapTopAndBottom/>
            <wp:docPr id="29" name="image15.jpeg"/>
            <wp:cNvGraphicFramePr>
              <a:graphicFrameLocks noChangeAspect="1"/>
            </wp:cNvGraphicFramePr>
            <a:graphic>
              <a:graphicData uri="http://schemas.openxmlformats.org/drawingml/2006/picture">
                <pic:pic>
                  <pic:nvPicPr>
                    <pic:cNvPr id="30" name="image15.jpeg"/>
                    <pic:cNvPicPr/>
                  </pic:nvPicPr>
                  <pic:blipFill>
                    <a:blip r:embed="rId20" cstate="print"/>
                    <a:stretch>
                      <a:fillRect/>
                    </a:stretch>
                  </pic:blipFill>
                  <pic:spPr>
                    <a:xfrm>
                      <a:off x="0" y="0"/>
                      <a:ext cx="5825426" cy="4164329"/>
                    </a:xfrm>
                    <a:prstGeom prst="rect">
                      <a:avLst/>
                    </a:prstGeom>
                  </pic:spPr>
                </pic:pic>
              </a:graphicData>
            </a:graphic>
          </wp:anchor>
        </w:drawing>
      </w:r>
    </w:p>
    <w:p>
      <w:pPr>
        <w:spacing w:after="0"/>
        <w:rPr>
          <w:sz w:val="27"/>
        </w:rPr>
        <w:sectPr>
          <w:pgSz w:w="12240" w:h="15840"/>
          <w:pgMar w:header="0" w:footer="724" w:top="1500" w:bottom="920" w:left="1340" w:right="1300"/>
        </w:sectPr>
      </w:pPr>
    </w:p>
    <w:p>
      <w:pPr>
        <w:pStyle w:val="BodyText"/>
        <w:spacing w:before="8"/>
        <w:rPr>
          <w:b/>
          <w:sz w:val="5"/>
        </w:rPr>
      </w:pPr>
    </w:p>
    <w:p>
      <w:pPr>
        <w:pStyle w:val="BodyText"/>
        <w:ind w:left="211"/>
        <w:rPr>
          <w:sz w:val="20"/>
        </w:rPr>
      </w:pPr>
      <w:r>
        <w:rPr>
          <w:sz w:val="20"/>
        </w:rPr>
        <w:drawing>
          <wp:inline distT="0" distB="0" distL="0" distR="0">
            <wp:extent cx="5709946" cy="6990873"/>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21" cstate="print"/>
                    <a:stretch>
                      <a:fillRect/>
                    </a:stretch>
                  </pic:blipFill>
                  <pic:spPr>
                    <a:xfrm>
                      <a:off x="0" y="0"/>
                      <a:ext cx="5709946" cy="6990873"/>
                    </a:xfrm>
                    <a:prstGeom prst="rect">
                      <a:avLst/>
                    </a:prstGeom>
                  </pic:spPr>
                </pic:pic>
              </a:graphicData>
            </a:graphic>
          </wp:inline>
        </w:drawing>
      </w:r>
      <w:r>
        <w:rPr>
          <w:sz w:val="20"/>
        </w:rPr>
      </w:r>
    </w:p>
    <w:p>
      <w:pPr>
        <w:spacing w:after="0"/>
        <w:rPr>
          <w:sz w:val="20"/>
        </w:rPr>
        <w:sectPr>
          <w:pgSz w:w="12240" w:h="15840"/>
          <w:pgMar w:header="0" w:footer="724" w:top="1500" w:bottom="920" w:left="1340" w:right="1300"/>
        </w:sectPr>
      </w:pPr>
    </w:p>
    <w:p>
      <w:pPr>
        <w:pStyle w:val="BodyText"/>
        <w:spacing w:before="1"/>
        <w:rPr>
          <w:b/>
          <w:sz w:val="7"/>
        </w:rPr>
      </w:pPr>
    </w:p>
    <w:p>
      <w:pPr>
        <w:pStyle w:val="BodyText"/>
        <w:ind w:left="192"/>
        <w:rPr>
          <w:sz w:val="20"/>
        </w:rPr>
      </w:pPr>
      <w:r>
        <w:rPr>
          <w:sz w:val="20"/>
        </w:rPr>
        <w:drawing>
          <wp:inline distT="0" distB="0" distL="0" distR="0">
            <wp:extent cx="5772995" cy="6623304"/>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22" cstate="print"/>
                    <a:stretch>
                      <a:fillRect/>
                    </a:stretch>
                  </pic:blipFill>
                  <pic:spPr>
                    <a:xfrm>
                      <a:off x="0" y="0"/>
                      <a:ext cx="5772995" cy="6623304"/>
                    </a:xfrm>
                    <a:prstGeom prst="rect">
                      <a:avLst/>
                    </a:prstGeom>
                  </pic:spPr>
                </pic:pic>
              </a:graphicData>
            </a:graphic>
          </wp:inline>
        </w:drawing>
      </w:r>
      <w:r>
        <w:rPr>
          <w:sz w:val="20"/>
        </w:rPr>
      </w:r>
    </w:p>
    <w:p>
      <w:pPr>
        <w:spacing w:after="0"/>
        <w:rPr>
          <w:sz w:val="20"/>
        </w:rPr>
        <w:sectPr>
          <w:pgSz w:w="12240" w:h="15840"/>
          <w:pgMar w:header="0" w:footer="724" w:top="1500" w:bottom="920" w:left="1340" w:right="1300"/>
        </w:sectPr>
      </w:pPr>
    </w:p>
    <w:p>
      <w:pPr>
        <w:spacing w:before="80"/>
        <w:ind w:left="100" w:right="0" w:firstLine="0"/>
        <w:jc w:val="left"/>
        <w:rPr>
          <w:b/>
          <w:sz w:val="24"/>
        </w:rPr>
      </w:pPr>
      <w:r>
        <w:rPr>
          <w:rFonts w:ascii="Times New Roman"/>
          <w:spacing w:val="-60"/>
          <w:sz w:val="24"/>
          <w:u w:val="thick"/>
        </w:rPr>
        <w:t> </w:t>
      </w:r>
      <w:r>
        <w:rPr>
          <w:b/>
          <w:sz w:val="24"/>
          <w:u w:val="thick"/>
        </w:rPr>
        <w:t>Appendix 3, Review of the FG Office and FG Official from the 2021 Calendar </w:t>
      </w:r>
      <w:r>
        <w:rPr>
          <w:b/>
          <w:spacing w:val="-4"/>
          <w:sz w:val="24"/>
          <w:u w:val="thick"/>
        </w:rPr>
        <w:t>Year</w:t>
      </w:r>
    </w:p>
    <w:p>
      <w:pPr>
        <w:pStyle w:val="BodyText"/>
        <w:spacing w:before="10"/>
        <w:rPr>
          <w:b/>
          <w:sz w:val="28"/>
        </w:rPr>
      </w:pPr>
    </w:p>
    <w:p>
      <w:pPr>
        <w:pStyle w:val="BodyText"/>
        <w:ind w:left="100"/>
      </w:pPr>
      <w:r>
        <w:rPr/>
        <w:t>April 26, 2022</w:t>
      </w:r>
    </w:p>
    <w:p>
      <w:pPr>
        <w:pStyle w:val="BodyText"/>
        <w:spacing w:before="7"/>
        <w:rPr>
          <w:sz w:val="28"/>
        </w:rPr>
      </w:pPr>
    </w:p>
    <w:p>
      <w:pPr>
        <w:pStyle w:val="BodyText"/>
        <w:tabs>
          <w:tab w:pos="819" w:val="left" w:leader="none"/>
        </w:tabs>
        <w:ind w:left="100"/>
      </w:pPr>
      <w:r>
        <w:rPr>
          <w:spacing w:val="-9"/>
        </w:rPr>
        <w:t>To:</w:t>
        <w:tab/>
      </w:r>
      <w:r>
        <w:rPr>
          <w:spacing w:val="-5"/>
        </w:rPr>
        <w:t>Dr. </w:t>
      </w:r>
      <w:r>
        <w:rPr/>
        <w:t>Richard Fulton,</w:t>
      </w:r>
      <w:r>
        <w:rPr>
          <w:spacing w:val="1"/>
        </w:rPr>
        <w:t> </w:t>
      </w:r>
      <w:r>
        <w:rPr/>
        <w:t>Chair</w:t>
      </w:r>
    </w:p>
    <w:p>
      <w:pPr>
        <w:pStyle w:val="BodyText"/>
        <w:spacing w:before="38"/>
        <w:ind w:left="820"/>
      </w:pPr>
      <w:r>
        <w:rPr/>
        <w:t>University Committee on Faculty Affairs</w:t>
      </w:r>
    </w:p>
    <w:p>
      <w:pPr>
        <w:pStyle w:val="BodyText"/>
        <w:spacing w:before="7"/>
        <w:rPr>
          <w:sz w:val="28"/>
        </w:rPr>
      </w:pPr>
    </w:p>
    <w:p>
      <w:pPr>
        <w:pStyle w:val="BodyText"/>
        <w:spacing w:line="276" w:lineRule="auto"/>
        <w:ind w:left="820" w:right="5424" w:hanging="720"/>
      </w:pPr>
      <w:r>
        <w:rPr/>
        <w:t>From: Dr. Claudia Finkelstein, Chair UCFA Personnel Subcommittee</w:t>
      </w:r>
    </w:p>
    <w:p>
      <w:pPr>
        <w:pStyle w:val="BodyText"/>
        <w:spacing w:before="3"/>
        <w:rPr>
          <w:sz w:val="25"/>
        </w:rPr>
      </w:pPr>
    </w:p>
    <w:p>
      <w:pPr>
        <w:pStyle w:val="BodyText"/>
        <w:ind w:left="100"/>
      </w:pPr>
      <w:r>
        <w:rPr/>
        <w:t>Subject: Faculty Grievance Official--Annual Review</w:t>
      </w:r>
    </w:p>
    <w:p>
      <w:pPr>
        <w:pStyle w:val="BodyText"/>
        <w:spacing w:before="7"/>
        <w:rPr>
          <w:sz w:val="28"/>
        </w:rPr>
      </w:pPr>
    </w:p>
    <w:p>
      <w:pPr>
        <w:pStyle w:val="BodyText"/>
        <w:spacing w:line="276" w:lineRule="auto"/>
        <w:ind w:left="100" w:right="117"/>
      </w:pPr>
      <w:r>
        <w:rPr/>
        <w:t>The Personnel Subcommittee of the University Committee on Faculty Affairs has completed its annual review of the Faculty Grievance Official, Dr. Francisco Villarruel, and the Faculty Grievance Office for the calendar year 2021.</w:t>
      </w:r>
    </w:p>
    <w:p>
      <w:pPr>
        <w:pStyle w:val="BodyText"/>
        <w:spacing w:before="3"/>
        <w:rPr>
          <w:sz w:val="25"/>
        </w:rPr>
      </w:pPr>
    </w:p>
    <w:p>
      <w:pPr>
        <w:pStyle w:val="BodyText"/>
        <w:spacing w:line="276" w:lineRule="auto" w:before="1"/>
        <w:ind w:left="100" w:right="117"/>
      </w:pPr>
      <w:r>
        <w:rPr/>
        <w:t>The survey used this year was the same as that used in 2020 (other than minor wording changes)</w:t>
      </w:r>
    </w:p>
    <w:p>
      <w:pPr>
        <w:pStyle w:val="BodyText"/>
        <w:spacing w:before="3"/>
        <w:rPr>
          <w:sz w:val="25"/>
        </w:rPr>
      </w:pPr>
    </w:p>
    <w:p>
      <w:pPr>
        <w:pStyle w:val="BodyText"/>
        <w:spacing w:line="276" w:lineRule="auto"/>
        <w:ind w:left="100" w:right="227"/>
        <w:jc w:val="both"/>
      </w:pPr>
      <w:r>
        <w:rPr/>
        <w:t>The subcommittee is extremely grateful to Karen Clark, Senior Project Manager in the Office of Survey</w:t>
      </w:r>
      <w:r>
        <w:rPr>
          <w:spacing w:val="-6"/>
        </w:rPr>
        <w:t> </w:t>
      </w:r>
      <w:r>
        <w:rPr/>
        <w:t>Research</w:t>
      </w:r>
      <w:r>
        <w:rPr>
          <w:spacing w:val="-6"/>
        </w:rPr>
        <w:t> </w:t>
      </w:r>
      <w:r>
        <w:rPr/>
        <w:t>who</w:t>
      </w:r>
      <w:r>
        <w:rPr>
          <w:spacing w:val="-6"/>
        </w:rPr>
        <w:t> </w:t>
      </w:r>
      <w:r>
        <w:rPr/>
        <w:t>surveyed</w:t>
      </w:r>
      <w:r>
        <w:rPr>
          <w:spacing w:val="-6"/>
        </w:rPr>
        <w:t> </w:t>
      </w:r>
      <w:r>
        <w:rPr/>
        <w:t>those</w:t>
      </w:r>
      <w:r>
        <w:rPr>
          <w:spacing w:val="-6"/>
        </w:rPr>
        <w:t> </w:t>
      </w:r>
      <w:r>
        <w:rPr/>
        <w:t>using</w:t>
      </w:r>
      <w:r>
        <w:rPr>
          <w:spacing w:val="-6"/>
        </w:rPr>
        <w:t> </w:t>
      </w:r>
      <w:r>
        <w:rPr/>
        <w:t>the</w:t>
      </w:r>
      <w:r>
        <w:rPr>
          <w:spacing w:val="-5"/>
        </w:rPr>
        <w:t> </w:t>
      </w:r>
      <w:r>
        <w:rPr/>
        <w:t>services</w:t>
      </w:r>
      <w:r>
        <w:rPr>
          <w:spacing w:val="-6"/>
        </w:rPr>
        <w:t> </w:t>
      </w:r>
      <w:r>
        <w:rPr/>
        <w:t>of</w:t>
      </w:r>
      <w:r>
        <w:rPr>
          <w:spacing w:val="-6"/>
        </w:rPr>
        <w:t> </w:t>
      </w:r>
      <w:r>
        <w:rPr/>
        <w:t>the</w:t>
      </w:r>
      <w:r>
        <w:rPr>
          <w:spacing w:val="-6"/>
        </w:rPr>
        <w:t> </w:t>
      </w:r>
      <w:r>
        <w:rPr/>
        <w:t>Faculty</w:t>
      </w:r>
      <w:r>
        <w:rPr>
          <w:spacing w:val="-6"/>
        </w:rPr>
        <w:t> </w:t>
      </w:r>
      <w:r>
        <w:rPr/>
        <w:t>Grievance</w:t>
      </w:r>
      <w:r>
        <w:rPr>
          <w:spacing w:val="-6"/>
        </w:rPr>
        <w:t> </w:t>
      </w:r>
      <w:r>
        <w:rPr/>
        <w:t>Office</w:t>
      </w:r>
      <w:r>
        <w:rPr>
          <w:spacing w:val="-6"/>
        </w:rPr>
        <w:t> </w:t>
      </w:r>
      <w:r>
        <w:rPr/>
        <w:t>during the</w:t>
      </w:r>
      <w:r>
        <w:rPr>
          <w:spacing w:val="-1"/>
        </w:rPr>
        <w:t> </w:t>
      </w:r>
      <w:r>
        <w:rPr>
          <w:spacing w:val="-4"/>
        </w:rPr>
        <w:t>year.</w:t>
      </w:r>
    </w:p>
    <w:p>
      <w:pPr>
        <w:pStyle w:val="BodyText"/>
        <w:spacing w:before="3"/>
        <w:rPr>
          <w:sz w:val="25"/>
        </w:rPr>
      </w:pPr>
    </w:p>
    <w:p>
      <w:pPr>
        <w:pStyle w:val="BodyText"/>
        <w:spacing w:line="276" w:lineRule="auto"/>
        <w:ind w:left="100" w:right="117"/>
      </w:pPr>
      <w:r>
        <w:rPr/>
        <w:t>Surveys were sent to 82 individuals whose names were provided by the Faculty Grievance Office. Forty of those individuals completed the survey, for a much improved 51.2% response rate (compared with 38% for 2020 and 31.2% in 2019.) Two people declined consent for their information to be used in this report.</w:t>
      </w:r>
    </w:p>
    <w:p>
      <w:pPr>
        <w:pStyle w:val="BodyText"/>
        <w:spacing w:before="4"/>
        <w:rPr>
          <w:sz w:val="25"/>
        </w:rPr>
      </w:pPr>
    </w:p>
    <w:p>
      <w:pPr>
        <w:pStyle w:val="BodyText"/>
        <w:spacing w:line="276" w:lineRule="auto"/>
        <w:ind w:left="100" w:right="242"/>
      </w:pPr>
      <w:r>
        <w:rPr/>
        <w:t>The number of individuals interacting with the FGO was lower in 2021 than in 2020. There is a general consensus in the world of survey research that making comparisons to any data collected during the pandemic should be done with caution or not at all. Any differences between 2020 – 2021 should not be taken as a signal for change but if the trend continues in subsequent years then it could be indicative of an issue.</w:t>
      </w:r>
    </w:p>
    <w:p>
      <w:pPr>
        <w:pStyle w:val="BodyText"/>
        <w:spacing w:before="3"/>
        <w:rPr>
          <w:sz w:val="25"/>
        </w:rPr>
      </w:pPr>
    </w:p>
    <w:p>
      <w:pPr>
        <w:pStyle w:val="Heading2"/>
      </w:pPr>
      <w:r>
        <w:rPr/>
        <w:t>Use of the Office in 2021</w:t>
      </w:r>
    </w:p>
    <w:p>
      <w:pPr>
        <w:pStyle w:val="BodyText"/>
        <w:spacing w:before="7"/>
        <w:rPr>
          <w:b/>
          <w:sz w:val="28"/>
        </w:rPr>
      </w:pPr>
    </w:p>
    <w:p>
      <w:pPr>
        <w:pStyle w:val="BodyText"/>
        <w:spacing w:line="276" w:lineRule="auto"/>
        <w:ind w:left="100" w:right="222"/>
        <w:jc w:val="both"/>
      </w:pPr>
      <w:r>
        <w:rPr>
          <w:spacing w:val="-6"/>
        </w:rPr>
        <w:t>Table </w:t>
      </w:r>
      <w:r>
        <w:rPr/>
        <w:t>one shows the distribution of utilizers of FGO in 2021. Again, as in 2020 the largest group of users were faculty in the tenure system (in 2021 55.3% down from 70.6% in 2020).</w:t>
      </w:r>
    </w:p>
    <w:p>
      <w:pPr>
        <w:pStyle w:val="BodyText"/>
        <w:spacing w:before="4"/>
        <w:rPr>
          <w:sz w:val="25"/>
        </w:rPr>
      </w:pPr>
    </w:p>
    <w:p>
      <w:pPr>
        <w:pStyle w:val="BodyText"/>
        <w:spacing w:line="276" w:lineRule="auto"/>
        <w:ind w:left="100"/>
      </w:pPr>
      <w:r>
        <w:rPr/>
        <w:t>Of those who completed the survey, 45.9% identified themselves as members of an underrepresented group at MSU (more consistent with the number in 2019 47.4% than with the 14.7% in 2020 - perhaps an outlier?).</w:t>
      </w:r>
    </w:p>
    <w:p>
      <w:pPr>
        <w:spacing w:after="0" w:line="276" w:lineRule="auto"/>
        <w:sectPr>
          <w:pgSz w:w="12240" w:h="15840"/>
          <w:pgMar w:header="0" w:footer="724" w:top="1360" w:bottom="920" w:left="1340" w:right="1300"/>
        </w:sectPr>
      </w:pPr>
    </w:p>
    <w:p>
      <w:pPr>
        <w:pStyle w:val="BodyText"/>
        <w:spacing w:line="276" w:lineRule="auto" w:before="80"/>
        <w:ind w:left="100" w:right="117"/>
      </w:pPr>
      <w:r>
        <w:rPr/>
        <w:t>Interactions with the office in 2021 were once again many general inquiries and informal discussions, as seen in Table 2. Of note a full 25.4% of interactions resulted in informal resolution. Respondents were asked to choose all answers that applied.</w:t>
      </w:r>
    </w:p>
    <w:p>
      <w:pPr>
        <w:pStyle w:val="BodyText"/>
        <w:spacing w:before="3"/>
        <w:rPr>
          <w:sz w:val="25"/>
        </w:rPr>
      </w:pPr>
    </w:p>
    <w:p>
      <w:pPr>
        <w:pStyle w:val="BodyText"/>
        <w:ind w:left="100"/>
      </w:pPr>
      <w:r>
        <w:rPr/>
        <w:t>Table 2 also includes methods of contact.</w:t>
      </w:r>
    </w:p>
    <w:p>
      <w:pPr>
        <w:pStyle w:val="BodyText"/>
        <w:spacing w:before="7"/>
        <w:rPr>
          <w:sz w:val="28"/>
        </w:rPr>
      </w:pPr>
    </w:p>
    <w:p>
      <w:pPr>
        <w:pStyle w:val="BodyText"/>
        <w:spacing w:line="276" w:lineRule="auto"/>
        <w:ind w:left="100" w:right="117"/>
      </w:pPr>
      <w:r>
        <w:rPr/>
        <w:t>Table 3 contains the number of contacts and contact hours of survey respondents. Of note, 13.5% had 5 or more hours of contact with the FGO.</w:t>
      </w:r>
    </w:p>
    <w:p>
      <w:pPr>
        <w:pStyle w:val="BodyText"/>
        <w:spacing w:before="3"/>
        <w:rPr>
          <w:sz w:val="25"/>
        </w:rPr>
      </w:pPr>
    </w:p>
    <w:p>
      <w:pPr>
        <w:pStyle w:val="Heading2"/>
      </w:pPr>
      <w:r>
        <w:rPr/>
        <w:t>Informal/Formal Resolution</w:t>
      </w:r>
    </w:p>
    <w:p>
      <w:pPr>
        <w:pStyle w:val="BodyText"/>
        <w:spacing w:before="7"/>
        <w:rPr>
          <w:b/>
          <w:sz w:val="28"/>
        </w:rPr>
      </w:pPr>
    </w:p>
    <w:p>
      <w:pPr>
        <w:pStyle w:val="BodyText"/>
        <w:spacing w:line="276" w:lineRule="auto"/>
        <w:ind w:left="100"/>
      </w:pPr>
      <w:r>
        <w:rPr/>
        <w:t>The majority of cases (91.7%) were handled informally as seen in Table 4. This is work taken on by FGO, sparing those offices involved in formal process.</w:t>
      </w:r>
    </w:p>
    <w:p>
      <w:pPr>
        <w:pStyle w:val="BodyText"/>
        <w:spacing w:before="4"/>
        <w:rPr>
          <w:sz w:val="25"/>
        </w:rPr>
      </w:pPr>
    </w:p>
    <w:p>
      <w:pPr>
        <w:pStyle w:val="BodyText"/>
        <w:spacing w:line="276" w:lineRule="auto"/>
        <w:ind w:left="100"/>
      </w:pPr>
      <w:r>
        <w:rPr/>
        <w:t>Table 4 also demonstrates the roles of the involved parties. There was 100% agreement on full adherence to policy by the three individuals involved in formal grievance.</w:t>
      </w:r>
    </w:p>
    <w:p>
      <w:pPr>
        <w:pStyle w:val="BodyText"/>
        <w:spacing w:before="3"/>
        <w:rPr>
          <w:sz w:val="25"/>
        </w:rPr>
      </w:pPr>
    </w:p>
    <w:p>
      <w:pPr>
        <w:pStyle w:val="Heading2"/>
      </w:pPr>
      <w:r>
        <w:rPr/>
        <w:t>Impressions of the Office Staff</w:t>
      </w:r>
    </w:p>
    <w:p>
      <w:pPr>
        <w:pStyle w:val="BodyText"/>
        <w:spacing w:line="254" w:lineRule="auto" w:before="175"/>
        <w:ind w:left="100" w:right="296"/>
      </w:pPr>
      <w:r>
        <w:rPr/>
        <w:t>The staff in the Faculty Grievance Office remained the same over the year. Table 5 shows that respondents indicated overwhelmingly favorable impressions of the staff as accessible and approachable, able to communicate clearly, conducting work in a timely manner, maintaining confidentiality, knowledgeable of university polices and to be able to answer questions.</w:t>
      </w:r>
    </w:p>
    <w:p>
      <w:pPr>
        <w:pStyle w:val="Heading2"/>
        <w:spacing w:before="160"/>
      </w:pPr>
      <w:r>
        <w:rPr/>
        <w:t>Impressions about Interactions with Professor Francisco Villarruel</w:t>
      </w:r>
    </w:p>
    <w:p>
      <w:pPr>
        <w:pStyle w:val="BodyText"/>
        <w:spacing w:line="254" w:lineRule="auto" w:before="176"/>
        <w:ind w:left="100" w:right="117"/>
      </w:pPr>
      <w:r>
        <w:rPr/>
        <w:t>Out of the 38 respondents that completed the survey and allowed use of their data, 97.2% of them had interactions with Professor Villarruel. The ratings of those interactions are shown in Table 6.</w:t>
      </w:r>
    </w:p>
    <w:p>
      <w:pPr>
        <w:pStyle w:val="BodyText"/>
        <w:spacing w:line="254" w:lineRule="auto" w:before="160"/>
        <w:ind w:left="100" w:right="187"/>
      </w:pPr>
      <w:r>
        <w:rPr/>
        <w:t>Dr. Villarruel again received his highest ratings for being approachable, responding to inquiries in a timely manner, his knowledge of university policies and regulations, and his willingness to schedule meetings at times that were convenient for respondents.</w:t>
      </w:r>
    </w:p>
    <w:p>
      <w:pPr>
        <w:pStyle w:val="BodyText"/>
        <w:spacing w:line="254" w:lineRule="auto" w:before="160"/>
        <w:ind w:left="100" w:right="117"/>
      </w:pPr>
      <w:r>
        <w:rPr/>
        <w:t>The lowest rating, in fact the only one with fewer than 50% “strongly agree” responses, was that Francisco Villarruel did not act as an effective mediator between parties. This may be partly explained by the false belief that the FGO is a faculty advocate rather than a neutral party. The comments section will develop this further. Lower scores are often influenced by the outcome or if the information given (although correct) may not be in the direction the person was hoping.</w:t>
      </w:r>
    </w:p>
    <w:p>
      <w:pPr>
        <w:pStyle w:val="BodyText"/>
        <w:ind w:left="100"/>
      </w:pPr>
      <w:r>
        <w:rPr/>
        <w:t>The “kill the messenger” effect.</w:t>
      </w:r>
    </w:p>
    <w:p>
      <w:pPr>
        <w:pStyle w:val="Heading2"/>
        <w:spacing w:before="175"/>
      </w:pPr>
      <w:r>
        <w:rPr/>
        <w:t>Underrepresented Groups</w:t>
      </w:r>
    </w:p>
    <w:p>
      <w:pPr>
        <w:pStyle w:val="BodyText"/>
        <w:spacing w:line="254" w:lineRule="auto" w:before="175"/>
        <w:ind w:left="100" w:right="117"/>
      </w:pPr>
      <w:r>
        <w:rPr/>
        <w:t>When comparing the means in all categories of satisfaction which were surveyed (see Table 7) the trend was lower satisfaction in underrepresented groups. The reason is unclear. Of note, differences between the two groups were not statistically significant. On most climate surveys, etc members of underrepresented groups have lower satisfaction scores across items.</w:t>
      </w:r>
    </w:p>
    <w:p>
      <w:pPr>
        <w:spacing w:after="0" w:line="254" w:lineRule="auto"/>
        <w:sectPr>
          <w:pgSz w:w="12240" w:h="15840"/>
          <w:pgMar w:header="0" w:footer="724" w:top="1360" w:bottom="1000" w:left="1340" w:right="1300"/>
        </w:sectPr>
      </w:pPr>
    </w:p>
    <w:p>
      <w:pPr>
        <w:pStyle w:val="Heading2"/>
        <w:spacing w:before="80"/>
      </w:pPr>
      <w:r>
        <w:rPr/>
        <w:t>Open-Ended Comments</w:t>
      </w:r>
    </w:p>
    <w:p>
      <w:pPr>
        <w:pStyle w:val="BodyText"/>
        <w:spacing w:line="276" w:lineRule="auto" w:before="175"/>
        <w:ind w:left="100"/>
      </w:pPr>
      <w:r>
        <w:rPr/>
        <w:t>The survey allowed for open-ended comments and suggestions for improvement. There were comments commending Dr. Villarruel.</w:t>
      </w:r>
    </w:p>
    <w:p>
      <w:pPr>
        <w:pStyle w:val="BodyText"/>
        <w:spacing w:before="3"/>
        <w:rPr>
          <w:sz w:val="25"/>
        </w:rPr>
      </w:pPr>
    </w:p>
    <w:p>
      <w:pPr>
        <w:pStyle w:val="BodyText"/>
        <w:spacing w:line="276" w:lineRule="auto"/>
        <w:ind w:left="100"/>
      </w:pPr>
      <w:r>
        <w:rPr/>
        <w:t>There were a number of comments reflecting lack of clarity in the role of the FGO. Comments wishing for an orientation on the office and its role. Also, several questions from people opposed to vaccine mandates and where and how to “grieve” these.</w:t>
      </w:r>
    </w:p>
    <w:p>
      <w:pPr>
        <w:pStyle w:val="BodyText"/>
        <w:spacing w:before="4"/>
        <w:rPr>
          <w:sz w:val="23"/>
        </w:rPr>
      </w:pPr>
    </w:p>
    <w:p>
      <w:pPr>
        <w:pStyle w:val="Heading2"/>
      </w:pPr>
      <w:r>
        <w:rPr/>
        <w:t>Conclusions and Recommendations</w:t>
      </w:r>
    </w:p>
    <w:p>
      <w:pPr>
        <w:pStyle w:val="BodyText"/>
        <w:spacing w:before="7"/>
        <w:rPr>
          <w:b/>
          <w:sz w:val="24"/>
        </w:rPr>
      </w:pPr>
    </w:p>
    <w:p>
      <w:pPr>
        <w:pStyle w:val="BodyText"/>
        <w:spacing w:line="254" w:lineRule="auto"/>
        <w:ind w:left="100" w:right="117"/>
      </w:pPr>
      <w:r>
        <w:rPr/>
        <w:t>Overall, the ratings across the survey were positive with no areas seen as especially problematic.</w:t>
      </w:r>
    </w:p>
    <w:p>
      <w:pPr>
        <w:pStyle w:val="BodyText"/>
        <w:ind w:left="100"/>
      </w:pPr>
      <w:r>
        <w:rPr/>
        <w:t>Moving forward, the committee suggests that:</w:t>
      </w:r>
    </w:p>
    <w:p>
      <w:pPr>
        <w:pStyle w:val="ListParagraph"/>
        <w:numPr>
          <w:ilvl w:val="1"/>
          <w:numId w:val="7"/>
        </w:numPr>
        <w:tabs>
          <w:tab w:pos="1065" w:val="left" w:leader="none"/>
        </w:tabs>
        <w:spacing w:line="254" w:lineRule="auto" w:before="176" w:after="0"/>
        <w:ind w:left="820" w:right="301" w:firstLine="0"/>
        <w:jc w:val="left"/>
        <w:rPr>
          <w:sz w:val="22"/>
        </w:rPr>
      </w:pPr>
      <w:r>
        <w:rPr>
          <w:sz w:val="22"/>
        </w:rPr>
        <w:t>Professor</w:t>
      </w:r>
      <w:r>
        <w:rPr>
          <w:spacing w:val="-6"/>
          <w:sz w:val="22"/>
        </w:rPr>
        <w:t> </w:t>
      </w:r>
      <w:r>
        <w:rPr>
          <w:sz w:val="22"/>
        </w:rPr>
        <w:t>Villarruel</w:t>
      </w:r>
      <w:r>
        <w:rPr>
          <w:spacing w:val="-6"/>
          <w:sz w:val="22"/>
        </w:rPr>
        <w:t> </w:t>
      </w:r>
      <w:r>
        <w:rPr>
          <w:sz w:val="22"/>
        </w:rPr>
        <w:t>be</w:t>
      </w:r>
      <w:r>
        <w:rPr>
          <w:spacing w:val="-6"/>
          <w:sz w:val="22"/>
        </w:rPr>
        <w:t> </w:t>
      </w:r>
      <w:r>
        <w:rPr>
          <w:sz w:val="22"/>
        </w:rPr>
        <w:t>commended</w:t>
      </w:r>
      <w:r>
        <w:rPr>
          <w:spacing w:val="-6"/>
          <w:sz w:val="22"/>
        </w:rPr>
        <w:t> </w:t>
      </w:r>
      <w:r>
        <w:rPr>
          <w:sz w:val="22"/>
        </w:rPr>
        <w:t>for</w:t>
      </w:r>
      <w:r>
        <w:rPr>
          <w:spacing w:val="-5"/>
          <w:sz w:val="22"/>
        </w:rPr>
        <w:t> </w:t>
      </w:r>
      <w:r>
        <w:rPr>
          <w:sz w:val="22"/>
        </w:rPr>
        <w:t>the</w:t>
      </w:r>
      <w:r>
        <w:rPr>
          <w:spacing w:val="-6"/>
          <w:sz w:val="22"/>
        </w:rPr>
        <w:t> </w:t>
      </w:r>
      <w:r>
        <w:rPr>
          <w:sz w:val="22"/>
        </w:rPr>
        <w:t>informal</w:t>
      </w:r>
      <w:r>
        <w:rPr>
          <w:spacing w:val="-6"/>
          <w:sz w:val="22"/>
        </w:rPr>
        <w:t> </w:t>
      </w:r>
      <w:r>
        <w:rPr>
          <w:sz w:val="22"/>
        </w:rPr>
        <w:t>resolution</w:t>
      </w:r>
      <w:r>
        <w:rPr>
          <w:spacing w:val="-6"/>
          <w:sz w:val="22"/>
        </w:rPr>
        <w:t> </w:t>
      </w:r>
      <w:r>
        <w:rPr>
          <w:sz w:val="22"/>
        </w:rPr>
        <w:t>of</w:t>
      </w:r>
      <w:r>
        <w:rPr>
          <w:spacing w:val="-6"/>
          <w:sz w:val="22"/>
        </w:rPr>
        <w:t> </w:t>
      </w:r>
      <w:r>
        <w:rPr>
          <w:sz w:val="22"/>
        </w:rPr>
        <w:t>most</w:t>
      </w:r>
      <w:r>
        <w:rPr>
          <w:spacing w:val="-5"/>
          <w:sz w:val="22"/>
        </w:rPr>
        <w:t> </w:t>
      </w:r>
      <w:r>
        <w:rPr>
          <w:sz w:val="22"/>
        </w:rPr>
        <w:t>issues</w:t>
      </w:r>
      <w:r>
        <w:rPr>
          <w:spacing w:val="-6"/>
          <w:sz w:val="22"/>
        </w:rPr>
        <w:t> </w:t>
      </w:r>
      <w:r>
        <w:rPr>
          <w:sz w:val="22"/>
        </w:rPr>
        <w:t>and</w:t>
      </w:r>
      <w:r>
        <w:rPr>
          <w:spacing w:val="-6"/>
          <w:sz w:val="22"/>
        </w:rPr>
        <w:t> </w:t>
      </w:r>
      <w:r>
        <w:rPr>
          <w:sz w:val="22"/>
        </w:rPr>
        <w:t>the generally</w:t>
      </w:r>
      <w:r>
        <w:rPr>
          <w:spacing w:val="-5"/>
          <w:sz w:val="22"/>
        </w:rPr>
        <w:t> </w:t>
      </w:r>
      <w:r>
        <w:rPr>
          <w:sz w:val="22"/>
        </w:rPr>
        <w:t>high</w:t>
      </w:r>
      <w:r>
        <w:rPr>
          <w:spacing w:val="-4"/>
          <w:sz w:val="22"/>
        </w:rPr>
        <w:t> </w:t>
      </w:r>
      <w:r>
        <w:rPr>
          <w:sz w:val="22"/>
        </w:rPr>
        <w:t>rates</w:t>
      </w:r>
      <w:r>
        <w:rPr>
          <w:spacing w:val="-4"/>
          <w:sz w:val="22"/>
        </w:rPr>
        <w:t> </w:t>
      </w:r>
      <w:r>
        <w:rPr>
          <w:sz w:val="22"/>
        </w:rPr>
        <w:t>of</w:t>
      </w:r>
      <w:r>
        <w:rPr>
          <w:spacing w:val="-5"/>
          <w:sz w:val="22"/>
        </w:rPr>
        <w:t> </w:t>
      </w:r>
      <w:r>
        <w:rPr>
          <w:sz w:val="22"/>
        </w:rPr>
        <w:t>satisfaction</w:t>
      </w:r>
      <w:r>
        <w:rPr>
          <w:spacing w:val="-4"/>
          <w:sz w:val="22"/>
        </w:rPr>
        <w:t> </w:t>
      </w:r>
      <w:r>
        <w:rPr>
          <w:sz w:val="22"/>
        </w:rPr>
        <w:t>with</w:t>
      </w:r>
      <w:r>
        <w:rPr>
          <w:spacing w:val="-4"/>
          <w:sz w:val="22"/>
        </w:rPr>
        <w:t> </w:t>
      </w:r>
      <w:r>
        <w:rPr>
          <w:sz w:val="22"/>
        </w:rPr>
        <w:t>both</w:t>
      </w:r>
      <w:r>
        <w:rPr>
          <w:spacing w:val="-4"/>
          <w:sz w:val="22"/>
        </w:rPr>
        <w:t> </w:t>
      </w:r>
      <w:r>
        <w:rPr>
          <w:sz w:val="22"/>
        </w:rPr>
        <w:t>the</w:t>
      </w:r>
      <w:r>
        <w:rPr>
          <w:spacing w:val="-5"/>
          <w:sz w:val="22"/>
        </w:rPr>
        <w:t> </w:t>
      </w:r>
      <w:r>
        <w:rPr>
          <w:sz w:val="22"/>
        </w:rPr>
        <w:t>Faculty</w:t>
      </w:r>
      <w:r>
        <w:rPr>
          <w:spacing w:val="-4"/>
          <w:sz w:val="22"/>
        </w:rPr>
        <w:t> </w:t>
      </w:r>
      <w:r>
        <w:rPr>
          <w:sz w:val="22"/>
        </w:rPr>
        <w:t>Grievance</w:t>
      </w:r>
      <w:r>
        <w:rPr>
          <w:spacing w:val="-4"/>
          <w:sz w:val="22"/>
        </w:rPr>
        <w:t> </w:t>
      </w:r>
      <w:r>
        <w:rPr>
          <w:sz w:val="22"/>
        </w:rPr>
        <w:t>office</w:t>
      </w:r>
      <w:r>
        <w:rPr>
          <w:spacing w:val="-4"/>
          <w:sz w:val="22"/>
        </w:rPr>
        <w:t> </w:t>
      </w:r>
      <w:r>
        <w:rPr>
          <w:sz w:val="22"/>
        </w:rPr>
        <w:t>and</w:t>
      </w:r>
      <w:r>
        <w:rPr>
          <w:spacing w:val="-5"/>
          <w:sz w:val="22"/>
        </w:rPr>
        <w:t> </w:t>
      </w:r>
      <w:r>
        <w:rPr>
          <w:spacing w:val="-3"/>
          <w:sz w:val="22"/>
        </w:rPr>
        <w:t>officer.</w:t>
      </w:r>
    </w:p>
    <w:p>
      <w:pPr>
        <w:pStyle w:val="ListParagraph"/>
        <w:numPr>
          <w:ilvl w:val="1"/>
          <w:numId w:val="7"/>
        </w:numPr>
        <w:tabs>
          <w:tab w:pos="1065" w:val="left" w:leader="none"/>
        </w:tabs>
        <w:spacing w:line="254" w:lineRule="auto" w:before="0" w:after="0"/>
        <w:ind w:left="820" w:right="309" w:firstLine="0"/>
        <w:jc w:val="left"/>
        <w:rPr>
          <w:sz w:val="22"/>
        </w:rPr>
      </w:pPr>
      <w:r>
        <w:rPr>
          <w:sz w:val="22"/>
        </w:rPr>
        <w:t>The</w:t>
      </w:r>
      <w:r>
        <w:rPr>
          <w:spacing w:val="-6"/>
          <w:sz w:val="22"/>
        </w:rPr>
        <w:t> </w:t>
      </w:r>
      <w:r>
        <w:rPr>
          <w:sz w:val="22"/>
        </w:rPr>
        <w:t>institution</w:t>
      </w:r>
      <w:r>
        <w:rPr>
          <w:spacing w:val="-5"/>
          <w:sz w:val="22"/>
        </w:rPr>
        <w:t> </w:t>
      </w:r>
      <w:r>
        <w:rPr>
          <w:sz w:val="22"/>
        </w:rPr>
        <w:t>consider</w:t>
      </w:r>
      <w:r>
        <w:rPr>
          <w:spacing w:val="-5"/>
          <w:sz w:val="22"/>
        </w:rPr>
        <w:t> </w:t>
      </w:r>
      <w:r>
        <w:rPr>
          <w:sz w:val="22"/>
        </w:rPr>
        <w:t>broadening</w:t>
      </w:r>
      <w:r>
        <w:rPr>
          <w:spacing w:val="-6"/>
          <w:sz w:val="22"/>
        </w:rPr>
        <w:t> </w:t>
      </w:r>
      <w:r>
        <w:rPr>
          <w:sz w:val="22"/>
        </w:rPr>
        <w:t>the</w:t>
      </w:r>
      <w:r>
        <w:rPr>
          <w:spacing w:val="-5"/>
          <w:sz w:val="22"/>
        </w:rPr>
        <w:t> </w:t>
      </w:r>
      <w:r>
        <w:rPr>
          <w:sz w:val="22"/>
        </w:rPr>
        <w:t>role</w:t>
      </w:r>
      <w:r>
        <w:rPr>
          <w:spacing w:val="-5"/>
          <w:sz w:val="22"/>
        </w:rPr>
        <w:t> </w:t>
      </w:r>
      <w:r>
        <w:rPr>
          <w:sz w:val="22"/>
        </w:rPr>
        <w:t>of</w:t>
      </w:r>
      <w:r>
        <w:rPr>
          <w:spacing w:val="-6"/>
          <w:sz w:val="22"/>
        </w:rPr>
        <w:t> </w:t>
      </w:r>
      <w:r>
        <w:rPr>
          <w:sz w:val="22"/>
        </w:rPr>
        <w:t>the</w:t>
      </w:r>
      <w:r>
        <w:rPr>
          <w:spacing w:val="-5"/>
          <w:sz w:val="22"/>
        </w:rPr>
        <w:t> </w:t>
      </w:r>
      <w:r>
        <w:rPr>
          <w:sz w:val="22"/>
        </w:rPr>
        <w:t>ombuds</w:t>
      </w:r>
      <w:r>
        <w:rPr>
          <w:spacing w:val="-5"/>
          <w:sz w:val="22"/>
        </w:rPr>
        <w:t> </w:t>
      </w:r>
      <w:r>
        <w:rPr>
          <w:sz w:val="22"/>
        </w:rPr>
        <w:t>to</w:t>
      </w:r>
      <w:r>
        <w:rPr>
          <w:spacing w:val="-6"/>
          <w:sz w:val="22"/>
        </w:rPr>
        <w:t> </w:t>
      </w:r>
      <w:r>
        <w:rPr>
          <w:sz w:val="22"/>
        </w:rPr>
        <w:t>assist</w:t>
      </w:r>
      <w:r>
        <w:rPr>
          <w:spacing w:val="-5"/>
          <w:sz w:val="22"/>
        </w:rPr>
        <w:t> </w:t>
      </w:r>
      <w:r>
        <w:rPr>
          <w:sz w:val="22"/>
        </w:rPr>
        <w:t>in</w:t>
      </w:r>
      <w:r>
        <w:rPr>
          <w:spacing w:val="-5"/>
          <w:sz w:val="22"/>
        </w:rPr>
        <w:t> </w:t>
      </w:r>
      <w:r>
        <w:rPr>
          <w:sz w:val="22"/>
        </w:rPr>
        <w:t>faculty:</w:t>
      </w:r>
      <w:r>
        <w:rPr>
          <w:spacing w:val="-5"/>
          <w:sz w:val="22"/>
        </w:rPr>
        <w:t> </w:t>
      </w:r>
      <w:r>
        <w:rPr>
          <w:sz w:val="22"/>
        </w:rPr>
        <w:t>faculty disputes while clarifying the role of the FGO as the person ensuring fidelity to the process of the grievance as opposed to the misperception that the FGO is a faculty advocate.</w:t>
      </w:r>
    </w:p>
    <w:p>
      <w:pPr>
        <w:pStyle w:val="ListParagraph"/>
        <w:numPr>
          <w:ilvl w:val="1"/>
          <w:numId w:val="7"/>
        </w:numPr>
        <w:tabs>
          <w:tab w:pos="1065" w:val="left" w:leader="none"/>
        </w:tabs>
        <w:spacing w:line="254" w:lineRule="auto" w:before="0" w:after="0"/>
        <w:ind w:left="820" w:right="167" w:firstLine="0"/>
        <w:jc w:val="left"/>
        <w:rPr>
          <w:sz w:val="22"/>
        </w:rPr>
      </w:pPr>
      <w:r>
        <w:rPr>
          <w:sz w:val="22"/>
        </w:rPr>
        <w:t>Professor</w:t>
      </w:r>
      <w:r>
        <w:rPr>
          <w:spacing w:val="-6"/>
          <w:sz w:val="22"/>
        </w:rPr>
        <w:t> </w:t>
      </w:r>
      <w:r>
        <w:rPr>
          <w:sz w:val="22"/>
        </w:rPr>
        <w:t>Villarruel</w:t>
      </w:r>
      <w:r>
        <w:rPr>
          <w:spacing w:val="-6"/>
          <w:sz w:val="22"/>
        </w:rPr>
        <w:t> </w:t>
      </w:r>
      <w:r>
        <w:rPr>
          <w:sz w:val="22"/>
        </w:rPr>
        <w:t>review</w:t>
      </w:r>
      <w:r>
        <w:rPr>
          <w:spacing w:val="-6"/>
          <w:sz w:val="22"/>
        </w:rPr>
        <w:t> </w:t>
      </w:r>
      <w:r>
        <w:rPr>
          <w:sz w:val="22"/>
        </w:rPr>
        <w:t>the</w:t>
      </w:r>
      <w:r>
        <w:rPr>
          <w:spacing w:val="-6"/>
          <w:sz w:val="22"/>
        </w:rPr>
        <w:t> </w:t>
      </w:r>
      <w:r>
        <w:rPr>
          <w:sz w:val="22"/>
        </w:rPr>
        <w:t>table</w:t>
      </w:r>
      <w:r>
        <w:rPr>
          <w:spacing w:val="-5"/>
          <w:sz w:val="22"/>
        </w:rPr>
        <w:t> </w:t>
      </w:r>
      <w:r>
        <w:rPr>
          <w:sz w:val="22"/>
        </w:rPr>
        <w:t>of</w:t>
      </w:r>
      <w:r>
        <w:rPr>
          <w:spacing w:val="-6"/>
          <w:sz w:val="22"/>
        </w:rPr>
        <w:t> </w:t>
      </w:r>
      <w:r>
        <w:rPr>
          <w:sz w:val="22"/>
        </w:rPr>
        <w:t>rankings</w:t>
      </w:r>
      <w:r>
        <w:rPr>
          <w:spacing w:val="-6"/>
          <w:sz w:val="22"/>
        </w:rPr>
        <w:t> </w:t>
      </w:r>
      <w:r>
        <w:rPr>
          <w:sz w:val="22"/>
        </w:rPr>
        <w:t>with</w:t>
      </w:r>
      <w:r>
        <w:rPr>
          <w:spacing w:val="-6"/>
          <w:sz w:val="22"/>
        </w:rPr>
        <w:t> </w:t>
      </w:r>
      <w:r>
        <w:rPr>
          <w:sz w:val="22"/>
        </w:rPr>
        <w:t>a</w:t>
      </w:r>
      <w:r>
        <w:rPr>
          <w:spacing w:val="-6"/>
          <w:sz w:val="22"/>
        </w:rPr>
        <w:t> </w:t>
      </w:r>
      <w:r>
        <w:rPr>
          <w:sz w:val="22"/>
        </w:rPr>
        <w:t>goal</w:t>
      </w:r>
      <w:r>
        <w:rPr>
          <w:spacing w:val="-5"/>
          <w:sz w:val="22"/>
        </w:rPr>
        <w:t> </w:t>
      </w:r>
      <w:r>
        <w:rPr>
          <w:sz w:val="22"/>
        </w:rPr>
        <w:t>towards</w:t>
      </w:r>
      <w:r>
        <w:rPr>
          <w:spacing w:val="-6"/>
          <w:sz w:val="22"/>
        </w:rPr>
        <w:t> </w:t>
      </w:r>
      <w:r>
        <w:rPr>
          <w:sz w:val="22"/>
        </w:rPr>
        <w:t>identifying</w:t>
      </w:r>
      <w:r>
        <w:rPr>
          <w:spacing w:val="-6"/>
          <w:sz w:val="22"/>
        </w:rPr>
        <w:t> </w:t>
      </w:r>
      <w:r>
        <w:rPr>
          <w:sz w:val="22"/>
        </w:rPr>
        <w:t>skills</w:t>
      </w:r>
      <w:r>
        <w:rPr>
          <w:spacing w:val="-6"/>
          <w:sz w:val="22"/>
        </w:rPr>
        <w:t> </w:t>
      </w:r>
      <w:r>
        <w:rPr>
          <w:sz w:val="22"/>
        </w:rPr>
        <w:t>to work on, and consider how the office might address the differences between underrepresented and other respondent</w:t>
      </w:r>
      <w:r>
        <w:rPr>
          <w:spacing w:val="-7"/>
          <w:sz w:val="22"/>
        </w:rPr>
        <w:t> </w:t>
      </w:r>
      <w:r>
        <w:rPr>
          <w:sz w:val="22"/>
        </w:rPr>
        <w:t>groups.</w:t>
      </w:r>
    </w:p>
    <w:p>
      <w:pPr>
        <w:pStyle w:val="ListParagraph"/>
        <w:numPr>
          <w:ilvl w:val="1"/>
          <w:numId w:val="7"/>
        </w:numPr>
        <w:tabs>
          <w:tab w:pos="1065" w:val="left" w:leader="none"/>
        </w:tabs>
        <w:spacing w:line="256" w:lineRule="auto" w:before="0" w:after="0"/>
        <w:ind w:left="820" w:right="207" w:firstLine="0"/>
        <w:jc w:val="left"/>
        <w:rPr>
          <w:sz w:val="22"/>
        </w:rPr>
      </w:pPr>
      <w:r>
        <w:rPr>
          <w:sz w:val="22"/>
        </w:rPr>
        <w:t>Professor</w:t>
      </w:r>
      <w:r>
        <w:rPr>
          <w:spacing w:val="-6"/>
          <w:sz w:val="22"/>
        </w:rPr>
        <w:t> </w:t>
      </w:r>
      <w:r>
        <w:rPr>
          <w:sz w:val="22"/>
        </w:rPr>
        <w:t>Villarruel</w:t>
      </w:r>
      <w:r>
        <w:rPr>
          <w:spacing w:val="-6"/>
          <w:sz w:val="22"/>
        </w:rPr>
        <w:t> </w:t>
      </w:r>
      <w:r>
        <w:rPr>
          <w:sz w:val="22"/>
        </w:rPr>
        <w:t>and</w:t>
      </w:r>
      <w:r>
        <w:rPr>
          <w:spacing w:val="-6"/>
          <w:sz w:val="22"/>
        </w:rPr>
        <w:t> </w:t>
      </w:r>
      <w:r>
        <w:rPr>
          <w:sz w:val="22"/>
        </w:rPr>
        <w:t>his</w:t>
      </w:r>
      <w:r>
        <w:rPr>
          <w:spacing w:val="-5"/>
          <w:sz w:val="22"/>
        </w:rPr>
        <w:t> </w:t>
      </w:r>
      <w:r>
        <w:rPr>
          <w:sz w:val="22"/>
        </w:rPr>
        <w:t>office</w:t>
      </w:r>
      <w:r>
        <w:rPr>
          <w:spacing w:val="-6"/>
          <w:sz w:val="22"/>
        </w:rPr>
        <w:t> </w:t>
      </w:r>
      <w:r>
        <w:rPr>
          <w:sz w:val="22"/>
        </w:rPr>
        <w:t>work</w:t>
      </w:r>
      <w:r>
        <w:rPr>
          <w:spacing w:val="-6"/>
          <w:sz w:val="22"/>
        </w:rPr>
        <w:t> </w:t>
      </w:r>
      <w:r>
        <w:rPr>
          <w:sz w:val="22"/>
        </w:rPr>
        <w:t>to</w:t>
      </w:r>
      <w:r>
        <w:rPr>
          <w:spacing w:val="-6"/>
          <w:sz w:val="22"/>
        </w:rPr>
        <w:t> </w:t>
      </w:r>
      <w:r>
        <w:rPr>
          <w:sz w:val="22"/>
        </w:rPr>
        <w:t>expand</w:t>
      </w:r>
      <w:r>
        <w:rPr>
          <w:spacing w:val="-5"/>
          <w:sz w:val="22"/>
        </w:rPr>
        <w:t> </w:t>
      </w:r>
      <w:r>
        <w:rPr>
          <w:sz w:val="22"/>
        </w:rPr>
        <w:t>knowledge</w:t>
      </w:r>
      <w:r>
        <w:rPr>
          <w:spacing w:val="-6"/>
          <w:sz w:val="22"/>
        </w:rPr>
        <w:t> </w:t>
      </w:r>
      <w:r>
        <w:rPr>
          <w:sz w:val="22"/>
        </w:rPr>
        <w:t>of</w:t>
      </w:r>
      <w:r>
        <w:rPr>
          <w:spacing w:val="-6"/>
          <w:sz w:val="22"/>
        </w:rPr>
        <w:t> </w:t>
      </w:r>
      <w:r>
        <w:rPr>
          <w:sz w:val="22"/>
        </w:rPr>
        <w:t>the</w:t>
      </w:r>
      <w:r>
        <w:rPr>
          <w:spacing w:val="-6"/>
          <w:sz w:val="22"/>
        </w:rPr>
        <w:t> </w:t>
      </w:r>
      <w:r>
        <w:rPr>
          <w:sz w:val="22"/>
        </w:rPr>
        <w:t>existence</w:t>
      </w:r>
      <w:r>
        <w:rPr>
          <w:spacing w:val="-5"/>
          <w:sz w:val="22"/>
        </w:rPr>
        <w:t> </w:t>
      </w:r>
      <w:r>
        <w:rPr>
          <w:sz w:val="22"/>
        </w:rPr>
        <w:t>and</w:t>
      </w:r>
      <w:r>
        <w:rPr>
          <w:spacing w:val="-6"/>
          <w:sz w:val="22"/>
        </w:rPr>
        <w:t> </w:t>
      </w:r>
      <w:r>
        <w:rPr>
          <w:sz w:val="22"/>
        </w:rPr>
        <w:t>role of the FGO at</w:t>
      </w:r>
      <w:r>
        <w:rPr>
          <w:spacing w:val="-5"/>
          <w:sz w:val="22"/>
        </w:rPr>
        <w:t> </w:t>
      </w:r>
      <w:r>
        <w:rPr>
          <w:sz w:val="22"/>
        </w:rPr>
        <w:t>MSU.</w:t>
      </w:r>
    </w:p>
    <w:p>
      <w:pPr>
        <w:pStyle w:val="ListParagraph"/>
        <w:numPr>
          <w:ilvl w:val="1"/>
          <w:numId w:val="7"/>
        </w:numPr>
        <w:tabs>
          <w:tab w:pos="1065" w:val="left" w:leader="none"/>
        </w:tabs>
        <w:spacing w:line="240" w:lineRule="auto" w:before="0" w:after="0"/>
        <w:ind w:left="1064" w:right="0" w:hanging="245"/>
        <w:jc w:val="left"/>
        <w:rPr>
          <w:sz w:val="22"/>
        </w:rPr>
      </w:pPr>
      <w:r>
        <w:rPr>
          <w:sz w:val="22"/>
        </w:rPr>
        <w:t>That the administration considers a merit raise for</w:t>
      </w:r>
      <w:r>
        <w:rPr>
          <w:spacing w:val="-14"/>
          <w:sz w:val="22"/>
        </w:rPr>
        <w:t> </w:t>
      </w:r>
      <w:r>
        <w:rPr>
          <w:sz w:val="22"/>
        </w:rPr>
        <w:t>FGO.</w:t>
      </w:r>
    </w:p>
    <w:p>
      <w:pPr>
        <w:pStyle w:val="BodyText"/>
        <w:rPr>
          <w:sz w:val="24"/>
        </w:rPr>
      </w:pPr>
    </w:p>
    <w:p>
      <w:pPr>
        <w:pStyle w:val="BodyText"/>
        <w:spacing w:before="10"/>
        <w:rPr>
          <w:sz w:val="28"/>
        </w:rPr>
      </w:pPr>
    </w:p>
    <w:p>
      <w:pPr>
        <w:pStyle w:val="Heading2"/>
        <w:spacing w:line="408" w:lineRule="auto"/>
        <w:ind w:right="7844"/>
      </w:pPr>
      <w:r>
        <w:rPr/>
        <w:drawing>
          <wp:anchor distT="0" distB="0" distL="0" distR="0" allowOverlap="1" layoutInCell="1" locked="0" behindDoc="0" simplePos="0" relativeHeight="12">
            <wp:simplePos x="0" y="0"/>
            <wp:positionH relativeFrom="page">
              <wp:posOffset>960537</wp:posOffset>
            </wp:positionH>
            <wp:positionV relativeFrom="paragraph">
              <wp:posOffset>582280</wp:posOffset>
            </wp:positionV>
            <wp:extent cx="4819153" cy="2576322"/>
            <wp:effectExtent l="0" t="0" r="0" b="0"/>
            <wp:wrapTopAndBottom/>
            <wp:docPr id="35" name="image18.png"/>
            <wp:cNvGraphicFramePr>
              <a:graphicFrameLocks noChangeAspect="1"/>
            </wp:cNvGraphicFramePr>
            <a:graphic>
              <a:graphicData uri="http://schemas.openxmlformats.org/drawingml/2006/picture">
                <pic:pic>
                  <pic:nvPicPr>
                    <pic:cNvPr id="36" name="image18.png"/>
                    <pic:cNvPicPr/>
                  </pic:nvPicPr>
                  <pic:blipFill>
                    <a:blip r:embed="rId23" cstate="print"/>
                    <a:stretch>
                      <a:fillRect/>
                    </a:stretch>
                  </pic:blipFill>
                  <pic:spPr>
                    <a:xfrm>
                      <a:off x="0" y="0"/>
                      <a:ext cx="4819153" cy="2576322"/>
                    </a:xfrm>
                    <a:prstGeom prst="rect">
                      <a:avLst/>
                    </a:prstGeom>
                  </pic:spPr>
                </pic:pic>
              </a:graphicData>
            </a:graphic>
          </wp:anchor>
        </w:drawing>
      </w:r>
      <w:r>
        <w:rPr/>
        <w:t>Data Tables Table 1</w:t>
      </w:r>
    </w:p>
    <w:p>
      <w:pPr>
        <w:spacing w:after="0" w:line="408" w:lineRule="auto"/>
        <w:sectPr>
          <w:pgSz w:w="12240" w:h="15840"/>
          <w:pgMar w:header="0" w:footer="724" w:top="1360" w:bottom="1000" w:left="1340" w:right="1300"/>
        </w:sectPr>
      </w:pPr>
    </w:p>
    <w:p>
      <w:pPr>
        <w:spacing w:before="80"/>
        <w:ind w:left="100" w:right="0" w:firstLine="0"/>
        <w:jc w:val="left"/>
        <w:rPr>
          <w:b/>
          <w:sz w:val="22"/>
        </w:rPr>
      </w:pPr>
      <w:r>
        <w:rPr>
          <w:b/>
          <w:spacing w:val="-4"/>
          <w:sz w:val="22"/>
        </w:rPr>
        <w:t>Table</w:t>
      </w:r>
      <w:r>
        <w:rPr>
          <w:b/>
          <w:spacing w:val="-1"/>
          <w:sz w:val="22"/>
        </w:rPr>
        <w:t> </w:t>
      </w:r>
      <w:r>
        <w:rPr>
          <w:b/>
          <w:sz w:val="22"/>
        </w:rPr>
        <w:t>2</w:t>
      </w:r>
    </w:p>
    <w:p>
      <w:pPr>
        <w:pStyle w:val="BodyText"/>
        <w:spacing w:before="6"/>
        <w:rPr>
          <w:b/>
          <w:sz w:val="15"/>
        </w:rPr>
      </w:pPr>
      <w:r>
        <w:rPr/>
        <w:drawing>
          <wp:anchor distT="0" distB="0" distL="0" distR="0" allowOverlap="1" layoutInCell="1" locked="0" behindDoc="0" simplePos="0" relativeHeight="13">
            <wp:simplePos x="0" y="0"/>
            <wp:positionH relativeFrom="page">
              <wp:posOffset>933450</wp:posOffset>
            </wp:positionH>
            <wp:positionV relativeFrom="paragraph">
              <wp:posOffset>138255</wp:posOffset>
            </wp:positionV>
            <wp:extent cx="5973318" cy="3994975"/>
            <wp:effectExtent l="0" t="0" r="0" b="0"/>
            <wp:wrapTopAndBottom/>
            <wp:docPr id="37" name="image19.png"/>
            <wp:cNvGraphicFramePr>
              <a:graphicFrameLocks noChangeAspect="1"/>
            </wp:cNvGraphicFramePr>
            <a:graphic>
              <a:graphicData uri="http://schemas.openxmlformats.org/drawingml/2006/picture">
                <pic:pic>
                  <pic:nvPicPr>
                    <pic:cNvPr id="38" name="image19.png"/>
                    <pic:cNvPicPr/>
                  </pic:nvPicPr>
                  <pic:blipFill>
                    <a:blip r:embed="rId24" cstate="print"/>
                    <a:stretch>
                      <a:fillRect/>
                    </a:stretch>
                  </pic:blipFill>
                  <pic:spPr>
                    <a:xfrm>
                      <a:off x="0" y="0"/>
                      <a:ext cx="5973318" cy="3994975"/>
                    </a:xfrm>
                    <a:prstGeom prst="rect">
                      <a:avLst/>
                    </a:prstGeom>
                  </pic:spPr>
                </pic:pic>
              </a:graphicData>
            </a:graphic>
          </wp:anchor>
        </w:drawing>
      </w:r>
    </w:p>
    <w:p>
      <w:pPr>
        <w:pStyle w:val="BodyText"/>
        <w:spacing w:before="1"/>
        <w:rPr>
          <w:b/>
        </w:rPr>
      </w:pPr>
    </w:p>
    <w:p>
      <w:pPr>
        <w:spacing w:before="0"/>
        <w:ind w:left="100" w:right="0" w:firstLine="0"/>
        <w:jc w:val="left"/>
        <w:rPr>
          <w:b/>
          <w:sz w:val="22"/>
        </w:rPr>
      </w:pPr>
      <w:r>
        <w:rPr>
          <w:b/>
          <w:spacing w:val="-4"/>
          <w:sz w:val="22"/>
        </w:rPr>
        <w:t>Table</w:t>
      </w:r>
      <w:r>
        <w:rPr>
          <w:b/>
          <w:spacing w:val="-1"/>
          <w:sz w:val="22"/>
        </w:rPr>
        <w:t> </w:t>
      </w:r>
      <w:r>
        <w:rPr>
          <w:b/>
          <w:sz w:val="22"/>
        </w:rPr>
        <w:t>3</w:t>
      </w:r>
    </w:p>
    <w:p>
      <w:pPr>
        <w:pStyle w:val="BodyText"/>
        <w:spacing w:before="6"/>
        <w:rPr>
          <w:b/>
          <w:sz w:val="15"/>
        </w:rPr>
      </w:pPr>
      <w:r>
        <w:rPr/>
        <w:drawing>
          <wp:anchor distT="0" distB="0" distL="0" distR="0" allowOverlap="1" layoutInCell="1" locked="0" behindDoc="0" simplePos="0" relativeHeight="14">
            <wp:simplePos x="0" y="0"/>
            <wp:positionH relativeFrom="page">
              <wp:posOffset>933450</wp:posOffset>
            </wp:positionH>
            <wp:positionV relativeFrom="paragraph">
              <wp:posOffset>138376</wp:posOffset>
            </wp:positionV>
            <wp:extent cx="5776334" cy="2214467"/>
            <wp:effectExtent l="0" t="0" r="0" b="0"/>
            <wp:wrapTopAndBottom/>
            <wp:docPr id="39" name="image20.png"/>
            <wp:cNvGraphicFramePr>
              <a:graphicFrameLocks noChangeAspect="1"/>
            </wp:cNvGraphicFramePr>
            <a:graphic>
              <a:graphicData uri="http://schemas.openxmlformats.org/drawingml/2006/picture">
                <pic:pic>
                  <pic:nvPicPr>
                    <pic:cNvPr id="40" name="image20.png"/>
                    <pic:cNvPicPr/>
                  </pic:nvPicPr>
                  <pic:blipFill>
                    <a:blip r:embed="rId25" cstate="print"/>
                    <a:stretch>
                      <a:fillRect/>
                    </a:stretch>
                  </pic:blipFill>
                  <pic:spPr>
                    <a:xfrm>
                      <a:off x="0" y="0"/>
                      <a:ext cx="5776334" cy="2214467"/>
                    </a:xfrm>
                    <a:prstGeom prst="rect">
                      <a:avLst/>
                    </a:prstGeom>
                  </pic:spPr>
                </pic:pic>
              </a:graphicData>
            </a:graphic>
          </wp:anchor>
        </w:drawing>
      </w:r>
    </w:p>
    <w:p>
      <w:pPr>
        <w:spacing w:after="0"/>
        <w:rPr>
          <w:sz w:val="15"/>
        </w:rPr>
        <w:sectPr>
          <w:pgSz w:w="12240" w:h="15840"/>
          <w:pgMar w:header="0" w:footer="724" w:top="1360" w:bottom="1000" w:left="1340" w:right="1300"/>
        </w:sectPr>
      </w:pPr>
    </w:p>
    <w:p>
      <w:pPr>
        <w:spacing w:before="80"/>
        <w:ind w:left="100" w:right="0" w:firstLine="0"/>
        <w:jc w:val="left"/>
        <w:rPr>
          <w:b/>
          <w:sz w:val="22"/>
        </w:rPr>
      </w:pPr>
      <w:r>
        <w:rPr>
          <w:b/>
          <w:spacing w:val="-4"/>
          <w:sz w:val="22"/>
        </w:rPr>
        <w:t>Table</w:t>
      </w:r>
      <w:r>
        <w:rPr>
          <w:b/>
          <w:spacing w:val="-1"/>
          <w:sz w:val="22"/>
        </w:rPr>
        <w:t> </w:t>
      </w:r>
      <w:r>
        <w:rPr>
          <w:b/>
          <w:sz w:val="22"/>
        </w:rPr>
        <w:t>4</w:t>
      </w:r>
    </w:p>
    <w:p>
      <w:pPr>
        <w:pStyle w:val="BodyText"/>
        <w:spacing w:before="3"/>
        <w:rPr>
          <w:b/>
          <w:sz w:val="18"/>
        </w:rPr>
      </w:pPr>
      <w:r>
        <w:rPr/>
        <w:drawing>
          <wp:anchor distT="0" distB="0" distL="0" distR="0" allowOverlap="1" layoutInCell="1" locked="0" behindDoc="0" simplePos="0" relativeHeight="15">
            <wp:simplePos x="0" y="0"/>
            <wp:positionH relativeFrom="page">
              <wp:posOffset>959691</wp:posOffset>
            </wp:positionH>
            <wp:positionV relativeFrom="paragraph">
              <wp:posOffset>158195</wp:posOffset>
            </wp:positionV>
            <wp:extent cx="5917091" cy="4087939"/>
            <wp:effectExtent l="0" t="0" r="0" b="0"/>
            <wp:wrapTopAndBottom/>
            <wp:docPr id="41" name="image21.png"/>
            <wp:cNvGraphicFramePr>
              <a:graphicFrameLocks noChangeAspect="1"/>
            </wp:cNvGraphicFramePr>
            <a:graphic>
              <a:graphicData uri="http://schemas.openxmlformats.org/drawingml/2006/picture">
                <pic:pic>
                  <pic:nvPicPr>
                    <pic:cNvPr id="42" name="image21.png"/>
                    <pic:cNvPicPr/>
                  </pic:nvPicPr>
                  <pic:blipFill>
                    <a:blip r:embed="rId26" cstate="print"/>
                    <a:stretch>
                      <a:fillRect/>
                    </a:stretch>
                  </pic:blipFill>
                  <pic:spPr>
                    <a:xfrm>
                      <a:off x="0" y="0"/>
                      <a:ext cx="5917091" cy="4087939"/>
                    </a:xfrm>
                    <a:prstGeom prst="rect">
                      <a:avLst/>
                    </a:prstGeom>
                  </pic:spPr>
                </pic:pic>
              </a:graphicData>
            </a:graphic>
          </wp:anchor>
        </w:drawing>
      </w:r>
    </w:p>
    <w:p>
      <w:pPr>
        <w:pStyle w:val="BodyText"/>
        <w:rPr>
          <w:b/>
          <w:sz w:val="24"/>
        </w:rPr>
      </w:pPr>
    </w:p>
    <w:p>
      <w:pPr>
        <w:pStyle w:val="BodyText"/>
        <w:rPr>
          <w:b/>
          <w:sz w:val="24"/>
        </w:rPr>
      </w:pPr>
    </w:p>
    <w:p>
      <w:pPr>
        <w:pStyle w:val="BodyText"/>
        <w:spacing w:before="9"/>
        <w:rPr>
          <w:b/>
          <w:sz w:val="20"/>
        </w:rPr>
      </w:pPr>
    </w:p>
    <w:p>
      <w:pPr>
        <w:spacing w:before="1"/>
        <w:ind w:left="100" w:right="0" w:firstLine="0"/>
        <w:jc w:val="left"/>
        <w:rPr>
          <w:b/>
          <w:sz w:val="22"/>
        </w:rPr>
      </w:pPr>
      <w:r>
        <w:rPr>
          <w:b/>
          <w:spacing w:val="-4"/>
          <w:sz w:val="22"/>
        </w:rPr>
        <w:t>Table</w:t>
      </w:r>
      <w:r>
        <w:rPr>
          <w:b/>
          <w:spacing w:val="-1"/>
          <w:sz w:val="22"/>
        </w:rPr>
        <w:t> </w:t>
      </w:r>
      <w:r>
        <w:rPr>
          <w:b/>
          <w:sz w:val="22"/>
        </w:rPr>
        <w:t>5</w:t>
      </w:r>
    </w:p>
    <w:p>
      <w:pPr>
        <w:pStyle w:val="BodyText"/>
        <w:spacing w:before="1"/>
        <w:rPr>
          <w:b/>
          <w:sz w:val="18"/>
        </w:rPr>
      </w:pPr>
      <w:r>
        <w:rPr/>
        <w:drawing>
          <wp:anchor distT="0" distB="0" distL="0" distR="0" allowOverlap="1" layoutInCell="1" locked="0" behindDoc="0" simplePos="0" relativeHeight="16">
            <wp:simplePos x="0" y="0"/>
            <wp:positionH relativeFrom="page">
              <wp:posOffset>946150</wp:posOffset>
            </wp:positionH>
            <wp:positionV relativeFrom="paragraph">
              <wp:posOffset>157343</wp:posOffset>
            </wp:positionV>
            <wp:extent cx="5782253" cy="1257300"/>
            <wp:effectExtent l="0" t="0" r="0" b="0"/>
            <wp:wrapTopAndBottom/>
            <wp:docPr id="43" name="image22.jpeg"/>
            <wp:cNvGraphicFramePr>
              <a:graphicFrameLocks noChangeAspect="1"/>
            </wp:cNvGraphicFramePr>
            <a:graphic>
              <a:graphicData uri="http://schemas.openxmlformats.org/drawingml/2006/picture">
                <pic:pic>
                  <pic:nvPicPr>
                    <pic:cNvPr id="44" name="image22.jpeg"/>
                    <pic:cNvPicPr/>
                  </pic:nvPicPr>
                  <pic:blipFill>
                    <a:blip r:embed="rId27" cstate="print"/>
                    <a:stretch>
                      <a:fillRect/>
                    </a:stretch>
                  </pic:blipFill>
                  <pic:spPr>
                    <a:xfrm>
                      <a:off x="0" y="0"/>
                      <a:ext cx="5782253" cy="1257300"/>
                    </a:xfrm>
                    <a:prstGeom prst="rect">
                      <a:avLst/>
                    </a:prstGeom>
                  </pic:spPr>
                </pic:pic>
              </a:graphicData>
            </a:graphic>
          </wp:anchor>
        </w:drawing>
      </w:r>
    </w:p>
    <w:p>
      <w:pPr>
        <w:spacing w:after="0"/>
        <w:rPr>
          <w:sz w:val="18"/>
        </w:rPr>
        <w:sectPr>
          <w:pgSz w:w="12240" w:h="15840"/>
          <w:pgMar w:header="0" w:footer="724" w:top="1360" w:bottom="1000" w:left="1340" w:right="1300"/>
        </w:sectPr>
      </w:pPr>
    </w:p>
    <w:p>
      <w:pPr>
        <w:spacing w:before="80"/>
        <w:ind w:left="100" w:right="0" w:firstLine="0"/>
        <w:jc w:val="left"/>
        <w:rPr>
          <w:b/>
          <w:sz w:val="22"/>
        </w:rPr>
      </w:pPr>
      <w:r>
        <w:rPr>
          <w:b/>
          <w:sz w:val="22"/>
        </w:rPr>
        <w:t>Tables 6</w:t>
      </w:r>
    </w:p>
    <w:p>
      <w:pPr>
        <w:pStyle w:val="BodyText"/>
        <w:spacing w:before="4"/>
        <w:rPr>
          <w:b/>
          <w:sz w:val="16"/>
        </w:rPr>
      </w:pPr>
      <w:r>
        <w:rPr/>
        <w:drawing>
          <wp:anchor distT="0" distB="0" distL="0" distR="0" allowOverlap="1" layoutInCell="1" locked="0" behindDoc="0" simplePos="0" relativeHeight="17">
            <wp:simplePos x="0" y="0"/>
            <wp:positionH relativeFrom="page">
              <wp:posOffset>933450</wp:posOffset>
            </wp:positionH>
            <wp:positionV relativeFrom="paragraph">
              <wp:posOffset>144570</wp:posOffset>
            </wp:positionV>
            <wp:extent cx="5965143" cy="4135374"/>
            <wp:effectExtent l="0" t="0" r="0" b="0"/>
            <wp:wrapTopAndBottom/>
            <wp:docPr id="45" name="image23.png"/>
            <wp:cNvGraphicFramePr>
              <a:graphicFrameLocks noChangeAspect="1"/>
            </wp:cNvGraphicFramePr>
            <a:graphic>
              <a:graphicData uri="http://schemas.openxmlformats.org/drawingml/2006/picture">
                <pic:pic>
                  <pic:nvPicPr>
                    <pic:cNvPr id="46" name="image23.png"/>
                    <pic:cNvPicPr/>
                  </pic:nvPicPr>
                  <pic:blipFill>
                    <a:blip r:embed="rId28" cstate="print"/>
                    <a:stretch>
                      <a:fillRect/>
                    </a:stretch>
                  </pic:blipFill>
                  <pic:spPr>
                    <a:xfrm>
                      <a:off x="0" y="0"/>
                      <a:ext cx="5965143" cy="4135374"/>
                    </a:xfrm>
                    <a:prstGeom prst="rect">
                      <a:avLst/>
                    </a:prstGeom>
                  </pic:spPr>
                </pic:pic>
              </a:graphicData>
            </a:graphic>
          </wp:anchor>
        </w:drawing>
      </w:r>
      <w:r>
        <w:rPr/>
        <w:drawing>
          <wp:anchor distT="0" distB="0" distL="0" distR="0" allowOverlap="1" layoutInCell="1" locked="0" behindDoc="0" simplePos="0" relativeHeight="18">
            <wp:simplePos x="0" y="0"/>
            <wp:positionH relativeFrom="page">
              <wp:posOffset>952500</wp:posOffset>
            </wp:positionH>
            <wp:positionV relativeFrom="paragraph">
              <wp:posOffset>4417708</wp:posOffset>
            </wp:positionV>
            <wp:extent cx="5708142" cy="1829371"/>
            <wp:effectExtent l="0" t="0" r="0" b="0"/>
            <wp:wrapTopAndBottom/>
            <wp:docPr id="47" name="image24.png"/>
            <wp:cNvGraphicFramePr>
              <a:graphicFrameLocks noChangeAspect="1"/>
            </wp:cNvGraphicFramePr>
            <a:graphic>
              <a:graphicData uri="http://schemas.openxmlformats.org/drawingml/2006/picture">
                <pic:pic>
                  <pic:nvPicPr>
                    <pic:cNvPr id="48" name="image24.png"/>
                    <pic:cNvPicPr/>
                  </pic:nvPicPr>
                  <pic:blipFill>
                    <a:blip r:embed="rId29" cstate="print"/>
                    <a:stretch>
                      <a:fillRect/>
                    </a:stretch>
                  </pic:blipFill>
                  <pic:spPr>
                    <a:xfrm>
                      <a:off x="0" y="0"/>
                      <a:ext cx="5708142" cy="1829371"/>
                    </a:xfrm>
                    <a:prstGeom prst="rect">
                      <a:avLst/>
                    </a:prstGeom>
                  </pic:spPr>
                </pic:pic>
              </a:graphicData>
            </a:graphic>
          </wp:anchor>
        </w:drawing>
      </w:r>
    </w:p>
    <w:p>
      <w:pPr>
        <w:pStyle w:val="BodyText"/>
        <w:spacing w:before="10"/>
        <w:rPr>
          <w:b/>
          <w:sz w:val="12"/>
        </w:rPr>
      </w:pPr>
    </w:p>
    <w:p>
      <w:pPr>
        <w:spacing w:after="0"/>
        <w:rPr>
          <w:sz w:val="12"/>
        </w:rPr>
        <w:sectPr>
          <w:pgSz w:w="12240" w:h="15840"/>
          <w:pgMar w:header="0" w:footer="724" w:top="1360" w:bottom="1000" w:left="1340" w:right="1300"/>
        </w:sectPr>
      </w:pPr>
    </w:p>
    <w:p>
      <w:pPr>
        <w:spacing w:before="80"/>
        <w:ind w:left="100" w:right="0" w:firstLine="0"/>
        <w:jc w:val="left"/>
        <w:rPr>
          <w:b/>
          <w:sz w:val="22"/>
        </w:rPr>
      </w:pPr>
      <w:r>
        <w:rPr/>
        <w:drawing>
          <wp:anchor distT="0" distB="0" distL="0" distR="0" allowOverlap="1" layoutInCell="1" locked="0" behindDoc="0" simplePos="0" relativeHeight="19">
            <wp:simplePos x="0" y="0"/>
            <wp:positionH relativeFrom="page">
              <wp:posOffset>946150</wp:posOffset>
            </wp:positionH>
            <wp:positionV relativeFrom="paragraph">
              <wp:posOffset>241746</wp:posOffset>
            </wp:positionV>
            <wp:extent cx="5839301" cy="3848195"/>
            <wp:effectExtent l="0" t="0" r="0" b="0"/>
            <wp:wrapTopAndBottom/>
            <wp:docPr id="49" name="image25.png"/>
            <wp:cNvGraphicFramePr>
              <a:graphicFrameLocks noChangeAspect="1"/>
            </wp:cNvGraphicFramePr>
            <a:graphic>
              <a:graphicData uri="http://schemas.openxmlformats.org/drawingml/2006/picture">
                <pic:pic>
                  <pic:nvPicPr>
                    <pic:cNvPr id="50" name="image25.png"/>
                    <pic:cNvPicPr/>
                  </pic:nvPicPr>
                  <pic:blipFill>
                    <a:blip r:embed="rId30" cstate="print"/>
                    <a:stretch>
                      <a:fillRect/>
                    </a:stretch>
                  </pic:blipFill>
                  <pic:spPr>
                    <a:xfrm>
                      <a:off x="0" y="0"/>
                      <a:ext cx="5839301" cy="3848195"/>
                    </a:xfrm>
                    <a:prstGeom prst="rect">
                      <a:avLst/>
                    </a:prstGeom>
                  </pic:spPr>
                </pic:pic>
              </a:graphicData>
            </a:graphic>
          </wp:anchor>
        </w:drawing>
      </w:r>
      <w:r>
        <w:rPr>
          <w:b/>
          <w:spacing w:val="-4"/>
          <w:sz w:val="22"/>
        </w:rPr>
        <w:t>Table</w:t>
      </w:r>
      <w:r>
        <w:rPr>
          <w:b/>
          <w:spacing w:val="-1"/>
          <w:sz w:val="22"/>
        </w:rPr>
        <w:t> </w:t>
      </w:r>
      <w:r>
        <w:rPr>
          <w:b/>
          <w:sz w:val="22"/>
        </w:rPr>
        <w:t>7</w:t>
      </w:r>
    </w:p>
    <w:p>
      <w:pPr>
        <w:pStyle w:val="BodyText"/>
        <w:rPr>
          <w:b/>
          <w:sz w:val="24"/>
        </w:rPr>
      </w:pPr>
    </w:p>
    <w:p>
      <w:pPr>
        <w:pStyle w:val="BodyText"/>
        <w:rPr>
          <w:b/>
          <w:sz w:val="19"/>
        </w:rPr>
      </w:pPr>
    </w:p>
    <w:p>
      <w:pPr>
        <w:spacing w:before="0"/>
        <w:ind w:left="100" w:right="0" w:firstLine="0"/>
        <w:jc w:val="left"/>
        <w:rPr>
          <w:b/>
          <w:sz w:val="22"/>
        </w:rPr>
      </w:pPr>
      <w:r>
        <w:rPr>
          <w:b/>
          <w:spacing w:val="-4"/>
          <w:sz w:val="22"/>
        </w:rPr>
        <w:t>Table</w:t>
      </w:r>
      <w:r>
        <w:rPr>
          <w:b/>
          <w:spacing w:val="-1"/>
          <w:sz w:val="22"/>
        </w:rPr>
        <w:t> </w:t>
      </w:r>
      <w:r>
        <w:rPr>
          <w:b/>
          <w:sz w:val="22"/>
        </w:rPr>
        <w:t>8</w:t>
      </w:r>
    </w:p>
    <w:p>
      <w:pPr>
        <w:pStyle w:val="BodyText"/>
        <w:rPr>
          <w:b/>
          <w:sz w:val="20"/>
        </w:rPr>
      </w:pPr>
    </w:p>
    <w:p>
      <w:pPr>
        <w:pStyle w:val="BodyText"/>
        <w:spacing w:before="7"/>
        <w:rPr>
          <w:b/>
          <w:sz w:val="28"/>
        </w:rPr>
      </w:pPr>
      <w:r>
        <w:rPr/>
        <w:drawing>
          <wp:anchor distT="0" distB="0" distL="0" distR="0" allowOverlap="1" layoutInCell="1" locked="0" behindDoc="0" simplePos="0" relativeHeight="20">
            <wp:simplePos x="0" y="0"/>
            <wp:positionH relativeFrom="page">
              <wp:posOffset>1168400</wp:posOffset>
            </wp:positionH>
            <wp:positionV relativeFrom="paragraph">
              <wp:posOffset>233723</wp:posOffset>
            </wp:positionV>
            <wp:extent cx="5424022" cy="3048952"/>
            <wp:effectExtent l="0" t="0" r="0" b="0"/>
            <wp:wrapTopAndBottom/>
            <wp:docPr id="51" name="image26.jpeg"/>
            <wp:cNvGraphicFramePr>
              <a:graphicFrameLocks noChangeAspect="1"/>
            </wp:cNvGraphicFramePr>
            <a:graphic>
              <a:graphicData uri="http://schemas.openxmlformats.org/drawingml/2006/picture">
                <pic:pic>
                  <pic:nvPicPr>
                    <pic:cNvPr id="52" name="image26.jpeg"/>
                    <pic:cNvPicPr/>
                  </pic:nvPicPr>
                  <pic:blipFill>
                    <a:blip r:embed="rId31" cstate="print"/>
                    <a:stretch>
                      <a:fillRect/>
                    </a:stretch>
                  </pic:blipFill>
                  <pic:spPr>
                    <a:xfrm>
                      <a:off x="0" y="0"/>
                      <a:ext cx="5424022" cy="3048952"/>
                    </a:xfrm>
                    <a:prstGeom prst="rect">
                      <a:avLst/>
                    </a:prstGeom>
                  </pic:spPr>
                </pic:pic>
              </a:graphicData>
            </a:graphic>
          </wp:anchor>
        </w:drawing>
      </w:r>
    </w:p>
    <w:p>
      <w:pPr>
        <w:spacing w:after="0"/>
        <w:rPr>
          <w:sz w:val="28"/>
        </w:rPr>
        <w:sectPr>
          <w:pgSz w:w="12240" w:h="15840"/>
          <w:pgMar w:header="0" w:footer="724" w:top="1360" w:bottom="1000" w:left="1340" w:right="1300"/>
        </w:sectPr>
      </w:pPr>
    </w:p>
    <w:p>
      <w:pPr>
        <w:spacing w:before="80"/>
        <w:ind w:left="100" w:right="0" w:firstLine="0"/>
        <w:jc w:val="left"/>
        <w:rPr>
          <w:b/>
          <w:sz w:val="24"/>
        </w:rPr>
      </w:pPr>
      <w:r>
        <w:rPr>
          <w:rFonts w:ascii="Times New Roman"/>
          <w:spacing w:val="-60"/>
          <w:sz w:val="24"/>
          <w:u w:val="thick"/>
        </w:rPr>
        <w:t> </w:t>
      </w:r>
      <w:r>
        <w:rPr>
          <w:b/>
          <w:sz w:val="24"/>
          <w:u w:val="thick"/>
        </w:rPr>
        <w:t>Appendix 4, Review of the FG Office and FG Official from the 2022 Calendar </w:t>
      </w:r>
      <w:r>
        <w:rPr>
          <w:b/>
          <w:spacing w:val="-4"/>
          <w:sz w:val="24"/>
          <w:u w:val="thick"/>
        </w:rPr>
        <w:t>Year</w:t>
      </w:r>
    </w:p>
    <w:p>
      <w:pPr>
        <w:pStyle w:val="BodyText"/>
        <w:spacing w:before="41"/>
        <w:ind w:left="100"/>
      </w:pPr>
      <w:r>
        <w:rPr/>
        <w:t>April 6, 2023</w:t>
      </w:r>
    </w:p>
    <w:p>
      <w:pPr>
        <w:pStyle w:val="BodyText"/>
        <w:spacing w:before="7"/>
        <w:rPr>
          <w:sz w:val="28"/>
        </w:rPr>
      </w:pPr>
    </w:p>
    <w:p>
      <w:pPr>
        <w:pStyle w:val="BodyText"/>
        <w:tabs>
          <w:tab w:pos="819" w:val="left" w:leader="none"/>
        </w:tabs>
        <w:ind w:left="100"/>
      </w:pPr>
      <w:r>
        <w:rPr>
          <w:spacing w:val="-9"/>
        </w:rPr>
        <w:t>To:</w:t>
        <w:tab/>
      </w:r>
      <w:r>
        <w:rPr>
          <w:spacing w:val="-5"/>
        </w:rPr>
        <w:t>Dr. </w:t>
      </w:r>
      <w:r>
        <w:rPr/>
        <w:t>Jamie Allan,</w:t>
      </w:r>
      <w:r>
        <w:rPr>
          <w:spacing w:val="1"/>
        </w:rPr>
        <w:t> </w:t>
      </w:r>
      <w:r>
        <w:rPr/>
        <w:t>Chair</w:t>
      </w:r>
    </w:p>
    <w:p>
      <w:pPr>
        <w:pStyle w:val="BodyText"/>
        <w:spacing w:before="38"/>
        <w:ind w:left="820"/>
      </w:pPr>
      <w:r>
        <w:rPr/>
        <w:t>University Committee on Faculty Affairs</w:t>
      </w:r>
    </w:p>
    <w:p>
      <w:pPr>
        <w:pStyle w:val="BodyText"/>
        <w:spacing w:before="7"/>
        <w:rPr>
          <w:sz w:val="28"/>
        </w:rPr>
      </w:pPr>
    </w:p>
    <w:p>
      <w:pPr>
        <w:pStyle w:val="BodyText"/>
        <w:ind w:left="100"/>
      </w:pPr>
      <w:r>
        <w:rPr/>
        <w:t>From: Dr. Peter White, Chair</w:t>
      </w:r>
    </w:p>
    <w:p>
      <w:pPr>
        <w:pStyle w:val="BodyText"/>
        <w:spacing w:before="38"/>
        <w:ind w:left="820"/>
      </w:pPr>
      <w:r>
        <w:rPr/>
        <w:t>UCFA Personnel Subcommittee</w:t>
      </w:r>
    </w:p>
    <w:p>
      <w:pPr>
        <w:pStyle w:val="BodyText"/>
        <w:spacing w:before="7"/>
        <w:rPr>
          <w:sz w:val="28"/>
        </w:rPr>
      </w:pPr>
    </w:p>
    <w:p>
      <w:pPr>
        <w:pStyle w:val="BodyText"/>
        <w:ind w:left="100"/>
      </w:pPr>
      <w:r>
        <w:rPr/>
        <w:t>Subject: Faculty Grievance Official--Annual Review</w:t>
      </w:r>
    </w:p>
    <w:p>
      <w:pPr>
        <w:pStyle w:val="BodyText"/>
        <w:spacing w:before="6"/>
        <w:rPr>
          <w:sz w:val="28"/>
        </w:rPr>
      </w:pPr>
    </w:p>
    <w:p>
      <w:pPr>
        <w:pStyle w:val="BodyText"/>
        <w:spacing w:line="276" w:lineRule="auto" w:before="1"/>
        <w:ind w:left="100" w:right="242"/>
      </w:pPr>
      <w:r>
        <w:rPr/>
        <w:t>The Personnel Subcommittee of the University Committee on Faculty Affairs has initiated its annual review of the Faculty Grievance Official, Dr. Francisco Villarruel, and the Faculty Grievance Office for the calendar year 2022. The below review was compiled for the purposes of being included in the broader 3-year review of Dr. Villarruel, which has been assembled for the purposes of making a recommendation to the Provost regarding Dr. Villarruel’s reappointment. At the time of the writing of this 3-year review document, this 2022 annual review of the FG Official and the FG Office has not been reviewed by the UFCA Personnel Subcommittee.</w:t>
      </w:r>
    </w:p>
    <w:p>
      <w:pPr>
        <w:pStyle w:val="BodyText"/>
        <w:spacing w:before="3"/>
        <w:rPr>
          <w:sz w:val="25"/>
        </w:rPr>
      </w:pPr>
    </w:p>
    <w:p>
      <w:pPr>
        <w:pStyle w:val="BodyText"/>
        <w:spacing w:line="276" w:lineRule="auto"/>
        <w:ind w:left="100" w:right="117"/>
      </w:pPr>
      <w:r>
        <w:rPr/>
        <w:t>The survey used this year was the same as that used in 2021 (other than minor wording changes).</w:t>
      </w:r>
    </w:p>
    <w:p>
      <w:pPr>
        <w:pStyle w:val="BodyText"/>
        <w:spacing w:before="3"/>
        <w:rPr>
          <w:sz w:val="25"/>
        </w:rPr>
      </w:pPr>
    </w:p>
    <w:p>
      <w:pPr>
        <w:pStyle w:val="BodyText"/>
        <w:spacing w:line="276" w:lineRule="auto"/>
        <w:ind w:left="100"/>
      </w:pPr>
      <w:r>
        <w:rPr/>
        <w:t>The UCFA is extremely grateful to Karen Clark, Senior Project Manager in the Office of Survey Research who surveyed those who used the services of the Faculty Grievance Office during the 2022 calendar year.</w:t>
      </w:r>
    </w:p>
    <w:p>
      <w:pPr>
        <w:pStyle w:val="BodyText"/>
        <w:spacing w:before="4"/>
        <w:rPr>
          <w:sz w:val="25"/>
        </w:rPr>
      </w:pPr>
    </w:p>
    <w:p>
      <w:pPr>
        <w:pStyle w:val="BodyText"/>
        <w:spacing w:line="276" w:lineRule="auto"/>
        <w:ind w:left="100" w:right="117"/>
      </w:pPr>
      <w:r>
        <w:rPr/>
        <w:t>Surveys were sent to 85 individuals whose names were provided by the Faculty Grievance Office. Responses were received from 32 individuals, corresponding to a 37.6% response rate. This rate is comparable to the survey response rates from the preceding three years (i.e., response rates were 51.2% in 2021, 38% in 2020, and 31.2% in 2019.)</w:t>
      </w:r>
    </w:p>
    <w:p>
      <w:pPr>
        <w:pStyle w:val="BodyText"/>
        <w:spacing w:before="3"/>
        <w:rPr>
          <w:sz w:val="25"/>
        </w:rPr>
      </w:pPr>
    </w:p>
    <w:p>
      <w:pPr>
        <w:pStyle w:val="BodyText"/>
        <w:spacing w:line="276" w:lineRule="auto"/>
        <w:ind w:left="100" w:right="117"/>
      </w:pPr>
      <w:r>
        <w:rPr/>
        <w:t>In 2022, 11 formal grievances were filed. Of these, five resulted in jurisdictional findings, two were filed as appeals, one was referred to OIE, one is being held in abeyance, and two are pending resolution. The FGO engaged in 99 zoom, phone, and in-person conferences with faculty, administrators, and other relevant individuals. The FGO also engaged in 543 pieces of correspondence over email with the same constituency. These engagement rates are similar to the rates in 2019 and 2021; engagement rates in 2021 were lower, possibly as a result of the pandemic.</w:t>
      </w:r>
    </w:p>
    <w:p>
      <w:pPr>
        <w:spacing w:after="0" w:line="276" w:lineRule="auto"/>
        <w:sectPr>
          <w:pgSz w:w="12240" w:h="15840"/>
          <w:pgMar w:header="0" w:footer="724" w:top="1360" w:bottom="1000" w:left="1340" w:right="1300"/>
        </w:sectPr>
      </w:pPr>
    </w:p>
    <w:p>
      <w:pPr>
        <w:pStyle w:val="Heading2"/>
        <w:spacing w:before="80"/>
      </w:pPr>
      <w:r>
        <w:rPr/>
        <w:t>Survey Demographics: Use of the Office in 2022</w:t>
      </w:r>
    </w:p>
    <w:p>
      <w:pPr>
        <w:pStyle w:val="BodyText"/>
        <w:spacing w:before="6"/>
        <w:rPr>
          <w:b/>
          <w:sz w:val="28"/>
        </w:rPr>
      </w:pPr>
    </w:p>
    <w:p>
      <w:pPr>
        <w:pStyle w:val="BodyText"/>
        <w:spacing w:line="276" w:lineRule="auto" w:before="1"/>
        <w:ind w:left="100" w:right="117"/>
      </w:pPr>
      <w:r>
        <w:rPr/>
        <w:t>Table 1 shows the assignment distribution of survey respondents who engaged the services of the FGO in 2022. The largest group of survey respondents were Faculty in the tenure system (50%), followed by Administrators (31.3%) and faculty outside of the tenure system (6.3%).</w:t>
      </w:r>
    </w:p>
    <w:p>
      <w:pPr>
        <w:pStyle w:val="BodyText"/>
        <w:spacing w:before="3"/>
        <w:rPr>
          <w:sz w:val="25"/>
        </w:rPr>
      </w:pPr>
    </w:p>
    <w:p>
      <w:pPr>
        <w:pStyle w:val="BodyText"/>
        <w:spacing w:line="276" w:lineRule="auto"/>
        <w:ind w:left="100"/>
      </w:pPr>
      <w:r>
        <w:rPr/>
        <w:t>Of those who completed the survey, 43.3% identified themselves as a member of an underrepresented group at MSU (Table 2).</w:t>
      </w:r>
    </w:p>
    <w:p>
      <w:pPr>
        <w:pStyle w:val="BodyText"/>
        <w:spacing w:before="3"/>
        <w:rPr>
          <w:sz w:val="25"/>
        </w:rPr>
      </w:pPr>
    </w:p>
    <w:p>
      <w:pPr>
        <w:pStyle w:val="BodyText"/>
        <w:spacing w:line="276" w:lineRule="auto"/>
        <w:ind w:left="100"/>
      </w:pPr>
      <w:r>
        <w:rPr/>
        <w:t>Among survey respondents, the majority of interactions with the FGO consisted of general questions (75%) and informal resolution-oriented discussions (59%; Table 3). Note, the case numbers sum to greater than 100% because respondents could choose more than one answer.</w:t>
      </w:r>
    </w:p>
    <w:p>
      <w:pPr>
        <w:pStyle w:val="BodyText"/>
        <w:spacing w:before="4"/>
        <w:rPr>
          <w:sz w:val="25"/>
        </w:rPr>
      </w:pPr>
    </w:p>
    <w:p>
      <w:pPr>
        <w:pStyle w:val="BodyText"/>
        <w:spacing w:line="276" w:lineRule="auto"/>
        <w:ind w:left="100"/>
      </w:pPr>
      <w:r>
        <w:rPr/>
        <w:t>A majority of survey respondents interacted with the FGO for between 1 and 4 hours (69.8%; Table 4).</w:t>
      </w:r>
    </w:p>
    <w:p>
      <w:pPr>
        <w:pStyle w:val="BodyText"/>
        <w:spacing w:before="3"/>
        <w:rPr>
          <w:sz w:val="25"/>
        </w:rPr>
      </w:pPr>
    </w:p>
    <w:p>
      <w:pPr>
        <w:pStyle w:val="Heading2"/>
      </w:pPr>
      <w:r>
        <w:rPr/>
        <w:t>Informal/Formal Resolution</w:t>
      </w:r>
    </w:p>
    <w:p>
      <w:pPr>
        <w:pStyle w:val="BodyText"/>
        <w:spacing w:before="7"/>
        <w:rPr>
          <w:b/>
          <w:sz w:val="28"/>
        </w:rPr>
      </w:pPr>
    </w:p>
    <w:p>
      <w:pPr>
        <w:pStyle w:val="BodyText"/>
        <w:spacing w:line="276" w:lineRule="auto"/>
        <w:ind w:left="100" w:right="187"/>
      </w:pPr>
      <w:r>
        <w:rPr/>
        <w:t>The majority of cases involving survey respondents did not involve a formal grievance (90.6%; Table 5.) Those who engaged in a formal grievance process all agreed that Dr. Villarruel adhered to the appropriate Faculty Grievance Policy.</w:t>
      </w:r>
    </w:p>
    <w:p>
      <w:pPr>
        <w:pStyle w:val="BodyText"/>
        <w:spacing w:before="4"/>
        <w:rPr>
          <w:sz w:val="25"/>
        </w:rPr>
      </w:pPr>
    </w:p>
    <w:p>
      <w:pPr>
        <w:pStyle w:val="Heading2"/>
      </w:pPr>
      <w:r>
        <w:rPr/>
        <w:t>Impressions of the Office Staff</w:t>
      </w:r>
    </w:p>
    <w:p>
      <w:pPr>
        <w:pStyle w:val="BodyText"/>
        <w:spacing w:line="254" w:lineRule="auto" w:before="175"/>
        <w:ind w:left="100" w:right="242"/>
      </w:pPr>
      <w:r>
        <w:rPr/>
        <w:t>Survey respondents were also polled on their interactions with the Faculty Grievance Office Staff (Table 6). Of respondents who provided feedback in their interactions with the FGO Staff, all but one </w:t>
      </w:r>
      <w:r>
        <w:rPr>
          <w:i/>
        </w:rPr>
        <w:t>Somewhat </w:t>
      </w:r>
      <w:r>
        <w:rPr/>
        <w:t>or </w:t>
      </w:r>
      <w:r>
        <w:rPr>
          <w:i/>
        </w:rPr>
        <w:t>Strongly Agreed </w:t>
      </w:r>
      <w:r>
        <w:rPr/>
        <w:t>that the staff members were accessible and approachable, knowledgeable of university policies and regulations, maintained confidentiality, responded in a timely manner, were able to answer questions, and conducted work in a timely manner. The dissenting survey respondent </w:t>
      </w:r>
      <w:r>
        <w:rPr>
          <w:i/>
        </w:rPr>
        <w:t>Strongly Disagreed </w:t>
      </w:r>
      <w:r>
        <w:rPr/>
        <w:t>with most of these FGO Staff qualities, and was </w:t>
      </w:r>
      <w:r>
        <w:rPr>
          <w:i/>
        </w:rPr>
        <w:t>Neutral </w:t>
      </w:r>
      <w:r>
        <w:rPr/>
        <w:t>on the matters of policy knowledge and confidentiality.</w:t>
      </w:r>
    </w:p>
    <w:p>
      <w:pPr>
        <w:pStyle w:val="Heading2"/>
        <w:spacing w:before="160"/>
      </w:pPr>
      <w:r>
        <w:rPr/>
        <w:t>Impressions about Interactions with Professor Francisco Villarruel</w:t>
      </w:r>
    </w:p>
    <w:p>
      <w:pPr>
        <w:pStyle w:val="BodyText"/>
        <w:spacing w:line="254" w:lineRule="auto" w:before="175"/>
        <w:ind w:left="100" w:right="100"/>
      </w:pPr>
      <w:r>
        <w:rPr/>
        <w:t>Out of the 32 respondents that completed the survey and allowed use of their data, 100% had interactions with Professor Villarruel (see Table 7 for full response data). Dr. Villarruel received his highest ratings for being approachable, maintaining confidentiality, engaging respondents with clear communication, knowledge of university policies and regulations, responding to inquiries in a timely manner, and scheduling appointments in a convenient and timely manner. In addition, Dr. Villarruel received exemplary scores across the vast majority of the 23 questions posed regarding his interactions with survey respondents (Table 7).</w:t>
      </w:r>
    </w:p>
    <w:p>
      <w:pPr>
        <w:pStyle w:val="BodyText"/>
        <w:spacing w:line="254" w:lineRule="auto" w:before="160"/>
        <w:ind w:left="100" w:right="117"/>
      </w:pPr>
      <w:r>
        <w:rPr/>
        <w:t>Two questions where Dr. Villarruel received more mixed scores probed survey respondent opinion on his ability to </w:t>
      </w:r>
      <w:r>
        <w:rPr>
          <w:i/>
        </w:rPr>
        <w:t>act as an effective mediator between parties </w:t>
      </w:r>
      <w:r>
        <w:rPr/>
        <w:t>and his ability as an </w:t>
      </w:r>
      <w:r>
        <w:rPr>
          <w:i/>
        </w:rPr>
        <w:t>effective problem solver. </w:t>
      </w:r>
      <w:r>
        <w:rPr/>
        <w:t>In these instances, upwards of 70% of respondents </w:t>
      </w:r>
      <w:r>
        <w:rPr>
          <w:i/>
        </w:rPr>
        <w:t>Somewhat </w:t>
      </w:r>
      <w:r>
        <w:rPr/>
        <w:t>or </w:t>
      </w:r>
      <w:r>
        <w:rPr>
          <w:i/>
        </w:rPr>
        <w:t>Strongly </w:t>
      </w:r>
      <w:r>
        <w:rPr/>
        <w:t>agreed that Dr. Villarruel, with the remaining ~30% providing neutral or dissenting ratings. The open-ended comments provided by respondents at the end of the survey </w:t>
      </w:r>
      <w:r>
        <w:rPr>
          <w:i/>
        </w:rPr>
        <w:t>might </w:t>
      </w:r>
      <w:r>
        <w:rPr/>
        <w:t>provide some clarity on the reasons for some of these lower scores. For example, three</w:t>
      </w:r>
    </w:p>
    <w:p>
      <w:pPr>
        <w:spacing w:after="0" w:line="254" w:lineRule="auto"/>
        <w:sectPr>
          <w:pgSz w:w="12240" w:h="15840"/>
          <w:pgMar w:header="0" w:footer="724" w:top="1360" w:bottom="1000" w:left="1340" w:right="1300"/>
        </w:sectPr>
      </w:pPr>
    </w:p>
    <w:p>
      <w:pPr>
        <w:pStyle w:val="BodyText"/>
        <w:spacing w:line="254" w:lineRule="auto" w:before="80"/>
        <w:ind w:left="100" w:right="100"/>
      </w:pPr>
      <w:r>
        <w:rPr/>
        <w:t>comments expressed dissatisfaction that the Faculty Grievance Official/Office were not better advocates for faculty in disputes and grievance processes. This reflects a misunderstanding of the role of the FG Office and FG Official. In one dissenting comment, the respondent felt that Dr. Villarruel was overly focused on reaching an informal resolution, and felt discouraged from entering into a formal grievance process that the FGO felt the respondent “wouldn’t win.” They then concluded the comment wondering whether there was a hidden agenda of the FG Office/Official to discourage cases from formal proceedings.</w:t>
      </w:r>
    </w:p>
    <w:p>
      <w:pPr>
        <w:pStyle w:val="Heading2"/>
        <w:spacing w:before="160"/>
      </w:pPr>
      <w:r>
        <w:rPr/>
        <w:t>Underrepresented Groups</w:t>
      </w:r>
    </w:p>
    <w:p>
      <w:pPr>
        <w:pStyle w:val="BodyText"/>
        <w:spacing w:line="254" w:lineRule="auto" w:before="175"/>
        <w:ind w:left="100" w:right="190"/>
      </w:pPr>
      <w:r>
        <w:rPr/>
        <w:t>Respondents who self-identified as being a member of an underrepresented group (n = 13) were generally less-satisfied with their interactions with the FG Official than respondents who did not self-identify as being a member of an underrepresented group (n = 17). Although all scores were more positive than negative (Table 8), most notable amongst the lower scores was regarding respondent opinion on whether Dr. Villarruel </w:t>
      </w:r>
      <w:r>
        <w:rPr>
          <w:i/>
        </w:rPr>
        <w:t>was an effective mediator between </w:t>
      </w:r>
      <w:r>
        <w:rPr>
          <w:i/>
        </w:rPr>
        <w:t>parties</w:t>
      </w:r>
      <w:r>
        <w:rPr>
          <w:b/>
          <w:i/>
        </w:rPr>
        <w:t>, </w:t>
      </w:r>
      <w:r>
        <w:rPr/>
        <w:t>where 44% </w:t>
      </w:r>
      <w:r>
        <w:rPr>
          <w:i/>
        </w:rPr>
        <w:t>Strongly Disagreed</w:t>
      </w:r>
      <w:r>
        <w:rPr/>
        <w:t>. In following up with Dr. Villarruel, he provided these reflections, and two example scenarios:</w:t>
      </w:r>
    </w:p>
    <w:p>
      <w:pPr>
        <w:pStyle w:val="BodyText"/>
        <w:tabs>
          <w:tab w:pos="7399" w:val="left" w:leader="none"/>
        </w:tabs>
        <w:spacing w:before="160"/>
        <w:ind w:left="100"/>
        <w:rPr>
          <w:rFonts w:ascii="Times New Roman" w:hAnsi="Times New Roman"/>
        </w:rPr>
      </w:pPr>
      <w:r>
        <w:rPr/>
        <w:t>—</w:t>
      </w:r>
      <w:r>
        <w:rPr>
          <w:rFonts w:ascii="Times New Roman" w:hAnsi="Times New Roman"/>
          <w:u w:val="dotted"/>
        </w:rPr>
        <w:t> </w:t>
        <w:tab/>
      </w:r>
    </w:p>
    <w:p>
      <w:pPr>
        <w:spacing w:before="175"/>
        <w:ind w:left="100" w:right="0" w:firstLine="0"/>
        <w:jc w:val="left"/>
        <w:rPr>
          <w:i/>
          <w:sz w:val="22"/>
        </w:rPr>
      </w:pPr>
      <w:r>
        <w:rPr>
          <w:i/>
          <w:sz w:val="22"/>
        </w:rPr>
        <w:t>From Correspondence from Dr Villarruel to Dr. White on 3/28/2023 and 3/29/023</w:t>
      </w:r>
    </w:p>
    <w:p>
      <w:pPr>
        <w:spacing w:line="254" w:lineRule="auto" w:before="175"/>
        <w:ind w:left="100" w:right="117" w:firstLine="0"/>
        <w:jc w:val="left"/>
        <w:rPr>
          <w:i/>
          <w:sz w:val="22"/>
        </w:rPr>
      </w:pPr>
      <w:r>
        <w:rPr>
          <w:i/>
          <w:sz w:val="22"/>
        </w:rPr>
        <w:t>[I wonder] this is tied to their disappointment that their issues are not always supported by policy </w:t>
      </w:r>
      <w:r>
        <w:rPr>
          <w:i/>
          <w:sz w:val="22"/>
        </w:rPr>
        <w:t>as much as they hoped. Often, time is spent helping individuals to identify the appropriate policy and this itself is both laborious and eye opening for grievant. They begin to see that there may not be the desired recourse.</w:t>
      </w:r>
    </w:p>
    <w:p>
      <w:pPr>
        <w:pStyle w:val="BodyText"/>
        <w:spacing w:before="160"/>
        <w:ind w:left="100"/>
      </w:pPr>
      <w:r>
        <w:rPr/>
        <w:t>…..</w:t>
      </w:r>
    </w:p>
    <w:p>
      <w:pPr>
        <w:spacing w:line="254" w:lineRule="auto" w:before="175"/>
        <w:ind w:left="100" w:right="181" w:firstLine="0"/>
        <w:jc w:val="left"/>
        <w:rPr>
          <w:i/>
          <w:sz w:val="22"/>
        </w:rPr>
      </w:pPr>
      <w:r>
        <w:rPr>
          <w:i/>
          <w:sz w:val="22"/>
        </w:rPr>
        <w:t>An example – a faculty member was not pleased with the approach utilized by the unit director. </w:t>
      </w:r>
      <w:r>
        <w:rPr>
          <w:i/>
          <w:sz w:val="22"/>
        </w:rPr>
        <w:t>However, as defined in the Unit bylaws, the unit director was conducting unit business in accordance with the existing bylaws. The faculty member did not agree with what was stated in the bylaws. The faculty member insisted that the unit director was acting in a way that was inequitable. We discussed alternatives (e.g., that they were within their rights to bring it to the attention of the unit to propose modifications of policy) but that from a review of the unity bylaws the chair was following the bylaws. Moreover, we discussed what the risk/benefit of their pursuing the issue would do to the long-term climate in the unit, and whether there were informal ways that could be approached to address the issue of concern. Did the faculty member (a person of color) get the desired outcome? Perhaps, and then again, maybe not.</w:t>
      </w:r>
    </w:p>
    <w:p>
      <w:pPr>
        <w:pStyle w:val="BodyText"/>
        <w:spacing w:before="160"/>
        <w:ind w:left="100"/>
      </w:pPr>
      <w:r>
        <w:rPr/>
        <w:t>……</w:t>
      </w:r>
    </w:p>
    <w:p>
      <w:pPr>
        <w:spacing w:line="254" w:lineRule="auto" w:before="176"/>
        <w:ind w:left="100" w:right="0" w:firstLine="0"/>
        <w:jc w:val="left"/>
        <w:rPr>
          <w:i/>
          <w:sz w:val="22"/>
        </w:rPr>
      </w:pPr>
      <w:r>
        <w:rPr>
          <w:i/>
          <w:sz w:val="22"/>
        </w:rPr>
        <w:t>I continue to strive, and enroll in webinars dealing with meditation and persons from </w:t>
      </w:r>
      <w:r>
        <w:rPr>
          <w:i/>
          <w:sz w:val="22"/>
        </w:rPr>
        <w:t>underrepresented groups.</w:t>
      </w:r>
    </w:p>
    <w:p>
      <w:pPr>
        <w:pStyle w:val="BodyText"/>
        <w:tabs>
          <w:tab w:pos="7399" w:val="left" w:leader="none"/>
        </w:tabs>
        <w:spacing w:before="160"/>
        <w:ind w:left="100"/>
        <w:rPr>
          <w:rFonts w:ascii="Times New Roman" w:hAnsi="Times New Roman"/>
        </w:rPr>
      </w:pPr>
      <w:r>
        <w:rPr/>
        <w:t>—</w:t>
      </w:r>
      <w:r>
        <w:rPr>
          <w:rFonts w:ascii="Times New Roman" w:hAnsi="Times New Roman"/>
          <w:u w:val="dotted"/>
        </w:rPr>
        <w:t> </w:t>
        <w:tab/>
      </w:r>
    </w:p>
    <w:p>
      <w:pPr>
        <w:spacing w:before="175"/>
        <w:ind w:left="100" w:right="0" w:firstLine="0"/>
        <w:jc w:val="left"/>
        <w:rPr>
          <w:i/>
          <w:sz w:val="22"/>
        </w:rPr>
      </w:pPr>
      <w:r>
        <w:rPr>
          <w:i/>
          <w:sz w:val="22"/>
        </w:rPr>
        <w:t>From Correspondence from Dr Villarruel to Dr. White on 3//31/2023</w:t>
      </w:r>
    </w:p>
    <w:p>
      <w:pPr>
        <w:spacing w:line="254" w:lineRule="auto" w:before="175"/>
        <w:ind w:left="100" w:right="117" w:firstLine="0"/>
        <w:jc w:val="left"/>
        <w:rPr>
          <w:i/>
          <w:sz w:val="22"/>
        </w:rPr>
      </w:pPr>
      <w:r>
        <w:rPr>
          <w:i/>
          <w:sz w:val="22"/>
        </w:rPr>
        <w:t>Early fall, we received a document (well over 50 pages) from a faculty member (African </w:t>
      </w:r>
      <w:r>
        <w:rPr>
          <w:i/>
          <w:sz w:val="22"/>
        </w:rPr>
        <w:t>American) [who] was reassigned [their] teaching responsibilities. The faculty member is a tenured full professor. There were multiple issues leading to the reassignment (i.e., SIRS, student complaints) that were mentioned by the faculty member. Also, throughout [their written</w:t>
      </w:r>
    </w:p>
    <w:p>
      <w:pPr>
        <w:spacing w:after="0" w:line="254" w:lineRule="auto"/>
        <w:jc w:val="left"/>
        <w:rPr>
          <w:sz w:val="22"/>
        </w:rPr>
        <w:sectPr>
          <w:pgSz w:w="12240" w:h="15840"/>
          <w:pgMar w:header="0" w:footer="724" w:top="1360" w:bottom="1000" w:left="1340" w:right="1300"/>
        </w:sectPr>
      </w:pPr>
    </w:p>
    <w:p>
      <w:pPr>
        <w:spacing w:line="254" w:lineRule="auto" w:before="80"/>
        <w:ind w:left="100" w:right="0" w:firstLine="0"/>
        <w:jc w:val="left"/>
        <w:rPr>
          <w:i/>
          <w:sz w:val="22"/>
        </w:rPr>
      </w:pPr>
      <w:r>
        <w:rPr>
          <w:i/>
          <w:sz w:val="22"/>
        </w:rPr>
        <w:t>request] the faculty member raised the issue that there were historical acts of discriminatory </w:t>
      </w:r>
      <w:r>
        <w:rPr>
          <w:i/>
          <w:sz w:val="22"/>
        </w:rPr>
        <w:t>practices that had impacted their standing within the unit. The term “discrimination” was used numerous times.</w:t>
      </w:r>
    </w:p>
    <w:p>
      <w:pPr>
        <w:pStyle w:val="BodyText"/>
        <w:spacing w:before="3"/>
        <w:rPr>
          <w:i/>
          <w:sz w:val="23"/>
        </w:rPr>
      </w:pPr>
    </w:p>
    <w:p>
      <w:pPr>
        <w:spacing w:line="254" w:lineRule="auto" w:before="0"/>
        <w:ind w:left="100" w:right="210" w:firstLine="0"/>
        <w:jc w:val="left"/>
        <w:rPr>
          <w:i/>
          <w:sz w:val="22"/>
        </w:rPr>
      </w:pPr>
      <w:r>
        <w:rPr>
          <w:i/>
          <w:sz w:val="22"/>
        </w:rPr>
        <w:t>[My] initial response to the faculty member was that if they wanted to process this matter </w:t>
      </w:r>
      <w:r>
        <w:rPr>
          <w:i/>
          <w:sz w:val="22"/>
        </w:rPr>
        <w:t>through the Faculty Grievance Office, the term ‘discrimination’ would need to be removed as OIE has jurisdiction over MSU’s Anti Discrimination Policy (ADP). The faculty member disagreed and stated that they did not trust OIE, and instead wanted the FGO to process this. The FGP [Faculty Grievance Policy] was shared, along with the specific language that states that the FGO does not have jurisdiction on issues related to Title IX. Despite the documentation provided, the faculty member insisted that the FGO did in fact have jurisdictional responsibility to process their concerns, with the focus on historical (over 20 years) perceived discriminatory actions that they believe were directed at them.</w:t>
      </w:r>
    </w:p>
    <w:p>
      <w:pPr>
        <w:pStyle w:val="BodyText"/>
        <w:spacing w:before="4"/>
        <w:rPr>
          <w:i/>
          <w:sz w:val="23"/>
        </w:rPr>
      </w:pPr>
    </w:p>
    <w:p>
      <w:pPr>
        <w:pStyle w:val="BodyText"/>
        <w:tabs>
          <w:tab w:pos="7399" w:val="left" w:leader="none"/>
        </w:tabs>
        <w:ind w:left="100"/>
        <w:rPr>
          <w:rFonts w:ascii="Times New Roman" w:hAnsi="Times New Roman"/>
        </w:rPr>
      </w:pPr>
      <w:r>
        <w:rPr/>
        <w:t>—</w:t>
      </w:r>
      <w:r>
        <w:rPr>
          <w:rFonts w:ascii="Times New Roman" w:hAnsi="Times New Roman"/>
          <w:u w:val="dotted"/>
        </w:rPr>
        <w:t> </w:t>
        <w:tab/>
      </w:r>
    </w:p>
    <w:p>
      <w:pPr>
        <w:pStyle w:val="Heading2"/>
        <w:spacing w:before="175"/>
      </w:pPr>
      <w:r>
        <w:rPr/>
        <w:t>Open-Ended Comments</w:t>
      </w:r>
    </w:p>
    <w:p>
      <w:pPr>
        <w:pStyle w:val="BodyText"/>
        <w:spacing w:before="175"/>
        <w:ind w:left="100"/>
      </w:pPr>
      <w:r>
        <w:rPr/>
        <w:t>The survey allowed for open-ended comments and suggestions for improvement.</w:t>
      </w:r>
    </w:p>
    <w:p>
      <w:pPr>
        <w:pStyle w:val="BodyText"/>
        <w:spacing w:before="7"/>
        <w:rPr>
          <w:sz w:val="28"/>
        </w:rPr>
      </w:pPr>
    </w:p>
    <w:p>
      <w:pPr>
        <w:pStyle w:val="BodyText"/>
        <w:spacing w:line="276" w:lineRule="auto"/>
        <w:ind w:left="100" w:right="242"/>
      </w:pPr>
      <w:r>
        <w:rPr/>
        <w:t>There were comments commending Dr. Villarruel. Thirteen survey respondents provided general comments. Of these, seven of these were positive, commending Dr. Villarruel for his work in his role as the FG Official. Three comments were critical of the technical jurisdiction of the FG Office itself; three were critical (or implied criticism) of Dr Villarruel’s performance. A separate open-ended question probed respondents for suggested improvements; 12 respondents provided a response. Within these, the most common sentiment (n = 4) was that the grievance process itself should be run through an office that is external to MSU to ensure that it is truly an “unbiased third party.” The other comments predominantly consisted of either praise or critique of Dr. Villarruel, often directly citing either a favorable or unfavorable outcome (respectively) of their grievance experience.</w:t>
      </w:r>
    </w:p>
    <w:p>
      <w:pPr>
        <w:pStyle w:val="BodyText"/>
        <w:spacing w:before="4"/>
        <w:rPr>
          <w:sz w:val="25"/>
        </w:rPr>
      </w:pPr>
    </w:p>
    <w:p>
      <w:pPr>
        <w:pStyle w:val="Heading2"/>
      </w:pPr>
      <w:r>
        <w:rPr/>
        <w:t>Conclusions and Recommendations</w:t>
      </w:r>
    </w:p>
    <w:p>
      <w:pPr>
        <w:pStyle w:val="BodyText"/>
        <w:spacing w:before="7"/>
        <w:rPr>
          <w:b/>
          <w:sz w:val="24"/>
        </w:rPr>
      </w:pPr>
    </w:p>
    <w:p>
      <w:pPr>
        <w:pStyle w:val="BodyText"/>
        <w:spacing w:line="254" w:lineRule="auto"/>
        <w:ind w:left="100" w:right="117"/>
      </w:pPr>
      <w:r>
        <w:rPr/>
        <w:t>Overall, the ratings across the survey were positive with no areas seen as especially problematic.</w:t>
      </w:r>
    </w:p>
    <w:p>
      <w:pPr>
        <w:pStyle w:val="BodyText"/>
        <w:spacing w:before="4"/>
        <w:rPr>
          <w:sz w:val="23"/>
        </w:rPr>
      </w:pPr>
    </w:p>
    <w:p>
      <w:pPr>
        <w:pStyle w:val="BodyText"/>
        <w:spacing w:line="254" w:lineRule="auto"/>
        <w:ind w:left="100"/>
      </w:pPr>
      <w:r>
        <w:rPr/>
        <w:t>The UCFA makes no recommendations stemming from this year’s annual review in lieu of the forthcoming 3-year review and report of Dr. Villarruel’s work in his tenure as the FG Official.</w:t>
      </w:r>
    </w:p>
    <w:p>
      <w:pPr>
        <w:spacing w:after="0" w:line="254" w:lineRule="auto"/>
        <w:sectPr>
          <w:pgSz w:w="12240" w:h="15840"/>
          <w:pgMar w:header="0" w:footer="724" w:top="1360" w:bottom="1000" w:left="1340" w:right="1300"/>
        </w:sectPr>
      </w:pPr>
    </w:p>
    <w:p>
      <w:pPr>
        <w:pStyle w:val="Heading2"/>
        <w:spacing w:line="408" w:lineRule="auto" w:before="80"/>
        <w:ind w:right="8269"/>
      </w:pPr>
      <w:r>
        <w:rPr/>
        <w:t>Data </w:t>
      </w:r>
      <w:r>
        <w:rPr>
          <w:spacing w:val="-4"/>
        </w:rPr>
        <w:t>Tables Table</w:t>
      </w:r>
      <w:r>
        <w:rPr>
          <w:spacing w:val="-1"/>
        </w:rPr>
        <w:t> </w:t>
      </w:r>
      <w:r>
        <w:rPr/>
        <w:t>1</w:t>
      </w:r>
    </w:p>
    <w:p>
      <w:pPr>
        <w:pStyle w:val="BodyText"/>
        <w:spacing w:before="7"/>
        <w:rPr>
          <w:b/>
          <w:sz w:val="10"/>
        </w:rPr>
      </w:pPr>
      <w:r>
        <w:rPr/>
        <w:drawing>
          <wp:anchor distT="0" distB="0" distL="0" distR="0" allowOverlap="1" layoutInCell="1" locked="0" behindDoc="0" simplePos="0" relativeHeight="21">
            <wp:simplePos x="0" y="0"/>
            <wp:positionH relativeFrom="page">
              <wp:posOffset>1016176</wp:posOffset>
            </wp:positionH>
            <wp:positionV relativeFrom="paragraph">
              <wp:posOffset>102535</wp:posOffset>
            </wp:positionV>
            <wp:extent cx="5868601" cy="1901761"/>
            <wp:effectExtent l="0" t="0" r="0" b="0"/>
            <wp:wrapTopAndBottom/>
            <wp:docPr id="53" name="image27.jpeg"/>
            <wp:cNvGraphicFramePr>
              <a:graphicFrameLocks noChangeAspect="1"/>
            </wp:cNvGraphicFramePr>
            <a:graphic>
              <a:graphicData uri="http://schemas.openxmlformats.org/drawingml/2006/picture">
                <pic:pic>
                  <pic:nvPicPr>
                    <pic:cNvPr id="54" name="image27.jpeg"/>
                    <pic:cNvPicPr/>
                  </pic:nvPicPr>
                  <pic:blipFill>
                    <a:blip r:embed="rId32" cstate="print"/>
                    <a:stretch>
                      <a:fillRect/>
                    </a:stretch>
                  </pic:blipFill>
                  <pic:spPr>
                    <a:xfrm>
                      <a:off x="0" y="0"/>
                      <a:ext cx="5868601" cy="1901761"/>
                    </a:xfrm>
                    <a:prstGeom prst="rect">
                      <a:avLst/>
                    </a:prstGeom>
                  </pic:spPr>
                </pic:pic>
              </a:graphicData>
            </a:graphic>
          </wp:anchor>
        </w:drawing>
      </w:r>
    </w:p>
    <w:p>
      <w:pPr>
        <w:pStyle w:val="BodyText"/>
        <w:rPr>
          <w:b/>
          <w:sz w:val="24"/>
        </w:rPr>
      </w:pPr>
    </w:p>
    <w:p>
      <w:pPr>
        <w:spacing w:before="139"/>
        <w:ind w:left="100" w:right="0" w:firstLine="0"/>
        <w:jc w:val="left"/>
        <w:rPr>
          <w:b/>
          <w:sz w:val="22"/>
        </w:rPr>
      </w:pPr>
      <w:r>
        <w:rPr>
          <w:b/>
          <w:spacing w:val="-4"/>
          <w:sz w:val="22"/>
        </w:rPr>
        <w:t>Table</w:t>
      </w:r>
      <w:r>
        <w:rPr>
          <w:b/>
          <w:spacing w:val="-1"/>
          <w:sz w:val="22"/>
        </w:rPr>
        <w:t> </w:t>
      </w:r>
      <w:r>
        <w:rPr>
          <w:b/>
          <w:sz w:val="22"/>
        </w:rPr>
        <w:t>2</w:t>
      </w:r>
    </w:p>
    <w:p>
      <w:pPr>
        <w:pStyle w:val="BodyText"/>
        <w:spacing w:before="1"/>
        <w:rPr>
          <w:b/>
          <w:sz w:val="25"/>
        </w:rPr>
      </w:pPr>
      <w:r>
        <w:rPr/>
        <w:drawing>
          <wp:anchor distT="0" distB="0" distL="0" distR="0" allowOverlap="1" layoutInCell="1" locked="0" behindDoc="0" simplePos="0" relativeHeight="22">
            <wp:simplePos x="0" y="0"/>
            <wp:positionH relativeFrom="page">
              <wp:posOffset>1015823</wp:posOffset>
            </wp:positionH>
            <wp:positionV relativeFrom="paragraph">
              <wp:posOffset>208024</wp:posOffset>
            </wp:positionV>
            <wp:extent cx="5781980" cy="867537"/>
            <wp:effectExtent l="0" t="0" r="0" b="0"/>
            <wp:wrapTopAndBottom/>
            <wp:docPr id="55" name="image28.png"/>
            <wp:cNvGraphicFramePr>
              <a:graphicFrameLocks noChangeAspect="1"/>
            </wp:cNvGraphicFramePr>
            <a:graphic>
              <a:graphicData uri="http://schemas.openxmlformats.org/drawingml/2006/picture">
                <pic:pic>
                  <pic:nvPicPr>
                    <pic:cNvPr id="56" name="image28.png"/>
                    <pic:cNvPicPr/>
                  </pic:nvPicPr>
                  <pic:blipFill>
                    <a:blip r:embed="rId33" cstate="print"/>
                    <a:stretch>
                      <a:fillRect/>
                    </a:stretch>
                  </pic:blipFill>
                  <pic:spPr>
                    <a:xfrm>
                      <a:off x="0" y="0"/>
                      <a:ext cx="5781980" cy="867537"/>
                    </a:xfrm>
                    <a:prstGeom prst="rect">
                      <a:avLst/>
                    </a:prstGeom>
                  </pic:spPr>
                </pic:pic>
              </a:graphicData>
            </a:graphic>
          </wp:anchor>
        </w:drawing>
      </w:r>
    </w:p>
    <w:p>
      <w:pPr>
        <w:pStyle w:val="BodyText"/>
        <w:spacing w:before="1"/>
        <w:rPr>
          <w:b/>
          <w:sz w:val="35"/>
        </w:rPr>
      </w:pPr>
    </w:p>
    <w:p>
      <w:pPr>
        <w:spacing w:before="1"/>
        <w:ind w:left="100" w:right="0" w:firstLine="0"/>
        <w:jc w:val="left"/>
        <w:rPr>
          <w:b/>
          <w:sz w:val="22"/>
        </w:rPr>
      </w:pPr>
      <w:r>
        <w:rPr>
          <w:b/>
          <w:sz w:val="22"/>
        </w:rPr>
        <w:t>Table 3</w:t>
      </w:r>
    </w:p>
    <w:p>
      <w:pPr>
        <w:pStyle w:val="BodyText"/>
        <w:spacing w:before="4"/>
        <w:rPr>
          <w:b/>
          <w:sz w:val="21"/>
        </w:rPr>
      </w:pPr>
      <w:r>
        <w:rPr/>
        <w:drawing>
          <wp:anchor distT="0" distB="0" distL="0" distR="0" allowOverlap="1" layoutInCell="1" locked="0" behindDoc="0" simplePos="0" relativeHeight="23">
            <wp:simplePos x="0" y="0"/>
            <wp:positionH relativeFrom="page">
              <wp:posOffset>1004467</wp:posOffset>
            </wp:positionH>
            <wp:positionV relativeFrom="paragraph">
              <wp:posOffset>181100</wp:posOffset>
            </wp:positionV>
            <wp:extent cx="5723252" cy="2193417"/>
            <wp:effectExtent l="0" t="0" r="0" b="0"/>
            <wp:wrapTopAndBottom/>
            <wp:docPr id="57" name="image29.jpeg"/>
            <wp:cNvGraphicFramePr>
              <a:graphicFrameLocks noChangeAspect="1"/>
            </wp:cNvGraphicFramePr>
            <a:graphic>
              <a:graphicData uri="http://schemas.openxmlformats.org/drawingml/2006/picture">
                <pic:pic>
                  <pic:nvPicPr>
                    <pic:cNvPr id="58" name="image29.jpeg"/>
                    <pic:cNvPicPr/>
                  </pic:nvPicPr>
                  <pic:blipFill>
                    <a:blip r:embed="rId34" cstate="print"/>
                    <a:stretch>
                      <a:fillRect/>
                    </a:stretch>
                  </pic:blipFill>
                  <pic:spPr>
                    <a:xfrm>
                      <a:off x="0" y="0"/>
                      <a:ext cx="5723252" cy="2193417"/>
                    </a:xfrm>
                    <a:prstGeom prst="rect">
                      <a:avLst/>
                    </a:prstGeom>
                  </pic:spPr>
                </pic:pic>
              </a:graphicData>
            </a:graphic>
          </wp:anchor>
        </w:drawing>
      </w:r>
    </w:p>
    <w:p>
      <w:pPr>
        <w:spacing w:after="0"/>
        <w:rPr>
          <w:sz w:val="21"/>
        </w:rPr>
        <w:sectPr>
          <w:pgSz w:w="12240" w:h="15840"/>
          <w:pgMar w:header="0" w:footer="724" w:top="1360" w:bottom="1000" w:left="1340" w:right="1300"/>
        </w:sectPr>
      </w:pPr>
    </w:p>
    <w:p>
      <w:pPr>
        <w:spacing w:before="80"/>
        <w:ind w:left="100" w:right="0" w:firstLine="0"/>
        <w:jc w:val="left"/>
        <w:rPr>
          <w:b/>
          <w:sz w:val="22"/>
        </w:rPr>
      </w:pPr>
      <w:r>
        <w:rPr>
          <w:b/>
          <w:spacing w:val="-4"/>
          <w:sz w:val="22"/>
        </w:rPr>
        <w:t>Table</w:t>
      </w:r>
      <w:r>
        <w:rPr>
          <w:b/>
          <w:spacing w:val="-1"/>
          <w:sz w:val="22"/>
        </w:rPr>
        <w:t> </w:t>
      </w:r>
      <w:r>
        <w:rPr>
          <w:b/>
          <w:sz w:val="22"/>
        </w:rPr>
        <w:t>4</w:t>
      </w:r>
    </w:p>
    <w:p>
      <w:pPr>
        <w:pStyle w:val="BodyText"/>
        <w:spacing w:before="8"/>
        <w:rPr>
          <w:b/>
          <w:sz w:val="20"/>
        </w:rPr>
      </w:pPr>
      <w:r>
        <w:rPr/>
        <w:drawing>
          <wp:anchor distT="0" distB="0" distL="0" distR="0" allowOverlap="1" layoutInCell="1" locked="0" behindDoc="0" simplePos="0" relativeHeight="24">
            <wp:simplePos x="0" y="0"/>
            <wp:positionH relativeFrom="page">
              <wp:posOffset>1015648</wp:posOffset>
            </wp:positionH>
            <wp:positionV relativeFrom="paragraph">
              <wp:posOffset>176330</wp:posOffset>
            </wp:positionV>
            <wp:extent cx="5839871" cy="976407"/>
            <wp:effectExtent l="0" t="0" r="0" b="0"/>
            <wp:wrapTopAndBottom/>
            <wp:docPr id="59" name="image30.png"/>
            <wp:cNvGraphicFramePr>
              <a:graphicFrameLocks noChangeAspect="1"/>
            </wp:cNvGraphicFramePr>
            <a:graphic>
              <a:graphicData uri="http://schemas.openxmlformats.org/drawingml/2006/picture">
                <pic:pic>
                  <pic:nvPicPr>
                    <pic:cNvPr id="60" name="image30.png"/>
                    <pic:cNvPicPr/>
                  </pic:nvPicPr>
                  <pic:blipFill>
                    <a:blip r:embed="rId35" cstate="print"/>
                    <a:stretch>
                      <a:fillRect/>
                    </a:stretch>
                  </pic:blipFill>
                  <pic:spPr>
                    <a:xfrm>
                      <a:off x="0" y="0"/>
                      <a:ext cx="5839871" cy="976407"/>
                    </a:xfrm>
                    <a:prstGeom prst="rect">
                      <a:avLst/>
                    </a:prstGeom>
                  </pic:spPr>
                </pic:pic>
              </a:graphicData>
            </a:graphic>
          </wp:anchor>
        </w:drawing>
      </w:r>
    </w:p>
    <w:p>
      <w:pPr>
        <w:pStyle w:val="BodyText"/>
        <w:rPr>
          <w:b/>
          <w:sz w:val="24"/>
        </w:rPr>
      </w:pPr>
    </w:p>
    <w:p>
      <w:pPr>
        <w:spacing w:before="171"/>
        <w:ind w:left="100" w:right="0" w:firstLine="0"/>
        <w:jc w:val="left"/>
        <w:rPr>
          <w:b/>
          <w:sz w:val="22"/>
        </w:rPr>
      </w:pPr>
      <w:r>
        <w:rPr>
          <w:b/>
          <w:spacing w:val="-4"/>
          <w:sz w:val="22"/>
        </w:rPr>
        <w:t>Table</w:t>
      </w:r>
      <w:r>
        <w:rPr>
          <w:b/>
          <w:spacing w:val="-1"/>
          <w:sz w:val="22"/>
        </w:rPr>
        <w:t> </w:t>
      </w:r>
      <w:r>
        <w:rPr>
          <w:b/>
          <w:sz w:val="22"/>
        </w:rPr>
        <w:t>5</w:t>
      </w:r>
    </w:p>
    <w:p>
      <w:pPr>
        <w:pStyle w:val="BodyText"/>
        <w:spacing w:before="8"/>
        <w:rPr>
          <w:b/>
          <w:sz w:val="14"/>
        </w:rPr>
      </w:pPr>
      <w:r>
        <w:rPr/>
        <w:drawing>
          <wp:anchor distT="0" distB="0" distL="0" distR="0" allowOverlap="1" layoutInCell="1" locked="0" behindDoc="0" simplePos="0" relativeHeight="25">
            <wp:simplePos x="0" y="0"/>
            <wp:positionH relativeFrom="page">
              <wp:posOffset>963962</wp:posOffset>
            </wp:positionH>
            <wp:positionV relativeFrom="paragraph">
              <wp:posOffset>132355</wp:posOffset>
            </wp:positionV>
            <wp:extent cx="5599313" cy="3328416"/>
            <wp:effectExtent l="0" t="0" r="0" b="0"/>
            <wp:wrapTopAndBottom/>
            <wp:docPr id="61" name="image31.png"/>
            <wp:cNvGraphicFramePr>
              <a:graphicFrameLocks noChangeAspect="1"/>
            </wp:cNvGraphicFramePr>
            <a:graphic>
              <a:graphicData uri="http://schemas.openxmlformats.org/drawingml/2006/picture">
                <pic:pic>
                  <pic:nvPicPr>
                    <pic:cNvPr id="62" name="image31.png"/>
                    <pic:cNvPicPr/>
                  </pic:nvPicPr>
                  <pic:blipFill>
                    <a:blip r:embed="rId36" cstate="print"/>
                    <a:stretch>
                      <a:fillRect/>
                    </a:stretch>
                  </pic:blipFill>
                  <pic:spPr>
                    <a:xfrm>
                      <a:off x="0" y="0"/>
                      <a:ext cx="5599313" cy="3328416"/>
                    </a:xfrm>
                    <a:prstGeom prst="rect">
                      <a:avLst/>
                    </a:prstGeom>
                  </pic:spPr>
                </pic:pic>
              </a:graphicData>
            </a:graphic>
          </wp:anchor>
        </w:drawing>
      </w:r>
    </w:p>
    <w:p>
      <w:pPr>
        <w:pStyle w:val="BodyText"/>
        <w:rPr>
          <w:b/>
          <w:sz w:val="24"/>
        </w:rPr>
      </w:pPr>
    </w:p>
    <w:p>
      <w:pPr>
        <w:pStyle w:val="BodyText"/>
        <w:spacing w:before="1"/>
        <w:rPr>
          <w:b/>
          <w:sz w:val="31"/>
        </w:rPr>
      </w:pPr>
    </w:p>
    <w:p>
      <w:pPr>
        <w:spacing w:before="1"/>
        <w:ind w:left="100" w:right="0" w:firstLine="0"/>
        <w:jc w:val="left"/>
        <w:rPr>
          <w:b/>
          <w:sz w:val="22"/>
        </w:rPr>
      </w:pPr>
      <w:r>
        <w:rPr>
          <w:b/>
          <w:spacing w:val="-4"/>
          <w:sz w:val="22"/>
        </w:rPr>
        <w:t>Table</w:t>
      </w:r>
      <w:r>
        <w:rPr>
          <w:b/>
          <w:spacing w:val="-1"/>
          <w:sz w:val="22"/>
        </w:rPr>
        <w:t> </w:t>
      </w:r>
      <w:r>
        <w:rPr>
          <w:b/>
          <w:sz w:val="22"/>
        </w:rPr>
        <w:t>6</w:t>
      </w:r>
    </w:p>
    <w:p>
      <w:pPr>
        <w:pStyle w:val="BodyText"/>
        <w:spacing w:before="7"/>
        <w:rPr>
          <w:b/>
          <w:sz w:val="14"/>
        </w:rPr>
      </w:pPr>
      <w:r>
        <w:rPr/>
        <w:drawing>
          <wp:anchor distT="0" distB="0" distL="0" distR="0" allowOverlap="1" layoutInCell="1" locked="0" behindDoc="0" simplePos="0" relativeHeight="26">
            <wp:simplePos x="0" y="0"/>
            <wp:positionH relativeFrom="page">
              <wp:posOffset>968596</wp:posOffset>
            </wp:positionH>
            <wp:positionV relativeFrom="paragraph">
              <wp:posOffset>131875</wp:posOffset>
            </wp:positionV>
            <wp:extent cx="5756082" cy="994410"/>
            <wp:effectExtent l="0" t="0" r="0" b="0"/>
            <wp:wrapTopAndBottom/>
            <wp:docPr id="63" name="image32.jpeg"/>
            <wp:cNvGraphicFramePr>
              <a:graphicFrameLocks noChangeAspect="1"/>
            </wp:cNvGraphicFramePr>
            <a:graphic>
              <a:graphicData uri="http://schemas.openxmlformats.org/drawingml/2006/picture">
                <pic:pic>
                  <pic:nvPicPr>
                    <pic:cNvPr id="64" name="image32.jpeg"/>
                    <pic:cNvPicPr/>
                  </pic:nvPicPr>
                  <pic:blipFill>
                    <a:blip r:embed="rId37" cstate="print"/>
                    <a:stretch>
                      <a:fillRect/>
                    </a:stretch>
                  </pic:blipFill>
                  <pic:spPr>
                    <a:xfrm>
                      <a:off x="0" y="0"/>
                      <a:ext cx="5756082" cy="994410"/>
                    </a:xfrm>
                    <a:prstGeom prst="rect">
                      <a:avLst/>
                    </a:prstGeom>
                  </pic:spPr>
                </pic:pic>
              </a:graphicData>
            </a:graphic>
          </wp:anchor>
        </w:drawing>
      </w:r>
    </w:p>
    <w:p>
      <w:pPr>
        <w:spacing w:after="0"/>
        <w:rPr>
          <w:sz w:val="14"/>
        </w:rPr>
        <w:sectPr>
          <w:pgSz w:w="12240" w:h="15840"/>
          <w:pgMar w:header="0" w:footer="724" w:top="1360" w:bottom="1000" w:left="1340" w:right="1300"/>
        </w:sectPr>
      </w:pPr>
    </w:p>
    <w:p>
      <w:pPr>
        <w:spacing w:before="80"/>
        <w:ind w:left="100" w:right="0" w:firstLine="0"/>
        <w:jc w:val="left"/>
        <w:rPr>
          <w:b/>
          <w:sz w:val="22"/>
        </w:rPr>
      </w:pPr>
      <w:r>
        <w:rPr>
          <w:b/>
          <w:sz w:val="22"/>
        </w:rPr>
        <w:t>Table 7</w:t>
      </w:r>
    </w:p>
    <w:p>
      <w:pPr>
        <w:pStyle w:val="BodyText"/>
        <w:spacing w:before="7"/>
        <w:rPr>
          <w:b/>
          <w:sz w:val="14"/>
        </w:rPr>
      </w:pPr>
      <w:r>
        <w:rPr/>
        <w:drawing>
          <wp:anchor distT="0" distB="0" distL="0" distR="0" allowOverlap="1" layoutInCell="1" locked="0" behindDoc="0" simplePos="0" relativeHeight="27">
            <wp:simplePos x="0" y="0"/>
            <wp:positionH relativeFrom="page">
              <wp:posOffset>945211</wp:posOffset>
            </wp:positionH>
            <wp:positionV relativeFrom="paragraph">
              <wp:posOffset>131880</wp:posOffset>
            </wp:positionV>
            <wp:extent cx="5901503" cy="3870102"/>
            <wp:effectExtent l="0" t="0" r="0" b="0"/>
            <wp:wrapTopAndBottom/>
            <wp:docPr id="65" name="image33.jpeg"/>
            <wp:cNvGraphicFramePr>
              <a:graphicFrameLocks noChangeAspect="1"/>
            </wp:cNvGraphicFramePr>
            <a:graphic>
              <a:graphicData uri="http://schemas.openxmlformats.org/drawingml/2006/picture">
                <pic:pic>
                  <pic:nvPicPr>
                    <pic:cNvPr id="66" name="image33.jpeg"/>
                    <pic:cNvPicPr/>
                  </pic:nvPicPr>
                  <pic:blipFill>
                    <a:blip r:embed="rId38" cstate="print"/>
                    <a:stretch>
                      <a:fillRect/>
                    </a:stretch>
                  </pic:blipFill>
                  <pic:spPr>
                    <a:xfrm>
                      <a:off x="0" y="0"/>
                      <a:ext cx="5901503" cy="3870102"/>
                    </a:xfrm>
                    <a:prstGeom prst="rect">
                      <a:avLst/>
                    </a:prstGeom>
                  </pic:spPr>
                </pic:pic>
              </a:graphicData>
            </a:graphic>
          </wp:anchor>
        </w:drawing>
      </w:r>
    </w:p>
    <w:p>
      <w:pPr>
        <w:spacing w:after="0"/>
        <w:rPr>
          <w:sz w:val="14"/>
        </w:rPr>
        <w:sectPr>
          <w:pgSz w:w="12240" w:h="15840"/>
          <w:pgMar w:header="0" w:footer="724" w:top="1360" w:bottom="1000" w:left="1340" w:right="1300"/>
        </w:sectPr>
      </w:pPr>
    </w:p>
    <w:p>
      <w:pPr>
        <w:spacing w:before="80"/>
        <w:ind w:left="100" w:right="0" w:firstLine="0"/>
        <w:jc w:val="left"/>
        <w:rPr>
          <w:b/>
          <w:sz w:val="22"/>
        </w:rPr>
      </w:pPr>
      <w:r>
        <w:rPr>
          <w:b/>
          <w:sz w:val="22"/>
        </w:rPr>
        <w:t>Table 8</w:t>
      </w:r>
    </w:p>
    <w:p>
      <w:pPr>
        <w:pStyle w:val="BodyText"/>
        <w:spacing w:before="7"/>
        <w:rPr>
          <w:b/>
          <w:sz w:val="14"/>
        </w:rPr>
      </w:pPr>
      <w:r>
        <w:rPr/>
        <w:drawing>
          <wp:anchor distT="0" distB="0" distL="0" distR="0" allowOverlap="1" layoutInCell="1" locked="0" behindDoc="0" simplePos="0" relativeHeight="28">
            <wp:simplePos x="0" y="0"/>
            <wp:positionH relativeFrom="page">
              <wp:posOffset>963890</wp:posOffset>
            </wp:positionH>
            <wp:positionV relativeFrom="paragraph">
              <wp:posOffset>131880</wp:posOffset>
            </wp:positionV>
            <wp:extent cx="5729725" cy="3543871"/>
            <wp:effectExtent l="0" t="0" r="0" b="0"/>
            <wp:wrapTopAndBottom/>
            <wp:docPr id="67" name="image34.jpeg"/>
            <wp:cNvGraphicFramePr>
              <a:graphicFrameLocks noChangeAspect="1"/>
            </wp:cNvGraphicFramePr>
            <a:graphic>
              <a:graphicData uri="http://schemas.openxmlformats.org/drawingml/2006/picture">
                <pic:pic>
                  <pic:nvPicPr>
                    <pic:cNvPr id="68" name="image34.jpeg"/>
                    <pic:cNvPicPr/>
                  </pic:nvPicPr>
                  <pic:blipFill>
                    <a:blip r:embed="rId39" cstate="print"/>
                    <a:stretch>
                      <a:fillRect/>
                    </a:stretch>
                  </pic:blipFill>
                  <pic:spPr>
                    <a:xfrm>
                      <a:off x="0" y="0"/>
                      <a:ext cx="5729725" cy="3543871"/>
                    </a:xfrm>
                    <a:prstGeom prst="rect">
                      <a:avLst/>
                    </a:prstGeom>
                  </pic:spPr>
                </pic:pic>
              </a:graphicData>
            </a:graphic>
          </wp:anchor>
        </w:drawing>
      </w:r>
    </w:p>
    <w:sectPr>
      <w:pgSz w:w="12240" w:h="15840"/>
      <w:pgMar w:header="0" w:footer="724" w:top="1360" w:bottom="1000" w:left="134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type id="_x0000_t202" o:spt="202" coordsize="21600,21600" path="m,l,21600r21600,l21600,xe">
          <v:stroke joinstyle="miter"/>
          <v:path gradientshapeok="t" o:connecttype="rect"/>
        </v:shapetype>
        <v:shape style="position:absolute;margin-left:524.773315pt;margin-top:740.812988pt;width:18.25pt;height:14.3pt;mso-position-horizontal-relative:page;mso-position-vertical-relative:page;z-index:-252509184" type="#_x0000_t202" filled="false" stroked="false">
          <v:textbox inset="0,0,0,0">
            <w:txbxContent>
              <w:p>
                <w:pPr>
                  <w:pStyle w:val="BodyText"/>
                  <w:spacing w:before="13"/>
                  <w:ind w:left="60"/>
                </w:pPr>
                <w:r>
                  <w:rPr/>
                  <w:fldChar w:fldCharType="begin"/>
                </w:r>
                <w:r>
                  <w:rPr/>
                  <w:instrText> PAGE </w:instrText>
                </w:r>
                <w:r>
                  <w:rPr/>
                  <w:fldChar w:fldCharType="separate"/>
                </w:r>
                <w:r>
                  <w:rPr/>
                  <w:t>24</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820" w:hanging="360"/>
        <w:jc w:val="left"/>
      </w:pPr>
      <w:rPr>
        <w:rFonts w:hint="default" w:ascii="Arial" w:hAnsi="Arial" w:eastAsia="Arial" w:cs="Arial"/>
        <w:spacing w:val="-25"/>
        <w:w w:val="100"/>
        <w:sz w:val="22"/>
        <w:szCs w:val="22"/>
      </w:rPr>
    </w:lvl>
    <w:lvl w:ilvl="1">
      <w:start w:val="1"/>
      <w:numFmt w:val="decimal"/>
      <w:lvlText w:val="%2."/>
      <w:lvlJc w:val="left"/>
      <w:pPr>
        <w:ind w:left="820" w:hanging="245"/>
        <w:jc w:val="left"/>
      </w:pPr>
      <w:rPr>
        <w:rFonts w:hint="default" w:ascii="Arial" w:hAnsi="Arial" w:eastAsia="Arial" w:cs="Arial"/>
        <w:spacing w:val="-1"/>
        <w:w w:val="100"/>
        <w:sz w:val="22"/>
        <w:szCs w:val="22"/>
      </w:rPr>
    </w:lvl>
    <w:lvl w:ilvl="2">
      <w:start w:val="0"/>
      <w:numFmt w:val="bullet"/>
      <w:lvlText w:val="•"/>
      <w:lvlJc w:val="left"/>
      <w:pPr>
        <w:ind w:left="2576" w:hanging="245"/>
      </w:pPr>
      <w:rPr>
        <w:rFonts w:hint="default"/>
      </w:rPr>
    </w:lvl>
    <w:lvl w:ilvl="3">
      <w:start w:val="0"/>
      <w:numFmt w:val="bullet"/>
      <w:lvlText w:val="•"/>
      <w:lvlJc w:val="left"/>
      <w:pPr>
        <w:ind w:left="3454" w:hanging="245"/>
      </w:pPr>
      <w:rPr>
        <w:rFonts w:hint="default"/>
      </w:rPr>
    </w:lvl>
    <w:lvl w:ilvl="4">
      <w:start w:val="0"/>
      <w:numFmt w:val="bullet"/>
      <w:lvlText w:val="•"/>
      <w:lvlJc w:val="left"/>
      <w:pPr>
        <w:ind w:left="4332" w:hanging="245"/>
      </w:pPr>
      <w:rPr>
        <w:rFonts w:hint="default"/>
      </w:rPr>
    </w:lvl>
    <w:lvl w:ilvl="5">
      <w:start w:val="0"/>
      <w:numFmt w:val="bullet"/>
      <w:lvlText w:val="•"/>
      <w:lvlJc w:val="left"/>
      <w:pPr>
        <w:ind w:left="5210" w:hanging="245"/>
      </w:pPr>
      <w:rPr>
        <w:rFonts w:hint="default"/>
      </w:rPr>
    </w:lvl>
    <w:lvl w:ilvl="6">
      <w:start w:val="0"/>
      <w:numFmt w:val="bullet"/>
      <w:lvlText w:val="•"/>
      <w:lvlJc w:val="left"/>
      <w:pPr>
        <w:ind w:left="6088" w:hanging="245"/>
      </w:pPr>
      <w:rPr>
        <w:rFonts w:hint="default"/>
      </w:rPr>
    </w:lvl>
    <w:lvl w:ilvl="7">
      <w:start w:val="0"/>
      <w:numFmt w:val="bullet"/>
      <w:lvlText w:val="•"/>
      <w:lvlJc w:val="left"/>
      <w:pPr>
        <w:ind w:left="6966" w:hanging="245"/>
      </w:pPr>
      <w:rPr>
        <w:rFonts w:hint="default"/>
      </w:rPr>
    </w:lvl>
    <w:lvl w:ilvl="8">
      <w:start w:val="0"/>
      <w:numFmt w:val="bullet"/>
      <w:lvlText w:val="•"/>
      <w:lvlJc w:val="left"/>
      <w:pPr>
        <w:ind w:left="7844" w:hanging="245"/>
      </w:pPr>
      <w:rPr>
        <w:rFonts w:hint="default"/>
      </w:rPr>
    </w:lvl>
  </w:abstractNum>
  <w:abstractNum w:abstractNumId="5">
    <w:multiLevelType w:val="hybridMultilevel"/>
    <w:lvl w:ilvl="0">
      <w:start w:val="1"/>
      <w:numFmt w:val="decimal"/>
      <w:lvlText w:val="%1."/>
      <w:lvlJc w:val="left"/>
      <w:pPr>
        <w:ind w:left="820" w:hanging="360"/>
        <w:jc w:val="left"/>
      </w:pPr>
      <w:rPr>
        <w:rFonts w:hint="default" w:ascii="Arial" w:hAnsi="Arial" w:eastAsia="Arial" w:cs="Arial"/>
        <w:spacing w:val="-7"/>
        <w:w w:val="100"/>
        <w:sz w:val="22"/>
        <w:szCs w:val="22"/>
      </w:rPr>
    </w:lvl>
    <w:lvl w:ilvl="1">
      <w:start w:val="0"/>
      <w:numFmt w:val="bullet"/>
      <w:lvlText w:val="•"/>
      <w:lvlJc w:val="left"/>
      <w:pPr>
        <w:ind w:left="1698" w:hanging="360"/>
      </w:pPr>
      <w:rPr>
        <w:rFonts w:hint="default"/>
      </w:rPr>
    </w:lvl>
    <w:lvl w:ilvl="2">
      <w:start w:val="0"/>
      <w:numFmt w:val="bullet"/>
      <w:lvlText w:val="•"/>
      <w:lvlJc w:val="left"/>
      <w:pPr>
        <w:ind w:left="2576" w:hanging="360"/>
      </w:pPr>
      <w:rPr>
        <w:rFonts w:hint="default"/>
      </w:rPr>
    </w:lvl>
    <w:lvl w:ilvl="3">
      <w:start w:val="0"/>
      <w:numFmt w:val="bullet"/>
      <w:lvlText w:val="•"/>
      <w:lvlJc w:val="left"/>
      <w:pPr>
        <w:ind w:left="3454" w:hanging="360"/>
      </w:pPr>
      <w:rPr>
        <w:rFonts w:hint="default"/>
      </w:rPr>
    </w:lvl>
    <w:lvl w:ilvl="4">
      <w:start w:val="0"/>
      <w:numFmt w:val="bullet"/>
      <w:lvlText w:val="•"/>
      <w:lvlJc w:val="left"/>
      <w:pPr>
        <w:ind w:left="4332" w:hanging="360"/>
      </w:pPr>
      <w:rPr>
        <w:rFonts w:hint="default"/>
      </w:rPr>
    </w:lvl>
    <w:lvl w:ilvl="5">
      <w:start w:val="0"/>
      <w:numFmt w:val="bullet"/>
      <w:lvlText w:val="•"/>
      <w:lvlJc w:val="left"/>
      <w:pPr>
        <w:ind w:left="5210" w:hanging="360"/>
      </w:pPr>
      <w:rPr>
        <w:rFonts w:hint="default"/>
      </w:rPr>
    </w:lvl>
    <w:lvl w:ilvl="6">
      <w:start w:val="0"/>
      <w:numFmt w:val="bullet"/>
      <w:lvlText w:val="•"/>
      <w:lvlJc w:val="left"/>
      <w:pPr>
        <w:ind w:left="6088" w:hanging="360"/>
      </w:pPr>
      <w:rPr>
        <w:rFonts w:hint="default"/>
      </w:rPr>
    </w:lvl>
    <w:lvl w:ilvl="7">
      <w:start w:val="0"/>
      <w:numFmt w:val="bullet"/>
      <w:lvlText w:val="•"/>
      <w:lvlJc w:val="left"/>
      <w:pPr>
        <w:ind w:left="6966" w:hanging="360"/>
      </w:pPr>
      <w:rPr>
        <w:rFonts w:hint="default"/>
      </w:rPr>
    </w:lvl>
    <w:lvl w:ilvl="8">
      <w:start w:val="0"/>
      <w:numFmt w:val="bullet"/>
      <w:lvlText w:val="•"/>
      <w:lvlJc w:val="left"/>
      <w:pPr>
        <w:ind w:left="7844" w:hanging="360"/>
      </w:pPr>
      <w:rPr>
        <w:rFonts w:hint="default"/>
      </w:rPr>
    </w:lvl>
  </w:abstractNum>
  <w:abstractNum w:abstractNumId="4">
    <w:multiLevelType w:val="hybridMultilevel"/>
    <w:lvl w:ilvl="0">
      <w:start w:val="2"/>
      <w:numFmt w:val="decimal"/>
      <w:lvlText w:val="(%1)"/>
      <w:lvlJc w:val="left"/>
      <w:pPr>
        <w:ind w:left="100" w:hanging="330"/>
        <w:jc w:val="left"/>
      </w:pPr>
      <w:rPr>
        <w:rFonts w:hint="default" w:ascii="Arial" w:hAnsi="Arial" w:eastAsia="Arial" w:cs="Arial"/>
        <w:spacing w:val="-1"/>
        <w:w w:val="100"/>
        <w:sz w:val="22"/>
        <w:szCs w:val="22"/>
      </w:rPr>
    </w:lvl>
    <w:lvl w:ilvl="1">
      <w:start w:val="1"/>
      <w:numFmt w:val="decimal"/>
      <w:lvlText w:val="%2."/>
      <w:lvlJc w:val="left"/>
      <w:pPr>
        <w:ind w:left="1540" w:hanging="360"/>
        <w:jc w:val="left"/>
      </w:pPr>
      <w:rPr>
        <w:rFonts w:hint="default" w:ascii="Arial" w:hAnsi="Arial" w:eastAsia="Arial" w:cs="Arial"/>
        <w:spacing w:val="-17"/>
        <w:w w:val="100"/>
        <w:sz w:val="22"/>
        <w:szCs w:val="22"/>
      </w:rPr>
    </w:lvl>
    <w:lvl w:ilvl="2">
      <w:start w:val="0"/>
      <w:numFmt w:val="bullet"/>
      <w:lvlText w:val="•"/>
      <w:lvlJc w:val="left"/>
      <w:pPr>
        <w:ind w:left="2435" w:hanging="360"/>
      </w:pPr>
      <w:rPr>
        <w:rFonts w:hint="default"/>
      </w:rPr>
    </w:lvl>
    <w:lvl w:ilvl="3">
      <w:start w:val="0"/>
      <w:numFmt w:val="bullet"/>
      <w:lvlText w:val="•"/>
      <w:lvlJc w:val="left"/>
      <w:pPr>
        <w:ind w:left="3331"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122" w:hanging="360"/>
      </w:pPr>
      <w:rPr>
        <w:rFonts w:hint="default"/>
      </w:rPr>
    </w:lvl>
    <w:lvl w:ilvl="6">
      <w:start w:val="0"/>
      <w:numFmt w:val="bullet"/>
      <w:lvlText w:val="•"/>
      <w:lvlJc w:val="left"/>
      <w:pPr>
        <w:ind w:left="6017" w:hanging="360"/>
      </w:pPr>
      <w:rPr>
        <w:rFonts w:hint="default"/>
      </w:rPr>
    </w:lvl>
    <w:lvl w:ilvl="7">
      <w:start w:val="0"/>
      <w:numFmt w:val="bullet"/>
      <w:lvlText w:val="•"/>
      <w:lvlJc w:val="left"/>
      <w:pPr>
        <w:ind w:left="6913" w:hanging="360"/>
      </w:pPr>
      <w:rPr>
        <w:rFonts w:hint="default"/>
      </w:rPr>
    </w:lvl>
    <w:lvl w:ilvl="8">
      <w:start w:val="0"/>
      <w:numFmt w:val="bullet"/>
      <w:lvlText w:val="•"/>
      <w:lvlJc w:val="left"/>
      <w:pPr>
        <w:ind w:left="7808" w:hanging="360"/>
      </w:pPr>
      <w:rPr>
        <w:rFonts w:hint="default"/>
      </w:rPr>
    </w:lvl>
  </w:abstractNum>
  <w:abstractNum w:abstractNumId="3">
    <w:multiLevelType w:val="hybridMultilevel"/>
    <w:lvl w:ilvl="0">
      <w:start w:val="0"/>
      <w:numFmt w:val="bullet"/>
      <w:lvlText w:val="-"/>
      <w:lvlJc w:val="left"/>
      <w:pPr>
        <w:ind w:left="820" w:hanging="360"/>
      </w:pPr>
      <w:rPr>
        <w:rFonts w:hint="default" w:ascii="Arial" w:hAnsi="Arial" w:eastAsia="Arial" w:cs="Arial"/>
        <w:spacing w:val="-19"/>
        <w:w w:val="100"/>
        <w:sz w:val="22"/>
        <w:szCs w:val="22"/>
      </w:rPr>
    </w:lvl>
    <w:lvl w:ilvl="1">
      <w:start w:val="0"/>
      <w:numFmt w:val="bullet"/>
      <w:lvlText w:val="•"/>
      <w:lvlJc w:val="left"/>
      <w:pPr>
        <w:ind w:left="1698" w:hanging="360"/>
      </w:pPr>
      <w:rPr>
        <w:rFonts w:hint="default"/>
      </w:rPr>
    </w:lvl>
    <w:lvl w:ilvl="2">
      <w:start w:val="0"/>
      <w:numFmt w:val="bullet"/>
      <w:lvlText w:val="•"/>
      <w:lvlJc w:val="left"/>
      <w:pPr>
        <w:ind w:left="2576" w:hanging="360"/>
      </w:pPr>
      <w:rPr>
        <w:rFonts w:hint="default"/>
      </w:rPr>
    </w:lvl>
    <w:lvl w:ilvl="3">
      <w:start w:val="0"/>
      <w:numFmt w:val="bullet"/>
      <w:lvlText w:val="•"/>
      <w:lvlJc w:val="left"/>
      <w:pPr>
        <w:ind w:left="3454" w:hanging="360"/>
      </w:pPr>
      <w:rPr>
        <w:rFonts w:hint="default"/>
      </w:rPr>
    </w:lvl>
    <w:lvl w:ilvl="4">
      <w:start w:val="0"/>
      <w:numFmt w:val="bullet"/>
      <w:lvlText w:val="•"/>
      <w:lvlJc w:val="left"/>
      <w:pPr>
        <w:ind w:left="4332" w:hanging="360"/>
      </w:pPr>
      <w:rPr>
        <w:rFonts w:hint="default"/>
      </w:rPr>
    </w:lvl>
    <w:lvl w:ilvl="5">
      <w:start w:val="0"/>
      <w:numFmt w:val="bullet"/>
      <w:lvlText w:val="•"/>
      <w:lvlJc w:val="left"/>
      <w:pPr>
        <w:ind w:left="5210" w:hanging="360"/>
      </w:pPr>
      <w:rPr>
        <w:rFonts w:hint="default"/>
      </w:rPr>
    </w:lvl>
    <w:lvl w:ilvl="6">
      <w:start w:val="0"/>
      <w:numFmt w:val="bullet"/>
      <w:lvlText w:val="•"/>
      <w:lvlJc w:val="left"/>
      <w:pPr>
        <w:ind w:left="6088" w:hanging="360"/>
      </w:pPr>
      <w:rPr>
        <w:rFonts w:hint="default"/>
      </w:rPr>
    </w:lvl>
    <w:lvl w:ilvl="7">
      <w:start w:val="0"/>
      <w:numFmt w:val="bullet"/>
      <w:lvlText w:val="•"/>
      <w:lvlJc w:val="left"/>
      <w:pPr>
        <w:ind w:left="6966" w:hanging="360"/>
      </w:pPr>
      <w:rPr>
        <w:rFonts w:hint="default"/>
      </w:rPr>
    </w:lvl>
    <w:lvl w:ilvl="8">
      <w:start w:val="0"/>
      <w:numFmt w:val="bullet"/>
      <w:lvlText w:val="•"/>
      <w:lvlJc w:val="left"/>
      <w:pPr>
        <w:ind w:left="7844" w:hanging="360"/>
      </w:pPr>
      <w:rPr>
        <w:rFonts w:hint="default"/>
      </w:rPr>
    </w:lvl>
  </w:abstractNum>
  <w:abstractNum w:abstractNumId="2">
    <w:multiLevelType w:val="hybridMultilevel"/>
    <w:lvl w:ilvl="0">
      <w:start w:val="1"/>
      <w:numFmt w:val="decimal"/>
      <w:lvlText w:val="%1."/>
      <w:lvlJc w:val="left"/>
      <w:pPr>
        <w:ind w:left="820" w:hanging="360"/>
        <w:jc w:val="left"/>
      </w:pPr>
      <w:rPr>
        <w:rFonts w:hint="default" w:ascii="Arial" w:hAnsi="Arial" w:eastAsia="Arial" w:cs="Arial"/>
        <w:spacing w:val="-13"/>
        <w:w w:val="100"/>
        <w:sz w:val="22"/>
        <w:szCs w:val="22"/>
      </w:rPr>
    </w:lvl>
    <w:lvl w:ilvl="1">
      <w:start w:val="0"/>
      <w:numFmt w:val="bullet"/>
      <w:lvlText w:val="•"/>
      <w:lvlJc w:val="left"/>
      <w:pPr>
        <w:ind w:left="1698" w:hanging="360"/>
      </w:pPr>
      <w:rPr>
        <w:rFonts w:hint="default"/>
      </w:rPr>
    </w:lvl>
    <w:lvl w:ilvl="2">
      <w:start w:val="0"/>
      <w:numFmt w:val="bullet"/>
      <w:lvlText w:val="•"/>
      <w:lvlJc w:val="left"/>
      <w:pPr>
        <w:ind w:left="2576" w:hanging="360"/>
      </w:pPr>
      <w:rPr>
        <w:rFonts w:hint="default"/>
      </w:rPr>
    </w:lvl>
    <w:lvl w:ilvl="3">
      <w:start w:val="0"/>
      <w:numFmt w:val="bullet"/>
      <w:lvlText w:val="•"/>
      <w:lvlJc w:val="left"/>
      <w:pPr>
        <w:ind w:left="3454" w:hanging="360"/>
      </w:pPr>
      <w:rPr>
        <w:rFonts w:hint="default"/>
      </w:rPr>
    </w:lvl>
    <w:lvl w:ilvl="4">
      <w:start w:val="0"/>
      <w:numFmt w:val="bullet"/>
      <w:lvlText w:val="•"/>
      <w:lvlJc w:val="left"/>
      <w:pPr>
        <w:ind w:left="4332" w:hanging="360"/>
      </w:pPr>
      <w:rPr>
        <w:rFonts w:hint="default"/>
      </w:rPr>
    </w:lvl>
    <w:lvl w:ilvl="5">
      <w:start w:val="0"/>
      <w:numFmt w:val="bullet"/>
      <w:lvlText w:val="•"/>
      <w:lvlJc w:val="left"/>
      <w:pPr>
        <w:ind w:left="5210" w:hanging="360"/>
      </w:pPr>
      <w:rPr>
        <w:rFonts w:hint="default"/>
      </w:rPr>
    </w:lvl>
    <w:lvl w:ilvl="6">
      <w:start w:val="0"/>
      <w:numFmt w:val="bullet"/>
      <w:lvlText w:val="•"/>
      <w:lvlJc w:val="left"/>
      <w:pPr>
        <w:ind w:left="6088" w:hanging="360"/>
      </w:pPr>
      <w:rPr>
        <w:rFonts w:hint="default"/>
      </w:rPr>
    </w:lvl>
    <w:lvl w:ilvl="7">
      <w:start w:val="0"/>
      <w:numFmt w:val="bullet"/>
      <w:lvlText w:val="•"/>
      <w:lvlJc w:val="left"/>
      <w:pPr>
        <w:ind w:left="6966" w:hanging="360"/>
      </w:pPr>
      <w:rPr>
        <w:rFonts w:hint="default"/>
      </w:rPr>
    </w:lvl>
    <w:lvl w:ilvl="8">
      <w:start w:val="0"/>
      <w:numFmt w:val="bullet"/>
      <w:lvlText w:val="•"/>
      <w:lvlJc w:val="left"/>
      <w:pPr>
        <w:ind w:left="7844" w:hanging="360"/>
      </w:pPr>
      <w:rPr>
        <w:rFonts w:hint="default"/>
      </w:rPr>
    </w:lvl>
  </w:abstractNum>
  <w:abstractNum w:abstractNumId="1">
    <w:multiLevelType w:val="hybridMultilevel"/>
    <w:lvl w:ilvl="0">
      <w:start w:val="0"/>
      <w:numFmt w:val="bullet"/>
      <w:lvlText w:val="-"/>
      <w:lvlJc w:val="left"/>
      <w:pPr>
        <w:ind w:left="820" w:hanging="360"/>
      </w:pPr>
      <w:rPr>
        <w:rFonts w:hint="default" w:ascii="Arial" w:hAnsi="Arial" w:eastAsia="Arial" w:cs="Arial"/>
        <w:spacing w:val="-17"/>
        <w:w w:val="100"/>
        <w:sz w:val="22"/>
        <w:szCs w:val="22"/>
      </w:rPr>
    </w:lvl>
    <w:lvl w:ilvl="1">
      <w:start w:val="0"/>
      <w:numFmt w:val="bullet"/>
      <w:lvlText w:val="-"/>
      <w:lvlJc w:val="left"/>
      <w:pPr>
        <w:ind w:left="1540" w:hanging="360"/>
      </w:pPr>
      <w:rPr>
        <w:rFonts w:hint="default" w:ascii="Arial" w:hAnsi="Arial" w:eastAsia="Arial" w:cs="Arial"/>
        <w:spacing w:val="-13"/>
        <w:w w:val="100"/>
        <w:sz w:val="22"/>
        <w:szCs w:val="22"/>
      </w:rPr>
    </w:lvl>
    <w:lvl w:ilvl="2">
      <w:start w:val="0"/>
      <w:numFmt w:val="bullet"/>
      <w:lvlText w:val="•"/>
      <w:lvlJc w:val="left"/>
      <w:pPr>
        <w:ind w:left="2435" w:hanging="360"/>
      </w:pPr>
      <w:rPr>
        <w:rFonts w:hint="default"/>
      </w:rPr>
    </w:lvl>
    <w:lvl w:ilvl="3">
      <w:start w:val="0"/>
      <w:numFmt w:val="bullet"/>
      <w:lvlText w:val="•"/>
      <w:lvlJc w:val="left"/>
      <w:pPr>
        <w:ind w:left="3331"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122" w:hanging="360"/>
      </w:pPr>
      <w:rPr>
        <w:rFonts w:hint="default"/>
      </w:rPr>
    </w:lvl>
    <w:lvl w:ilvl="6">
      <w:start w:val="0"/>
      <w:numFmt w:val="bullet"/>
      <w:lvlText w:val="•"/>
      <w:lvlJc w:val="left"/>
      <w:pPr>
        <w:ind w:left="6017" w:hanging="360"/>
      </w:pPr>
      <w:rPr>
        <w:rFonts w:hint="default"/>
      </w:rPr>
    </w:lvl>
    <w:lvl w:ilvl="7">
      <w:start w:val="0"/>
      <w:numFmt w:val="bullet"/>
      <w:lvlText w:val="•"/>
      <w:lvlJc w:val="left"/>
      <w:pPr>
        <w:ind w:left="6913" w:hanging="360"/>
      </w:pPr>
      <w:rPr>
        <w:rFonts w:hint="default"/>
      </w:rPr>
    </w:lvl>
    <w:lvl w:ilvl="8">
      <w:start w:val="0"/>
      <w:numFmt w:val="bullet"/>
      <w:lvlText w:val="•"/>
      <w:lvlJc w:val="left"/>
      <w:pPr>
        <w:ind w:left="7808" w:hanging="360"/>
      </w:pPr>
      <w:rPr>
        <w:rFonts w:hint="default"/>
      </w:rPr>
    </w:lvl>
  </w:abstractNum>
  <w:abstractNum w:abstractNumId="0">
    <w:multiLevelType w:val="hybridMultilevel"/>
    <w:lvl w:ilvl="0">
      <w:start w:val="0"/>
      <w:numFmt w:val="bullet"/>
      <w:lvlText w:val="-"/>
      <w:lvlJc w:val="left"/>
      <w:pPr>
        <w:ind w:left="100" w:hanging="135"/>
      </w:pPr>
      <w:rPr>
        <w:rFonts w:hint="default" w:ascii="Arial" w:hAnsi="Arial" w:eastAsia="Arial" w:cs="Arial"/>
        <w:w w:val="100"/>
        <w:sz w:val="22"/>
        <w:szCs w:val="22"/>
      </w:rPr>
    </w:lvl>
    <w:lvl w:ilvl="1">
      <w:start w:val="1"/>
      <w:numFmt w:val="decimal"/>
      <w:lvlText w:val="(%2)"/>
      <w:lvlJc w:val="left"/>
      <w:pPr>
        <w:ind w:left="820" w:hanging="360"/>
        <w:jc w:val="left"/>
      </w:pPr>
      <w:rPr>
        <w:rFonts w:hint="default" w:ascii="Arial" w:hAnsi="Arial" w:eastAsia="Arial" w:cs="Arial"/>
        <w:spacing w:val="-1"/>
        <w:w w:val="100"/>
        <w:sz w:val="22"/>
        <w:szCs w:val="22"/>
      </w:rPr>
    </w:lvl>
    <w:lvl w:ilvl="2">
      <w:start w:val="0"/>
      <w:numFmt w:val="bullet"/>
      <w:lvlText w:val="•"/>
      <w:lvlJc w:val="left"/>
      <w:pPr>
        <w:ind w:left="1795" w:hanging="360"/>
      </w:pPr>
      <w:rPr>
        <w:rFonts w:hint="default"/>
      </w:rPr>
    </w:lvl>
    <w:lvl w:ilvl="3">
      <w:start w:val="0"/>
      <w:numFmt w:val="bullet"/>
      <w:lvlText w:val="•"/>
      <w:lvlJc w:val="left"/>
      <w:pPr>
        <w:ind w:left="2771" w:hanging="360"/>
      </w:pPr>
      <w:rPr>
        <w:rFonts w:hint="default"/>
      </w:rPr>
    </w:lvl>
    <w:lvl w:ilvl="4">
      <w:start w:val="0"/>
      <w:numFmt w:val="bullet"/>
      <w:lvlText w:val="•"/>
      <w:lvlJc w:val="left"/>
      <w:pPr>
        <w:ind w:left="3746" w:hanging="360"/>
      </w:pPr>
      <w:rPr>
        <w:rFonts w:hint="default"/>
      </w:rPr>
    </w:lvl>
    <w:lvl w:ilvl="5">
      <w:start w:val="0"/>
      <w:numFmt w:val="bullet"/>
      <w:lvlText w:val="•"/>
      <w:lvlJc w:val="left"/>
      <w:pPr>
        <w:ind w:left="4722" w:hanging="360"/>
      </w:pPr>
      <w:rPr>
        <w:rFonts w:hint="default"/>
      </w:rPr>
    </w:lvl>
    <w:lvl w:ilvl="6">
      <w:start w:val="0"/>
      <w:numFmt w:val="bullet"/>
      <w:lvlText w:val="•"/>
      <w:lvlJc w:val="left"/>
      <w:pPr>
        <w:ind w:left="5697" w:hanging="360"/>
      </w:pPr>
      <w:rPr>
        <w:rFonts w:hint="default"/>
      </w:rPr>
    </w:lvl>
    <w:lvl w:ilvl="7">
      <w:start w:val="0"/>
      <w:numFmt w:val="bullet"/>
      <w:lvlText w:val="•"/>
      <w:lvlJc w:val="left"/>
      <w:pPr>
        <w:ind w:left="6673" w:hanging="360"/>
      </w:pPr>
      <w:rPr>
        <w:rFonts w:hint="default"/>
      </w:rPr>
    </w:lvl>
    <w:lvl w:ilvl="8">
      <w:start w:val="0"/>
      <w:numFmt w:val="bullet"/>
      <w:lvlText w:val="•"/>
      <w:lvlJc w:val="left"/>
      <w:pPr>
        <w:ind w:left="7648" w:hanging="360"/>
      </w:pPr>
      <w:rPr>
        <w:rFonts w:hint="default"/>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25"/>
      <w:ind w:left="205"/>
    </w:pPr>
    <w:rPr>
      <w:rFonts w:ascii="Arial" w:hAnsi="Arial" w:eastAsia="Arial" w:cs="Arial"/>
      <w:sz w:val="22"/>
      <w:szCs w:val="22"/>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80"/>
      <w:ind w:left="100"/>
      <w:outlineLvl w:val="1"/>
    </w:pPr>
    <w:rPr>
      <w:rFonts w:ascii="Arial" w:hAnsi="Arial" w:eastAsia="Arial" w:cs="Arial"/>
      <w:b/>
      <w:bCs/>
      <w:sz w:val="24"/>
      <w:szCs w:val="24"/>
      <w:u w:val="single" w:color="000000"/>
    </w:rPr>
  </w:style>
  <w:style w:styleId="Heading2" w:type="paragraph">
    <w:name w:val="Heading 2"/>
    <w:basedOn w:val="Normal"/>
    <w:uiPriority w:val="1"/>
    <w:qFormat/>
    <w:pPr>
      <w:ind w:left="100"/>
      <w:outlineLvl w:val="2"/>
    </w:pPr>
    <w:rPr>
      <w:rFonts w:ascii="Arial" w:hAnsi="Arial" w:eastAsia="Arial" w:cs="Arial"/>
      <w:b/>
      <w:bCs/>
      <w:sz w:val="22"/>
      <w:szCs w:val="22"/>
    </w:rPr>
  </w:style>
  <w:style w:styleId="ListParagraph" w:type="paragraph">
    <w:name w:val="List Paragraph"/>
    <w:basedOn w:val="Normal"/>
    <w:uiPriority w:val="1"/>
    <w:qFormat/>
    <w:pPr>
      <w:ind w:left="820" w:hanging="360"/>
    </w:pPr>
    <w:rPr>
      <w:rFonts w:ascii="Arial" w:hAnsi="Arial" w:eastAsia="Arial" w:cs="Arial"/>
    </w:rPr>
  </w:style>
  <w:style w:styleId="TableParagraph" w:type="paragraph">
    <w:name w:val="Table Paragraph"/>
    <w:basedOn w:val="Normal"/>
    <w:uiPriority w:val="1"/>
    <w:qFormat/>
    <w:pPr>
      <w:spacing w:before="100"/>
      <w:ind w:left="89"/>
      <w:jc w:val="center"/>
    </w:pPr>
    <w:rPr>
      <w:rFonts w:ascii="Calibri" w:hAnsi="Calibri" w:eastAsia="Calibri" w:cs="Calibri"/>
    </w:rPr>
  </w:style>
</w:style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customXml" Target="../customXml/item2.xml"/><Relationship Id="rId7" Type="http://schemas.openxmlformats.org/officeDocument/2006/relationships/image" Target="media/image2.png"/><Relationship Id="rId2" Type="http://schemas.openxmlformats.org/officeDocument/2006/relationships/fontTable" Target="fontTable.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numbering" Target="numbering.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customXml" Target="../customXml/item3.xml"/><Relationship Id="rId8" Type="http://schemas.openxmlformats.org/officeDocument/2006/relationships/image" Target="media/image3.png"/><Relationship Id="rId3" Type="http://schemas.openxmlformats.org/officeDocument/2006/relationships/theme" Target="theme/theme1.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3BE68F7849A845B253768CFB280D40" ma:contentTypeVersion="20" ma:contentTypeDescription="Create a new document." ma:contentTypeScope="" ma:versionID="27c855a24322560e7a7fca8c3f33477f">
  <xsd:schema xmlns:xsd="http://www.w3.org/2001/XMLSchema" xmlns:xs="http://www.w3.org/2001/XMLSchema" xmlns:p="http://schemas.microsoft.com/office/2006/metadata/properties" xmlns:ns2="b9af824b-b9ca-44bc-93e9-131eccbb3ac9" xmlns:ns3="b9b69cfa-80ab-4e57-8c7c-c439de3a6f57" targetNamespace="http://schemas.microsoft.com/office/2006/metadata/properties" ma:root="true" ma:fieldsID="4728126e996387a2b2d41c0dae127070" ns2:_="" ns3:_="">
    <xsd:import namespace="b9af824b-b9ca-44bc-93e9-131eccbb3ac9"/>
    <xsd:import namespace="b9b69cfa-80ab-4e57-8c7c-c439de3a6f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Done" minOccurs="0"/>
                <xsd:element ref="ns2:MediaLengthInSeconds" minOccurs="0"/>
                <xsd:element ref="ns2:Status" minOccurs="0"/>
                <xsd:element ref="ns2:MediaServiceLocation" minOccurs="0"/>
                <xsd:element ref="ns2:Updated" minOccurs="0"/>
                <xsd:element ref="ns2:ConfirmedCurrent"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f824b-b9ca-44bc-93e9-131eccbb3a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one" ma:index="19" nillable="true" ma:displayName="Done" ma:default="1" ma:internalName="Done">
      <xsd:simpleType>
        <xsd:restriction base="dms:Boolean"/>
      </xsd:simpleType>
    </xsd:element>
    <xsd:element name="MediaLengthInSeconds" ma:index="20" nillable="true" ma:displayName="Length (seconds)" ma:internalName="MediaLengthInSeconds" ma:readOnly="true">
      <xsd:simpleType>
        <xsd:restriction base="dms:Unknown"/>
      </xsd:simpleType>
    </xsd:element>
    <xsd:element name="Status" ma:index="21" nillable="true" ma:displayName="Status " ma:format="Dropdown" ma:internalName="Status">
      <xsd:simpleType>
        <xsd:union memberTypes="dms:Text">
          <xsd:simpleType>
            <xsd:restriction base="dms:Choice">
              <xsd:enumeration value="Drafting"/>
              <xsd:enumeration value="Complete"/>
              <xsd:enumeration value="Implementing "/>
            </xsd:restriction>
          </xsd:simpleType>
        </xsd:union>
      </xsd:simpleType>
    </xsd:element>
    <xsd:element name="MediaServiceLocation" ma:index="22" nillable="true" ma:displayName="Location" ma:internalName="MediaServiceLocation" ma:readOnly="true">
      <xsd:simpleType>
        <xsd:restriction base="dms:Text"/>
      </xsd:simpleType>
    </xsd:element>
    <xsd:element name="Updated" ma:index="23" nillable="true" ma:displayName="Updated" ma:description="May 2018" ma:format="Dropdown" ma:internalName="Updated">
      <xsd:simpleType>
        <xsd:restriction base="dms:Text">
          <xsd:maxLength value="255"/>
        </xsd:restriction>
      </xsd:simpleType>
    </xsd:element>
    <xsd:element name="ConfirmedCurrent" ma:index="24" nillable="true" ma:displayName="Confirmed Current " ma:description="January 14, 2021 " ma:format="Dropdown" ma:internalName="ConfirmedCurrent">
      <xsd:simpleType>
        <xsd:restriction base="dms:Text">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b69cfa-80ab-4e57-8c7c-c439de3a6f5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eff38b9b-e467-49f0-aa00-a4b002715b25}" ma:internalName="TaxCatchAll" ma:showField="CatchAllData" ma:web="b9b69cfa-80ab-4e57-8c7c-c439de3a6f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ne xmlns="b9af824b-b9ca-44bc-93e9-131eccbb3ac9">true</Done>
    <Status xmlns="b9af824b-b9ca-44bc-93e9-131eccbb3ac9" xsi:nil="true"/>
    <Updated xmlns="b9af824b-b9ca-44bc-93e9-131eccbb3ac9" xsi:nil="true"/>
    <ConfirmedCurrent xmlns="b9af824b-b9ca-44bc-93e9-131eccbb3ac9" xsi:nil="true"/>
    <lcf76f155ced4ddcb4097134ff3c332f xmlns="b9af824b-b9ca-44bc-93e9-131eccbb3ac9">
      <Terms xmlns="http://schemas.microsoft.com/office/infopath/2007/PartnerControls"/>
    </lcf76f155ced4ddcb4097134ff3c332f>
    <TaxCatchAll xmlns="b9b69cfa-80ab-4e57-8c7c-c439de3a6f57" xsi:nil="true"/>
  </documentManagement>
</p:properties>
</file>

<file path=customXml/itemProps1.xml><?xml version="1.0" encoding="utf-8"?>
<ds:datastoreItem xmlns:ds="http://schemas.openxmlformats.org/officeDocument/2006/customXml" ds:itemID="{F760D59A-8321-4919-A830-3E3AB812089B}"/>
</file>

<file path=customXml/itemProps2.xml><?xml version="1.0" encoding="utf-8"?>
<ds:datastoreItem xmlns:ds="http://schemas.openxmlformats.org/officeDocument/2006/customXml" ds:itemID="{06D9E1FD-3CF5-4B39-A1D7-0F9DF962B872}"/>
</file>

<file path=customXml/itemProps3.xml><?xml version="1.0" encoding="utf-8"?>
<ds:datastoreItem xmlns:ds="http://schemas.openxmlformats.org/officeDocument/2006/customXml" ds:itemID="{44131C09-FF5C-4397-81F8-4293376A07E6}"/>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FGO 4-Year Review: UCFA Personnel Subcomittee Version</dc:title>
  <dcterms:created xsi:type="dcterms:W3CDTF">2023-04-07T20:21:26Z</dcterms:created>
  <dcterms:modified xsi:type="dcterms:W3CDTF">2023-04-07T20:21:26Z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0x010100373BE68F7849A845B253768CFB280D40</vt:lpwstr>
  </property>
</Properties>
</file>