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30AA7" w14:textId="3285FE16" w:rsidR="00A87D53" w:rsidRPr="00A87D53" w:rsidRDefault="00A87D53" w:rsidP="00C72B8C">
      <w:pPr>
        <w:spacing w:after="0" w:line="240" w:lineRule="auto"/>
        <w:rPr>
          <w:rFonts w:ascii="Arial" w:hAnsi="Arial" w:cs="Arial"/>
        </w:rPr>
      </w:pPr>
    </w:p>
    <w:p w14:paraId="026DA8EE" w14:textId="77777777" w:rsidR="003827EE" w:rsidRDefault="003827EE" w:rsidP="00C72B8C">
      <w:pPr>
        <w:spacing w:after="60" w:line="240" w:lineRule="auto"/>
        <w:jc w:val="center"/>
        <w:rPr>
          <w:rFonts w:ascii="Arial" w:hAnsi="Arial" w:cs="Arial"/>
          <w:b/>
          <w:bCs/>
        </w:rPr>
      </w:pPr>
      <w:r>
        <w:rPr>
          <w:rFonts w:ascii="Arial" w:hAnsi="Arial" w:cs="Arial"/>
          <w:b/>
          <w:bCs/>
        </w:rPr>
        <w:t xml:space="preserve">FASA Update on </w:t>
      </w:r>
    </w:p>
    <w:p w14:paraId="31CA07C2" w14:textId="6BDBDBD6" w:rsidR="00717834" w:rsidRDefault="00717834" w:rsidP="00C72B8C">
      <w:pPr>
        <w:spacing w:after="60" w:line="240" w:lineRule="auto"/>
        <w:jc w:val="center"/>
        <w:rPr>
          <w:rFonts w:ascii="Arial" w:hAnsi="Arial" w:cs="Arial"/>
          <w:b/>
          <w:bCs/>
        </w:rPr>
      </w:pPr>
      <w:r w:rsidRPr="007F2E41">
        <w:rPr>
          <w:rFonts w:ascii="Arial" w:hAnsi="Arial" w:cs="Arial"/>
          <w:b/>
          <w:bCs/>
        </w:rPr>
        <w:t>Proposed</w:t>
      </w:r>
      <w:r>
        <w:rPr>
          <w:rFonts w:ascii="Arial" w:hAnsi="Arial" w:cs="Arial"/>
          <w:b/>
          <w:bCs/>
        </w:rPr>
        <w:t xml:space="preserve"> Course Fee Courtesy Policy Changes </w:t>
      </w:r>
    </w:p>
    <w:p w14:paraId="2B8A5FFC" w14:textId="321E2D03" w:rsidR="00717834" w:rsidRDefault="00717834" w:rsidP="007F03A8">
      <w:pPr>
        <w:spacing w:after="60" w:line="240" w:lineRule="auto"/>
        <w:jc w:val="center"/>
        <w:rPr>
          <w:rFonts w:ascii="Arial" w:hAnsi="Arial" w:cs="Arial"/>
          <w:b/>
          <w:bCs/>
        </w:rPr>
      </w:pPr>
      <w:r>
        <w:rPr>
          <w:rFonts w:ascii="Arial" w:hAnsi="Arial" w:cs="Arial"/>
          <w:b/>
          <w:bCs/>
        </w:rPr>
        <w:t xml:space="preserve">for Faculty and Academic </w:t>
      </w:r>
      <w:r w:rsidR="007D4F04">
        <w:rPr>
          <w:rFonts w:ascii="Arial" w:hAnsi="Arial" w:cs="Arial"/>
          <w:b/>
          <w:bCs/>
        </w:rPr>
        <w:br/>
        <w:t>9/24/2024</w:t>
      </w:r>
    </w:p>
    <w:p w14:paraId="0DD1D1F8" w14:textId="77777777" w:rsidR="007F03A8" w:rsidRDefault="007F03A8" w:rsidP="007F03A8">
      <w:pPr>
        <w:spacing w:after="60" w:line="240" w:lineRule="auto"/>
        <w:jc w:val="center"/>
        <w:rPr>
          <w:rFonts w:ascii="Arial" w:hAnsi="Arial" w:cs="Arial"/>
          <w:b/>
          <w:bCs/>
        </w:rPr>
      </w:pPr>
    </w:p>
    <w:p w14:paraId="33E641E6" w14:textId="77777777" w:rsidR="007F03A8" w:rsidRDefault="007F03A8" w:rsidP="007F03A8">
      <w:pPr>
        <w:spacing w:after="60" w:line="240" w:lineRule="auto"/>
        <w:jc w:val="center"/>
        <w:rPr>
          <w:rFonts w:ascii="Arial" w:hAnsi="Arial" w:cs="Arial"/>
          <w:b/>
          <w:bCs/>
        </w:rPr>
      </w:pPr>
    </w:p>
    <w:p w14:paraId="50C301D1" w14:textId="6D078541" w:rsidR="00717834" w:rsidRDefault="00717834" w:rsidP="00717834">
      <w:pPr>
        <w:tabs>
          <w:tab w:val="left" w:pos="6360"/>
        </w:tabs>
        <w:rPr>
          <w:rFonts w:ascii="Arial" w:hAnsi="Arial" w:cs="Arial"/>
        </w:rPr>
      </w:pPr>
      <w:r w:rsidRPr="00717834">
        <w:rPr>
          <w:rFonts w:ascii="Arial" w:hAnsi="Arial" w:cs="Arial"/>
          <w:b/>
          <w:bCs/>
          <w:u w:val="single"/>
        </w:rPr>
        <w:t>Background:</w:t>
      </w:r>
      <w:r>
        <w:rPr>
          <w:rFonts w:ascii="Arial" w:hAnsi="Arial" w:cs="Arial"/>
        </w:rPr>
        <w:t xml:space="preserve"> The UCFA </w:t>
      </w:r>
      <w:r w:rsidR="007F03A8">
        <w:rPr>
          <w:rFonts w:ascii="Arial" w:hAnsi="Arial" w:cs="Arial"/>
        </w:rPr>
        <w:t>evaluated</w:t>
      </w:r>
      <w:r>
        <w:rPr>
          <w:rFonts w:ascii="Arial" w:hAnsi="Arial" w:cs="Arial"/>
        </w:rPr>
        <w:t xml:space="preserve"> the Course Fee Courtesy policy</w:t>
      </w:r>
      <w:r w:rsidR="007F03A8">
        <w:rPr>
          <w:rFonts w:ascii="Arial" w:hAnsi="Arial" w:cs="Arial"/>
        </w:rPr>
        <w:t xml:space="preserve"> in spring of 202</w:t>
      </w:r>
      <w:r w:rsidR="00C013DA">
        <w:rPr>
          <w:rFonts w:ascii="Arial" w:hAnsi="Arial" w:cs="Arial"/>
        </w:rPr>
        <w:t>2</w:t>
      </w:r>
      <w:r>
        <w:rPr>
          <w:rFonts w:ascii="Arial" w:hAnsi="Arial" w:cs="Arial"/>
        </w:rPr>
        <w:t xml:space="preserve">. The philosophy behind their review </w:t>
      </w:r>
      <w:r w:rsidR="007F03A8">
        <w:rPr>
          <w:rFonts w:ascii="Arial" w:hAnsi="Arial" w:cs="Arial"/>
        </w:rPr>
        <w:t>was:</w:t>
      </w:r>
    </w:p>
    <w:p w14:paraId="1197D499" w14:textId="750B32B8" w:rsidR="00717834" w:rsidRDefault="00717834" w:rsidP="00717834">
      <w:pPr>
        <w:pStyle w:val="ListParagraph"/>
        <w:numPr>
          <w:ilvl w:val="0"/>
          <w:numId w:val="10"/>
        </w:numPr>
        <w:tabs>
          <w:tab w:val="left" w:pos="6360"/>
        </w:tabs>
        <w:rPr>
          <w:rFonts w:ascii="Arial" w:hAnsi="Arial" w:cs="Arial"/>
        </w:rPr>
      </w:pPr>
      <w:r w:rsidRPr="00717834">
        <w:rPr>
          <w:rFonts w:ascii="Arial" w:hAnsi="Arial" w:cs="Arial"/>
        </w:rPr>
        <w:t xml:space="preserve">the policy has not been </w:t>
      </w:r>
      <w:r>
        <w:rPr>
          <w:rFonts w:ascii="Arial" w:hAnsi="Arial" w:cs="Arial"/>
        </w:rPr>
        <w:t>reviewed/</w:t>
      </w:r>
      <w:r w:rsidRPr="00717834">
        <w:rPr>
          <w:rFonts w:ascii="Arial" w:hAnsi="Arial" w:cs="Arial"/>
        </w:rPr>
        <w:t>revised since 2002</w:t>
      </w:r>
    </w:p>
    <w:p w14:paraId="4EF251E7" w14:textId="42AEE01C" w:rsidR="00717834" w:rsidRDefault="00717834" w:rsidP="00717834">
      <w:pPr>
        <w:pStyle w:val="ListParagraph"/>
        <w:numPr>
          <w:ilvl w:val="0"/>
          <w:numId w:val="10"/>
        </w:numPr>
        <w:tabs>
          <w:tab w:val="left" w:pos="6360"/>
        </w:tabs>
        <w:rPr>
          <w:rFonts w:ascii="Arial" w:hAnsi="Arial" w:cs="Arial"/>
        </w:rPr>
      </w:pPr>
      <w:r w:rsidRPr="00717834">
        <w:rPr>
          <w:rFonts w:ascii="Arial" w:hAnsi="Arial" w:cs="Arial"/>
        </w:rPr>
        <w:t>compensation and benefit packages in employment ha</w:t>
      </w:r>
      <w:r w:rsidR="00C72B8C">
        <w:rPr>
          <w:rFonts w:ascii="Arial" w:hAnsi="Arial" w:cs="Arial"/>
        </w:rPr>
        <w:t>ve</w:t>
      </w:r>
      <w:r w:rsidRPr="00717834">
        <w:rPr>
          <w:rFonts w:ascii="Arial" w:hAnsi="Arial" w:cs="Arial"/>
        </w:rPr>
        <w:t xml:space="preserve"> changed drastically since 2002</w:t>
      </w:r>
    </w:p>
    <w:p w14:paraId="78B6C0B4" w14:textId="77777777" w:rsidR="007F03A8" w:rsidRDefault="00C72B8C" w:rsidP="00717834">
      <w:pPr>
        <w:pStyle w:val="ListParagraph"/>
        <w:numPr>
          <w:ilvl w:val="0"/>
          <w:numId w:val="10"/>
        </w:numPr>
        <w:tabs>
          <w:tab w:val="left" w:pos="6360"/>
        </w:tabs>
        <w:rPr>
          <w:rFonts w:ascii="Arial" w:hAnsi="Arial" w:cs="Arial"/>
        </w:rPr>
      </w:pPr>
      <w:r>
        <w:rPr>
          <w:rFonts w:ascii="Arial" w:hAnsi="Arial" w:cs="Arial"/>
        </w:rPr>
        <w:t>A</w:t>
      </w:r>
      <w:r w:rsidR="00717834" w:rsidRPr="007475E5">
        <w:rPr>
          <w:rFonts w:ascii="Arial" w:hAnsi="Arial" w:cs="Arial"/>
        </w:rPr>
        <w:t xml:space="preserve"> stronger culture of benefits can set MSU apart from our peers for purposes of recruitment and retention</w:t>
      </w:r>
      <w:r>
        <w:rPr>
          <w:rFonts w:ascii="Arial" w:hAnsi="Arial" w:cs="Arial"/>
        </w:rPr>
        <w:t xml:space="preserve">, making MSU </w:t>
      </w:r>
      <w:r w:rsidRPr="007475E5">
        <w:rPr>
          <w:rFonts w:ascii="Arial" w:hAnsi="Arial" w:cs="Arial"/>
        </w:rPr>
        <w:t>a workplace of choice</w:t>
      </w:r>
      <w:r>
        <w:rPr>
          <w:rFonts w:ascii="Arial" w:hAnsi="Arial" w:cs="Arial"/>
        </w:rPr>
        <w:t>.</w:t>
      </w:r>
      <w:r w:rsidR="007475E5" w:rsidRPr="007475E5">
        <w:rPr>
          <w:rFonts w:ascii="Arial" w:hAnsi="Arial" w:cs="Arial"/>
        </w:rPr>
        <w:t xml:space="preserve"> Although </w:t>
      </w:r>
      <w:r w:rsidR="007475E5">
        <w:rPr>
          <w:rFonts w:ascii="Arial" w:hAnsi="Arial" w:cs="Arial"/>
        </w:rPr>
        <w:t>fa</w:t>
      </w:r>
      <w:r w:rsidR="00717834" w:rsidRPr="007475E5">
        <w:rPr>
          <w:rFonts w:ascii="Arial" w:hAnsi="Arial" w:cs="Arial"/>
        </w:rPr>
        <w:t xml:space="preserve">culty salaries are generally at the </w:t>
      </w:r>
      <w:r>
        <w:rPr>
          <w:rFonts w:ascii="Arial" w:hAnsi="Arial" w:cs="Arial"/>
        </w:rPr>
        <w:t>lower end of</w:t>
      </w:r>
      <w:r w:rsidR="00717834" w:rsidRPr="007475E5">
        <w:rPr>
          <w:rFonts w:ascii="Arial" w:hAnsi="Arial" w:cs="Arial"/>
        </w:rPr>
        <w:t xml:space="preserve"> the Big Ten in annual compensation studies</w:t>
      </w:r>
      <w:r w:rsidR="007475E5" w:rsidRPr="007475E5">
        <w:rPr>
          <w:rFonts w:ascii="Arial" w:hAnsi="Arial" w:cs="Arial"/>
        </w:rPr>
        <w:t xml:space="preserve">, </w:t>
      </w:r>
      <w:r w:rsidR="007475E5">
        <w:rPr>
          <w:rFonts w:ascii="Arial" w:hAnsi="Arial" w:cs="Arial"/>
        </w:rPr>
        <w:t>this policy can be used as a competitive tool to attract and retain faculty and academic staff</w:t>
      </w:r>
    </w:p>
    <w:p w14:paraId="0F704270" w14:textId="2EED4278" w:rsidR="007F03A8" w:rsidRPr="007F03A8" w:rsidRDefault="007F03A8" w:rsidP="00717834">
      <w:pPr>
        <w:pStyle w:val="ListParagraph"/>
        <w:numPr>
          <w:ilvl w:val="0"/>
          <w:numId w:val="10"/>
        </w:numPr>
        <w:tabs>
          <w:tab w:val="left" w:pos="6360"/>
        </w:tabs>
        <w:rPr>
          <w:rFonts w:ascii="Arial" w:hAnsi="Arial" w:cs="Arial"/>
        </w:rPr>
      </w:pPr>
      <w:r>
        <w:rPr>
          <w:rFonts w:ascii="Arial" w:hAnsi="Arial" w:cs="Arial"/>
        </w:rPr>
        <w:t xml:space="preserve">The changes are itemized in the table below. </w:t>
      </w:r>
      <w:r>
        <w:rPr>
          <w:rFonts w:ascii="Arial" w:hAnsi="Arial" w:cs="Arial"/>
        </w:rPr>
        <w:br/>
      </w:r>
    </w:p>
    <w:p w14:paraId="003F9D88" w14:textId="1BB66235" w:rsidR="007475E5" w:rsidRDefault="007475E5" w:rsidP="00717834">
      <w:pPr>
        <w:tabs>
          <w:tab w:val="left" w:pos="6360"/>
        </w:tabs>
        <w:rPr>
          <w:rFonts w:ascii="Arial" w:hAnsi="Arial" w:cs="Arial"/>
        </w:rPr>
      </w:pPr>
      <w:r w:rsidRPr="007475E5">
        <w:rPr>
          <w:rFonts w:ascii="Arial" w:hAnsi="Arial" w:cs="Arial"/>
          <w:b/>
          <w:bCs/>
          <w:u w:val="single"/>
        </w:rPr>
        <w:t>Request:</w:t>
      </w:r>
      <w:r>
        <w:rPr>
          <w:rFonts w:ascii="Arial" w:hAnsi="Arial" w:cs="Arial"/>
        </w:rPr>
        <w:t xml:space="preserve"> The UCFA requested information on the costs of these changes, and whether these changes are feasible. </w:t>
      </w:r>
      <w:r w:rsidR="00717834">
        <w:rPr>
          <w:rFonts w:ascii="Arial" w:hAnsi="Arial" w:cs="Arial"/>
        </w:rPr>
        <w:t xml:space="preserve"> </w:t>
      </w:r>
    </w:p>
    <w:p w14:paraId="4BB49819" w14:textId="67EE5AD1" w:rsidR="007475E5" w:rsidRDefault="00B7217E" w:rsidP="00717834">
      <w:pPr>
        <w:tabs>
          <w:tab w:val="left" w:pos="6360"/>
        </w:tabs>
        <w:rPr>
          <w:rFonts w:ascii="Arial" w:hAnsi="Arial" w:cs="Arial"/>
          <w:b/>
          <w:bCs/>
          <w:u w:val="single"/>
        </w:rPr>
      </w:pPr>
      <w:r>
        <w:rPr>
          <w:rFonts w:ascii="Arial" w:hAnsi="Arial" w:cs="Arial"/>
          <w:b/>
          <w:bCs/>
          <w:u w:val="single"/>
        </w:rPr>
        <w:t>FASA Response</w:t>
      </w:r>
      <w:r w:rsidR="007475E5" w:rsidRPr="007475E5">
        <w:rPr>
          <w:rFonts w:ascii="Arial" w:hAnsi="Arial" w:cs="Arial"/>
          <w:b/>
          <w:bCs/>
          <w:u w:val="single"/>
        </w:rPr>
        <w:t xml:space="preserve">: </w:t>
      </w:r>
    </w:p>
    <w:p w14:paraId="16E9DB75" w14:textId="4F731CD9" w:rsidR="007475E5" w:rsidRPr="007475E5" w:rsidRDefault="007475E5" w:rsidP="007475E5">
      <w:pPr>
        <w:pStyle w:val="ListParagraph"/>
        <w:numPr>
          <w:ilvl w:val="0"/>
          <w:numId w:val="11"/>
        </w:numPr>
        <w:tabs>
          <w:tab w:val="left" w:pos="6360"/>
        </w:tabs>
        <w:rPr>
          <w:rFonts w:ascii="Arial" w:hAnsi="Arial" w:cs="Arial"/>
          <w:b/>
          <w:bCs/>
          <w:u w:val="single"/>
        </w:rPr>
      </w:pPr>
      <w:r w:rsidRPr="2412968E">
        <w:rPr>
          <w:rFonts w:ascii="Arial" w:hAnsi="Arial" w:cs="Arial"/>
        </w:rPr>
        <w:t>HR ha</w:t>
      </w:r>
      <w:r w:rsidR="007F03A8" w:rsidRPr="2412968E">
        <w:rPr>
          <w:rFonts w:ascii="Arial" w:hAnsi="Arial" w:cs="Arial"/>
        </w:rPr>
        <w:t>d</w:t>
      </w:r>
      <w:r w:rsidRPr="2412968E">
        <w:rPr>
          <w:rFonts w:ascii="Arial" w:hAnsi="Arial" w:cs="Arial"/>
        </w:rPr>
        <w:t xml:space="preserve"> </w:t>
      </w:r>
      <w:r w:rsidR="007F03A8" w:rsidRPr="2412968E">
        <w:rPr>
          <w:rFonts w:ascii="Arial" w:hAnsi="Arial" w:cs="Arial"/>
        </w:rPr>
        <w:t xml:space="preserve">been </w:t>
      </w:r>
      <w:r w:rsidRPr="2412968E">
        <w:rPr>
          <w:rFonts w:ascii="Arial" w:hAnsi="Arial" w:cs="Arial"/>
        </w:rPr>
        <w:t>exploring changes</w:t>
      </w:r>
      <w:r w:rsidR="007F03A8" w:rsidRPr="2412968E">
        <w:rPr>
          <w:rFonts w:ascii="Arial" w:hAnsi="Arial" w:cs="Arial"/>
        </w:rPr>
        <w:t xml:space="preserve"> to the CFC policy; </w:t>
      </w:r>
      <w:r w:rsidRPr="2412968E">
        <w:rPr>
          <w:rFonts w:ascii="Arial" w:hAnsi="Arial" w:cs="Arial"/>
        </w:rPr>
        <w:t>Sharri Margraves discussed with the UCFA some of the issues with the policy today (</w:t>
      </w:r>
      <w:r w:rsidRPr="2412968E">
        <w:rPr>
          <w:rFonts w:ascii="Arial" w:hAnsi="Arial" w:cs="Arial"/>
          <w:highlight w:val="yellow"/>
        </w:rPr>
        <w:t>e.g., 120 credit limit</w:t>
      </w:r>
      <w:r w:rsidRPr="2412968E">
        <w:rPr>
          <w:rFonts w:ascii="Arial" w:hAnsi="Arial" w:cs="Arial"/>
        </w:rPr>
        <w:t>). The UCFA wholeheartedly endorsed Sharri’s recommendation to increase the credit limit</w:t>
      </w:r>
      <w:r w:rsidR="007F03A8" w:rsidRPr="2412968E">
        <w:rPr>
          <w:rFonts w:ascii="Arial" w:hAnsi="Arial" w:cs="Arial"/>
        </w:rPr>
        <w:t xml:space="preserve">. </w:t>
      </w:r>
    </w:p>
    <w:p w14:paraId="1C45D69B" w14:textId="4AB19DE9" w:rsidR="00B7217E" w:rsidRPr="00B7217E" w:rsidRDefault="007F03A8" w:rsidP="007475E5">
      <w:pPr>
        <w:pStyle w:val="ListParagraph"/>
        <w:numPr>
          <w:ilvl w:val="0"/>
          <w:numId w:val="11"/>
        </w:numPr>
        <w:tabs>
          <w:tab w:val="left" w:pos="6360"/>
        </w:tabs>
        <w:rPr>
          <w:rFonts w:ascii="Arial" w:hAnsi="Arial" w:cs="Arial"/>
          <w:b/>
          <w:bCs/>
          <w:u w:val="single"/>
        </w:rPr>
      </w:pPr>
      <w:r>
        <w:rPr>
          <w:rFonts w:ascii="Arial" w:hAnsi="Arial" w:cs="Arial"/>
        </w:rPr>
        <w:t>C</w:t>
      </w:r>
      <w:r w:rsidR="007475E5">
        <w:rPr>
          <w:rFonts w:ascii="Arial" w:hAnsi="Arial" w:cs="Arial"/>
        </w:rPr>
        <w:t xml:space="preserve">ost analyses/projections occur within </w:t>
      </w:r>
      <w:r>
        <w:rPr>
          <w:rFonts w:ascii="Arial" w:hAnsi="Arial" w:cs="Arial"/>
        </w:rPr>
        <w:t xml:space="preserve">HR and </w:t>
      </w:r>
      <w:r w:rsidR="007475E5">
        <w:rPr>
          <w:rFonts w:ascii="Arial" w:hAnsi="Arial" w:cs="Arial"/>
        </w:rPr>
        <w:t xml:space="preserve">Finance. </w:t>
      </w:r>
    </w:p>
    <w:p w14:paraId="2C2E9C62" w14:textId="742D8270" w:rsidR="00B7217E" w:rsidRPr="00B7217E" w:rsidRDefault="00B7217E">
      <w:pPr>
        <w:pStyle w:val="ListParagraph"/>
        <w:numPr>
          <w:ilvl w:val="0"/>
          <w:numId w:val="11"/>
        </w:numPr>
        <w:tabs>
          <w:tab w:val="left" w:pos="6360"/>
        </w:tabs>
        <w:rPr>
          <w:rFonts w:ascii="Arial" w:hAnsi="Arial" w:cs="Arial"/>
          <w:b/>
          <w:bCs/>
          <w:u w:val="single"/>
        </w:rPr>
      </w:pPr>
      <w:r w:rsidRPr="00B7217E">
        <w:rPr>
          <w:rFonts w:ascii="Arial" w:hAnsi="Arial" w:cs="Arial"/>
        </w:rPr>
        <w:t>FASA discussed next steps with HR and the Office for Finance</w:t>
      </w:r>
      <w:r>
        <w:rPr>
          <w:rFonts w:ascii="Arial" w:hAnsi="Arial" w:cs="Arial"/>
        </w:rPr>
        <w:t xml:space="preserve"> and reviewed the list of requested changes. The changes that may be feasible at this time are listed below in green</w:t>
      </w:r>
      <w:r w:rsidR="007D4F04">
        <w:rPr>
          <w:rFonts w:ascii="Arial" w:hAnsi="Arial" w:cs="Arial"/>
        </w:rPr>
        <w:t xml:space="preserve"> as “Phase 1” items</w:t>
      </w:r>
      <w:r>
        <w:rPr>
          <w:rFonts w:ascii="Arial" w:hAnsi="Arial" w:cs="Arial"/>
        </w:rPr>
        <w:t xml:space="preserve">. </w:t>
      </w:r>
    </w:p>
    <w:p w14:paraId="2406B959" w14:textId="32D3C9A9" w:rsidR="007F03A8" w:rsidRPr="00B7217E" w:rsidRDefault="007F03A8">
      <w:pPr>
        <w:pStyle w:val="ListParagraph"/>
        <w:numPr>
          <w:ilvl w:val="0"/>
          <w:numId w:val="11"/>
        </w:numPr>
        <w:tabs>
          <w:tab w:val="left" w:pos="6360"/>
        </w:tabs>
        <w:rPr>
          <w:rFonts w:ascii="Arial" w:hAnsi="Arial" w:cs="Arial"/>
          <w:b/>
          <w:bCs/>
          <w:u w:val="single"/>
        </w:rPr>
      </w:pPr>
      <w:r w:rsidRPr="00B7217E">
        <w:rPr>
          <w:rFonts w:ascii="Arial" w:hAnsi="Arial" w:cs="Arial"/>
        </w:rPr>
        <w:t xml:space="preserve">FASA obtained the following </w:t>
      </w:r>
      <w:r w:rsidR="00B7217E">
        <w:rPr>
          <w:rFonts w:ascii="Arial" w:hAnsi="Arial" w:cs="Arial"/>
        </w:rPr>
        <w:t>cost estimates</w:t>
      </w:r>
      <w:r w:rsidRPr="00B7217E">
        <w:rPr>
          <w:rFonts w:ascii="Arial" w:hAnsi="Arial" w:cs="Arial"/>
        </w:rPr>
        <w:t xml:space="preserve"> from HR and Finance in September of 2024</w:t>
      </w:r>
      <w:r w:rsidR="00B7217E">
        <w:rPr>
          <w:rFonts w:ascii="Arial" w:hAnsi="Arial" w:cs="Arial"/>
        </w:rPr>
        <w:t xml:space="preserve"> for </w:t>
      </w:r>
      <w:r w:rsidR="007D4F04">
        <w:rPr>
          <w:rFonts w:ascii="Arial" w:hAnsi="Arial" w:cs="Arial"/>
        </w:rPr>
        <w:t xml:space="preserve">Phase 1 </w:t>
      </w:r>
      <w:r w:rsidR="00B7217E">
        <w:rPr>
          <w:rFonts w:ascii="Arial" w:hAnsi="Arial" w:cs="Arial"/>
        </w:rPr>
        <w:t>items</w:t>
      </w:r>
      <w:r w:rsidRPr="00B7217E">
        <w:rPr>
          <w:rFonts w:ascii="Arial" w:hAnsi="Arial" w:cs="Arial"/>
        </w:rPr>
        <w:t xml:space="preserve">: </w:t>
      </w:r>
    </w:p>
    <w:tbl>
      <w:tblPr>
        <w:tblpPr w:leftFromText="180" w:rightFromText="180" w:vertAnchor="text" w:horzAnchor="margin" w:tblpXSpec="center" w:tblpY="4"/>
        <w:tblW w:w="7208" w:type="dxa"/>
        <w:tblCellMar>
          <w:top w:w="15" w:type="dxa"/>
          <w:bottom w:w="15" w:type="dxa"/>
        </w:tblCellMar>
        <w:tblLook w:val="04A0" w:firstRow="1" w:lastRow="0" w:firstColumn="1" w:lastColumn="0" w:noHBand="0" w:noVBand="1"/>
      </w:tblPr>
      <w:tblGrid>
        <w:gridCol w:w="4664"/>
        <w:gridCol w:w="2314"/>
        <w:gridCol w:w="230"/>
      </w:tblGrid>
      <w:tr w:rsidR="007F03A8" w:rsidRPr="00F345C5" w14:paraId="285473B2" w14:textId="77777777" w:rsidTr="007F03A8">
        <w:trPr>
          <w:gridAfter w:val="1"/>
          <w:wAfter w:w="230" w:type="dxa"/>
          <w:trHeight w:val="480"/>
        </w:trPr>
        <w:tc>
          <w:tcPr>
            <w:tcW w:w="6978" w:type="dxa"/>
            <w:gridSpan w:val="2"/>
            <w:vMerge w:val="restart"/>
            <w:tcBorders>
              <w:top w:val="single" w:sz="8" w:space="0" w:color="auto"/>
              <w:left w:val="single" w:sz="8" w:space="0" w:color="auto"/>
              <w:bottom w:val="single" w:sz="4" w:space="0" w:color="auto"/>
              <w:right w:val="single" w:sz="4" w:space="0" w:color="auto"/>
            </w:tcBorders>
            <w:shd w:val="clear" w:color="000000" w:fill="A9D08E"/>
            <w:noWrap/>
            <w:vAlign w:val="center"/>
            <w:hideMark/>
          </w:tcPr>
          <w:p w14:paraId="07B0E52C" w14:textId="77777777" w:rsidR="007F03A8" w:rsidRPr="00F345C5" w:rsidRDefault="007F03A8" w:rsidP="007F03A8">
            <w:pPr>
              <w:spacing w:after="0" w:line="240" w:lineRule="auto"/>
              <w:jc w:val="center"/>
              <w:rPr>
                <w:rFonts w:ascii="Calibri" w:eastAsia="Times New Roman" w:hAnsi="Calibri" w:cs="Calibri"/>
                <w:b/>
                <w:bCs/>
                <w:color w:val="000000"/>
                <w:sz w:val="28"/>
                <w:szCs w:val="28"/>
              </w:rPr>
            </w:pPr>
            <w:r w:rsidRPr="00F345C5">
              <w:rPr>
                <w:rFonts w:ascii="Calibri" w:eastAsia="Times New Roman" w:hAnsi="Calibri" w:cs="Calibri"/>
                <w:b/>
                <w:bCs/>
                <w:color w:val="000000"/>
                <w:sz w:val="28"/>
                <w:szCs w:val="28"/>
              </w:rPr>
              <w:t xml:space="preserve">TOTAL </w:t>
            </w:r>
            <w:r>
              <w:rPr>
                <w:rFonts w:ascii="Calibri" w:eastAsia="Times New Roman" w:hAnsi="Calibri" w:cs="Calibri"/>
                <w:b/>
                <w:bCs/>
                <w:color w:val="000000"/>
                <w:sz w:val="28"/>
                <w:szCs w:val="28"/>
              </w:rPr>
              <w:t xml:space="preserve">ESTIMATED </w:t>
            </w:r>
            <w:r w:rsidRPr="00F345C5">
              <w:rPr>
                <w:rFonts w:ascii="Calibri" w:eastAsia="Times New Roman" w:hAnsi="Calibri" w:cs="Calibri"/>
                <w:b/>
                <w:bCs/>
                <w:color w:val="000000"/>
                <w:sz w:val="28"/>
                <w:szCs w:val="28"/>
              </w:rPr>
              <w:t xml:space="preserve">COST FOR </w:t>
            </w:r>
            <w:r>
              <w:rPr>
                <w:rFonts w:ascii="Calibri" w:eastAsia="Times New Roman" w:hAnsi="Calibri" w:cs="Calibri"/>
                <w:b/>
                <w:bCs/>
                <w:color w:val="000000"/>
                <w:sz w:val="28"/>
                <w:szCs w:val="28"/>
              </w:rPr>
              <w:t>CFC Expansion</w:t>
            </w:r>
          </w:p>
        </w:tc>
      </w:tr>
      <w:tr w:rsidR="007F03A8" w:rsidRPr="00F345C5" w14:paraId="3C71322F" w14:textId="77777777" w:rsidTr="007F03A8">
        <w:trPr>
          <w:trHeight w:val="335"/>
        </w:trPr>
        <w:tc>
          <w:tcPr>
            <w:tcW w:w="6978" w:type="dxa"/>
            <w:gridSpan w:val="2"/>
            <w:vMerge/>
            <w:tcBorders>
              <w:top w:val="single" w:sz="8" w:space="0" w:color="auto"/>
              <w:left w:val="single" w:sz="8" w:space="0" w:color="auto"/>
              <w:bottom w:val="single" w:sz="4" w:space="0" w:color="auto"/>
              <w:right w:val="single" w:sz="4" w:space="0" w:color="auto"/>
            </w:tcBorders>
            <w:vAlign w:val="center"/>
            <w:hideMark/>
          </w:tcPr>
          <w:p w14:paraId="4AE73BAB" w14:textId="77777777" w:rsidR="007F03A8" w:rsidRPr="00F345C5" w:rsidRDefault="007F03A8" w:rsidP="007F03A8">
            <w:pPr>
              <w:spacing w:after="0" w:line="240" w:lineRule="auto"/>
              <w:rPr>
                <w:rFonts w:ascii="Calibri" w:eastAsia="Times New Roman" w:hAnsi="Calibri" w:cs="Calibri"/>
                <w:b/>
                <w:bCs/>
                <w:color w:val="000000"/>
                <w:sz w:val="28"/>
                <w:szCs w:val="28"/>
              </w:rPr>
            </w:pPr>
          </w:p>
        </w:tc>
        <w:tc>
          <w:tcPr>
            <w:tcW w:w="230" w:type="dxa"/>
            <w:tcBorders>
              <w:top w:val="nil"/>
              <w:left w:val="nil"/>
              <w:bottom w:val="nil"/>
              <w:right w:val="nil"/>
            </w:tcBorders>
            <w:noWrap/>
            <w:vAlign w:val="bottom"/>
            <w:hideMark/>
          </w:tcPr>
          <w:p w14:paraId="23E8FE51" w14:textId="77777777" w:rsidR="007F03A8" w:rsidRPr="00F345C5" w:rsidRDefault="007F03A8" w:rsidP="007F03A8">
            <w:pPr>
              <w:spacing w:after="0" w:line="240" w:lineRule="auto"/>
              <w:jc w:val="center"/>
              <w:rPr>
                <w:rFonts w:ascii="Calibri" w:eastAsia="Times New Roman" w:hAnsi="Calibri" w:cs="Calibri"/>
                <w:b/>
                <w:bCs/>
                <w:color w:val="000000"/>
                <w:sz w:val="28"/>
                <w:szCs w:val="28"/>
              </w:rPr>
            </w:pPr>
          </w:p>
        </w:tc>
      </w:tr>
      <w:tr w:rsidR="007F03A8" w:rsidRPr="00F345C5" w14:paraId="0E1CC516" w14:textId="77777777" w:rsidTr="007F03A8">
        <w:trPr>
          <w:trHeight w:val="335"/>
        </w:trPr>
        <w:tc>
          <w:tcPr>
            <w:tcW w:w="4664" w:type="dxa"/>
            <w:tcBorders>
              <w:top w:val="single" w:sz="4" w:space="0" w:color="auto"/>
              <w:left w:val="single" w:sz="8" w:space="0" w:color="auto"/>
              <w:bottom w:val="single" w:sz="4" w:space="0" w:color="auto"/>
              <w:right w:val="single" w:sz="4" w:space="0" w:color="auto"/>
            </w:tcBorders>
            <w:vAlign w:val="bottom"/>
            <w:hideMark/>
          </w:tcPr>
          <w:p w14:paraId="5D9EF6DC" w14:textId="77777777" w:rsidR="007F03A8" w:rsidRPr="00F345C5" w:rsidRDefault="007F03A8" w:rsidP="007F03A8">
            <w:pPr>
              <w:spacing w:after="0" w:line="240" w:lineRule="auto"/>
              <w:rPr>
                <w:rFonts w:ascii="Calibri" w:eastAsia="Times New Roman" w:hAnsi="Calibri" w:cs="Calibri"/>
                <w:color w:val="000000"/>
              </w:rPr>
            </w:pPr>
            <w:r w:rsidRPr="00F345C5">
              <w:rPr>
                <w:rFonts w:ascii="Calibri" w:eastAsia="Times New Roman" w:hAnsi="Calibri" w:cs="Calibri"/>
                <w:color w:val="000000"/>
              </w:rPr>
              <w:t>Incremental cost for newly eligible students</w:t>
            </w:r>
          </w:p>
        </w:tc>
        <w:tc>
          <w:tcPr>
            <w:tcW w:w="2314" w:type="dxa"/>
            <w:tcBorders>
              <w:top w:val="single" w:sz="4" w:space="0" w:color="auto"/>
              <w:left w:val="single" w:sz="4" w:space="0" w:color="auto"/>
              <w:bottom w:val="single" w:sz="4" w:space="0" w:color="auto"/>
              <w:right w:val="single" w:sz="8" w:space="0" w:color="auto"/>
            </w:tcBorders>
            <w:noWrap/>
            <w:vAlign w:val="bottom"/>
            <w:hideMark/>
          </w:tcPr>
          <w:p w14:paraId="36714232" w14:textId="77777777" w:rsidR="007F03A8" w:rsidRPr="00F345C5" w:rsidRDefault="007F03A8" w:rsidP="007F03A8">
            <w:pPr>
              <w:spacing w:after="0" w:line="240" w:lineRule="auto"/>
              <w:jc w:val="right"/>
              <w:rPr>
                <w:rFonts w:ascii="Calibri" w:eastAsia="Times New Roman" w:hAnsi="Calibri" w:cs="Calibri"/>
                <w:color w:val="000000"/>
              </w:rPr>
            </w:pPr>
            <w:r w:rsidRPr="00F345C5">
              <w:rPr>
                <w:rFonts w:ascii="Calibri" w:eastAsia="Times New Roman" w:hAnsi="Calibri" w:cs="Calibri"/>
                <w:color w:val="000000"/>
              </w:rPr>
              <w:t>$777,383</w:t>
            </w:r>
          </w:p>
        </w:tc>
        <w:tc>
          <w:tcPr>
            <w:tcW w:w="230" w:type="dxa"/>
            <w:vAlign w:val="center"/>
            <w:hideMark/>
          </w:tcPr>
          <w:p w14:paraId="32053DB3" w14:textId="77777777" w:rsidR="007F03A8" w:rsidRPr="00F345C5" w:rsidRDefault="007F03A8" w:rsidP="007F03A8">
            <w:pPr>
              <w:spacing w:after="0" w:line="240" w:lineRule="auto"/>
              <w:rPr>
                <w:rFonts w:ascii="Times New Roman" w:eastAsia="Times New Roman" w:hAnsi="Times New Roman" w:cs="Times New Roman"/>
                <w:sz w:val="20"/>
                <w:szCs w:val="20"/>
              </w:rPr>
            </w:pPr>
          </w:p>
        </w:tc>
      </w:tr>
      <w:tr w:rsidR="007F03A8" w:rsidRPr="00F345C5" w14:paraId="6DEED3C9" w14:textId="77777777" w:rsidTr="007F03A8">
        <w:trPr>
          <w:trHeight w:val="335"/>
        </w:trPr>
        <w:tc>
          <w:tcPr>
            <w:tcW w:w="4664" w:type="dxa"/>
            <w:tcBorders>
              <w:top w:val="single" w:sz="4" w:space="0" w:color="auto"/>
              <w:left w:val="single" w:sz="8" w:space="0" w:color="auto"/>
              <w:bottom w:val="nil"/>
              <w:right w:val="single" w:sz="4" w:space="0" w:color="auto"/>
            </w:tcBorders>
            <w:vAlign w:val="bottom"/>
            <w:hideMark/>
          </w:tcPr>
          <w:p w14:paraId="00C1944B" w14:textId="77777777" w:rsidR="007F03A8" w:rsidRPr="00F345C5" w:rsidRDefault="007F03A8" w:rsidP="007F03A8">
            <w:pPr>
              <w:spacing w:after="0" w:line="240" w:lineRule="auto"/>
              <w:rPr>
                <w:rFonts w:ascii="Calibri" w:eastAsia="Times New Roman" w:hAnsi="Calibri" w:cs="Calibri"/>
                <w:color w:val="000000"/>
              </w:rPr>
            </w:pPr>
            <w:r w:rsidRPr="00F345C5">
              <w:rPr>
                <w:rFonts w:ascii="Calibri" w:eastAsia="Times New Roman" w:hAnsi="Calibri" w:cs="Calibri"/>
                <w:color w:val="000000"/>
              </w:rPr>
              <w:t>Incremental choice for change to 134 credit hours</w:t>
            </w:r>
          </w:p>
        </w:tc>
        <w:tc>
          <w:tcPr>
            <w:tcW w:w="2314" w:type="dxa"/>
            <w:tcBorders>
              <w:top w:val="single" w:sz="4" w:space="0" w:color="auto"/>
              <w:left w:val="single" w:sz="4" w:space="0" w:color="auto"/>
              <w:bottom w:val="nil"/>
              <w:right w:val="single" w:sz="8" w:space="0" w:color="auto"/>
            </w:tcBorders>
            <w:noWrap/>
            <w:vAlign w:val="bottom"/>
            <w:hideMark/>
          </w:tcPr>
          <w:p w14:paraId="1D62B6AC" w14:textId="77777777" w:rsidR="007F03A8" w:rsidRPr="00F345C5" w:rsidRDefault="007F03A8" w:rsidP="007F03A8">
            <w:pPr>
              <w:spacing w:after="0" w:line="240" w:lineRule="auto"/>
              <w:jc w:val="right"/>
              <w:rPr>
                <w:rFonts w:ascii="Calibri" w:eastAsia="Times New Roman" w:hAnsi="Calibri" w:cs="Calibri"/>
                <w:color w:val="000000"/>
              </w:rPr>
            </w:pPr>
            <w:r w:rsidRPr="00F345C5">
              <w:rPr>
                <w:rFonts w:ascii="Calibri" w:eastAsia="Times New Roman" w:hAnsi="Calibri" w:cs="Calibri"/>
                <w:color w:val="000000"/>
              </w:rPr>
              <w:t>$123,023</w:t>
            </w:r>
          </w:p>
        </w:tc>
        <w:tc>
          <w:tcPr>
            <w:tcW w:w="230" w:type="dxa"/>
            <w:vAlign w:val="center"/>
            <w:hideMark/>
          </w:tcPr>
          <w:p w14:paraId="6F06AB84" w14:textId="77777777" w:rsidR="007F03A8" w:rsidRPr="00F345C5" w:rsidRDefault="007F03A8" w:rsidP="007F03A8">
            <w:pPr>
              <w:spacing w:after="0" w:line="240" w:lineRule="auto"/>
              <w:rPr>
                <w:rFonts w:ascii="Times New Roman" w:eastAsia="Times New Roman" w:hAnsi="Times New Roman" w:cs="Times New Roman"/>
                <w:sz w:val="20"/>
                <w:szCs w:val="20"/>
              </w:rPr>
            </w:pPr>
          </w:p>
        </w:tc>
      </w:tr>
      <w:tr w:rsidR="007F03A8" w:rsidRPr="00F345C5" w14:paraId="3A32679C" w14:textId="77777777" w:rsidTr="007F03A8">
        <w:trPr>
          <w:trHeight w:val="335"/>
        </w:trPr>
        <w:tc>
          <w:tcPr>
            <w:tcW w:w="4664" w:type="dxa"/>
            <w:tcBorders>
              <w:top w:val="single" w:sz="4" w:space="0" w:color="auto"/>
              <w:left w:val="single" w:sz="8" w:space="0" w:color="auto"/>
              <w:bottom w:val="single" w:sz="8" w:space="0" w:color="000000"/>
              <w:right w:val="single" w:sz="4" w:space="0" w:color="auto"/>
            </w:tcBorders>
            <w:shd w:val="clear" w:color="000000" w:fill="FFC000"/>
            <w:vAlign w:val="bottom"/>
            <w:hideMark/>
          </w:tcPr>
          <w:p w14:paraId="7E3FACBE" w14:textId="77777777" w:rsidR="007F03A8" w:rsidRPr="00F345C5" w:rsidRDefault="007F03A8" w:rsidP="007F03A8">
            <w:pPr>
              <w:spacing w:after="0" w:line="240" w:lineRule="auto"/>
              <w:rPr>
                <w:rFonts w:ascii="Calibri" w:eastAsia="Times New Roman" w:hAnsi="Calibri" w:cs="Calibri"/>
                <w:b/>
                <w:bCs/>
                <w:color w:val="000000"/>
              </w:rPr>
            </w:pPr>
            <w:r>
              <w:rPr>
                <w:rFonts w:ascii="Calibri" w:eastAsia="Times New Roman" w:hAnsi="Calibri" w:cs="Calibri"/>
                <w:b/>
                <w:bCs/>
                <w:color w:val="000000"/>
              </w:rPr>
              <w:t>T</w:t>
            </w:r>
            <w:r>
              <w:rPr>
                <w:rFonts w:eastAsia="Times New Roman"/>
                <w:b/>
                <w:bCs/>
                <w:color w:val="000000"/>
              </w:rPr>
              <w:t xml:space="preserve">otal Cost Using </w:t>
            </w:r>
            <w:r w:rsidRPr="00F345C5">
              <w:rPr>
                <w:rFonts w:ascii="Calibri" w:eastAsia="Times New Roman" w:hAnsi="Calibri" w:cs="Calibri"/>
                <w:b/>
                <w:bCs/>
                <w:color w:val="000000"/>
              </w:rPr>
              <w:t xml:space="preserve">Current Utilization rate </w:t>
            </w:r>
          </w:p>
        </w:tc>
        <w:tc>
          <w:tcPr>
            <w:tcW w:w="2314" w:type="dxa"/>
            <w:tcBorders>
              <w:top w:val="single" w:sz="4" w:space="0" w:color="auto"/>
              <w:left w:val="single" w:sz="4" w:space="0" w:color="auto"/>
              <w:bottom w:val="single" w:sz="8" w:space="0" w:color="000000"/>
              <w:right w:val="single" w:sz="8" w:space="0" w:color="auto"/>
            </w:tcBorders>
            <w:shd w:val="clear" w:color="000000" w:fill="FFC000"/>
            <w:noWrap/>
            <w:vAlign w:val="bottom"/>
            <w:hideMark/>
          </w:tcPr>
          <w:p w14:paraId="6BD2F66C" w14:textId="77777777" w:rsidR="007F03A8" w:rsidRPr="00F345C5" w:rsidRDefault="007F03A8" w:rsidP="007F03A8">
            <w:pPr>
              <w:spacing w:after="0" w:line="240" w:lineRule="auto"/>
              <w:jc w:val="right"/>
              <w:rPr>
                <w:rFonts w:ascii="Calibri" w:eastAsia="Times New Roman" w:hAnsi="Calibri" w:cs="Calibri"/>
                <w:b/>
                <w:bCs/>
                <w:color w:val="000000"/>
              </w:rPr>
            </w:pPr>
            <w:r w:rsidRPr="00F345C5">
              <w:rPr>
                <w:rFonts w:ascii="Calibri" w:eastAsia="Times New Roman" w:hAnsi="Calibri" w:cs="Calibri"/>
                <w:b/>
                <w:bCs/>
                <w:color w:val="000000"/>
              </w:rPr>
              <w:t>$900,406</w:t>
            </w:r>
          </w:p>
        </w:tc>
        <w:tc>
          <w:tcPr>
            <w:tcW w:w="230" w:type="dxa"/>
            <w:vAlign w:val="center"/>
            <w:hideMark/>
          </w:tcPr>
          <w:p w14:paraId="174481C0" w14:textId="77777777" w:rsidR="007F03A8" w:rsidRPr="00F345C5" w:rsidRDefault="007F03A8" w:rsidP="007F03A8">
            <w:pPr>
              <w:spacing w:after="0" w:line="240" w:lineRule="auto"/>
              <w:rPr>
                <w:rFonts w:ascii="Times New Roman" w:eastAsia="Times New Roman" w:hAnsi="Times New Roman" w:cs="Times New Roman"/>
                <w:sz w:val="20"/>
                <w:szCs w:val="20"/>
              </w:rPr>
            </w:pPr>
          </w:p>
        </w:tc>
      </w:tr>
    </w:tbl>
    <w:p w14:paraId="67E39BF3" w14:textId="77777777" w:rsidR="007F03A8" w:rsidRDefault="007F03A8" w:rsidP="007F03A8">
      <w:pPr>
        <w:tabs>
          <w:tab w:val="left" w:pos="6360"/>
        </w:tabs>
        <w:rPr>
          <w:rFonts w:ascii="Arial" w:hAnsi="Arial" w:cs="Arial"/>
        </w:rPr>
      </w:pPr>
    </w:p>
    <w:p w14:paraId="379B09AB" w14:textId="4EB3EEF9" w:rsidR="007475E5" w:rsidRPr="007F03A8" w:rsidRDefault="007475E5" w:rsidP="007F03A8">
      <w:pPr>
        <w:tabs>
          <w:tab w:val="left" w:pos="6360"/>
        </w:tabs>
        <w:rPr>
          <w:rFonts w:ascii="Arial" w:hAnsi="Arial" w:cs="Arial"/>
          <w:b/>
          <w:bCs/>
          <w:u w:val="single"/>
        </w:rPr>
      </w:pPr>
      <w:r w:rsidRPr="007F03A8">
        <w:rPr>
          <w:rFonts w:ascii="Arial" w:hAnsi="Arial" w:cs="Arial"/>
        </w:rPr>
        <w:t xml:space="preserve"> </w:t>
      </w:r>
    </w:p>
    <w:p w14:paraId="39D7D123" w14:textId="77777777" w:rsidR="007F03A8" w:rsidRDefault="007F03A8" w:rsidP="007F03A8">
      <w:pPr>
        <w:tabs>
          <w:tab w:val="left" w:pos="6360"/>
        </w:tabs>
        <w:rPr>
          <w:rFonts w:ascii="Arial" w:hAnsi="Arial" w:cs="Arial"/>
        </w:rPr>
      </w:pPr>
    </w:p>
    <w:p w14:paraId="59DE6672" w14:textId="77777777" w:rsidR="007F03A8" w:rsidRDefault="007F03A8" w:rsidP="007F03A8">
      <w:pPr>
        <w:tabs>
          <w:tab w:val="left" w:pos="6360"/>
        </w:tabs>
        <w:rPr>
          <w:rFonts w:ascii="Arial" w:hAnsi="Arial" w:cs="Arial"/>
        </w:rPr>
      </w:pPr>
    </w:p>
    <w:p w14:paraId="4439774F" w14:textId="77777777" w:rsidR="007F03A8" w:rsidRDefault="007F03A8" w:rsidP="007F03A8">
      <w:pPr>
        <w:tabs>
          <w:tab w:val="left" w:pos="6360"/>
        </w:tabs>
        <w:rPr>
          <w:rFonts w:ascii="Arial" w:hAnsi="Arial" w:cs="Arial"/>
        </w:rPr>
      </w:pPr>
    </w:p>
    <w:p w14:paraId="61DFD993" w14:textId="77777777" w:rsidR="007F03A8" w:rsidRDefault="007F03A8" w:rsidP="007F03A8">
      <w:pPr>
        <w:tabs>
          <w:tab w:val="left" w:pos="6360"/>
        </w:tabs>
        <w:rPr>
          <w:rFonts w:ascii="Arial" w:hAnsi="Arial" w:cs="Arial"/>
        </w:rPr>
      </w:pPr>
    </w:p>
    <w:p w14:paraId="286BAB32" w14:textId="77777777" w:rsidR="007F03A8" w:rsidRPr="007F03A8" w:rsidRDefault="007F03A8" w:rsidP="007F03A8">
      <w:pPr>
        <w:tabs>
          <w:tab w:val="left" w:pos="6360"/>
        </w:tabs>
        <w:rPr>
          <w:rFonts w:ascii="Arial" w:hAnsi="Arial" w:cs="Arial"/>
        </w:rPr>
      </w:pPr>
    </w:p>
    <w:p w14:paraId="74AE9A0C" w14:textId="14542112" w:rsidR="007F03A8" w:rsidRDefault="004F236D" w:rsidP="007475E5">
      <w:pPr>
        <w:pStyle w:val="ListParagraph"/>
        <w:numPr>
          <w:ilvl w:val="0"/>
          <w:numId w:val="11"/>
        </w:numPr>
        <w:tabs>
          <w:tab w:val="left" w:pos="6360"/>
        </w:tabs>
        <w:rPr>
          <w:rFonts w:ascii="Arial" w:hAnsi="Arial" w:cs="Arial"/>
        </w:rPr>
      </w:pPr>
      <w:r>
        <w:rPr>
          <w:rFonts w:ascii="Arial" w:hAnsi="Arial" w:cs="Arial"/>
        </w:rPr>
        <w:t>These estimates are</w:t>
      </w:r>
      <w:r w:rsidR="007F03A8">
        <w:rPr>
          <w:rFonts w:ascii="Arial" w:hAnsi="Arial" w:cs="Arial"/>
        </w:rPr>
        <w:t xml:space="preserve"> currently being reviewed by the Provost and the EVPA</w:t>
      </w:r>
      <w:r>
        <w:rPr>
          <w:rFonts w:ascii="Arial" w:hAnsi="Arial" w:cs="Arial"/>
        </w:rPr>
        <w:t xml:space="preserve"> and </w:t>
      </w:r>
      <w:r w:rsidR="00B7217E">
        <w:rPr>
          <w:rFonts w:ascii="Arial" w:hAnsi="Arial" w:cs="Arial"/>
        </w:rPr>
        <w:t xml:space="preserve">will be </w:t>
      </w:r>
      <w:r w:rsidR="007F03A8">
        <w:rPr>
          <w:rFonts w:ascii="Arial" w:hAnsi="Arial" w:cs="Arial"/>
        </w:rPr>
        <w:t>discussed at the executive level</w:t>
      </w:r>
      <w:r w:rsidR="00B7217E">
        <w:rPr>
          <w:rFonts w:ascii="Arial" w:hAnsi="Arial" w:cs="Arial"/>
        </w:rPr>
        <w:t xml:space="preserve">. </w:t>
      </w:r>
    </w:p>
    <w:p w14:paraId="45F422E9" w14:textId="60340AEA" w:rsidR="00B7217E" w:rsidRPr="00B7217E" w:rsidRDefault="007F03A8" w:rsidP="00B7217E">
      <w:pPr>
        <w:pStyle w:val="ListParagraph"/>
        <w:numPr>
          <w:ilvl w:val="0"/>
          <w:numId w:val="11"/>
        </w:numPr>
        <w:tabs>
          <w:tab w:val="left" w:pos="6360"/>
        </w:tabs>
        <w:rPr>
          <w:rFonts w:ascii="Arial" w:hAnsi="Arial" w:cs="Arial"/>
        </w:rPr>
      </w:pPr>
      <w:r>
        <w:rPr>
          <w:rFonts w:ascii="Arial" w:hAnsi="Arial" w:cs="Arial"/>
        </w:rPr>
        <w:t>This</w:t>
      </w:r>
      <w:r w:rsidR="007475E5" w:rsidRPr="007475E5">
        <w:rPr>
          <w:rFonts w:ascii="Arial" w:hAnsi="Arial" w:cs="Arial"/>
        </w:rPr>
        <w:t xml:space="preserve"> policy is a Board of Trustees </w:t>
      </w:r>
      <w:r w:rsidR="00E051C8">
        <w:rPr>
          <w:rFonts w:ascii="Arial" w:hAnsi="Arial" w:cs="Arial"/>
        </w:rPr>
        <w:t xml:space="preserve">university </w:t>
      </w:r>
      <w:r w:rsidR="007475E5" w:rsidRPr="007475E5">
        <w:rPr>
          <w:rFonts w:ascii="Arial" w:hAnsi="Arial" w:cs="Arial"/>
        </w:rPr>
        <w:t>policy</w:t>
      </w:r>
      <w:r w:rsidR="007D4F04">
        <w:rPr>
          <w:rFonts w:ascii="Arial" w:hAnsi="Arial" w:cs="Arial"/>
        </w:rPr>
        <w:t xml:space="preserve"> and requires </w:t>
      </w:r>
      <w:proofErr w:type="spellStart"/>
      <w:r w:rsidR="007D4F04">
        <w:rPr>
          <w:rFonts w:ascii="Arial" w:hAnsi="Arial" w:cs="Arial"/>
        </w:rPr>
        <w:t>BoT</w:t>
      </w:r>
      <w:proofErr w:type="spellEnd"/>
      <w:r w:rsidR="007D4F04">
        <w:rPr>
          <w:rFonts w:ascii="Arial" w:hAnsi="Arial" w:cs="Arial"/>
        </w:rPr>
        <w:t xml:space="preserve"> approval. It also </w:t>
      </w:r>
      <w:r w:rsidR="007475E5" w:rsidRPr="007475E5">
        <w:rPr>
          <w:rFonts w:ascii="Arial" w:hAnsi="Arial" w:cs="Arial"/>
        </w:rPr>
        <w:t xml:space="preserve">impacts support staff. </w:t>
      </w:r>
    </w:p>
    <w:p w14:paraId="3F550DBE" w14:textId="77777777" w:rsidR="00E051C8" w:rsidRDefault="00E051C8">
      <w:pPr>
        <w:rPr>
          <w:rFonts w:ascii="Arial" w:hAnsi="Arial" w:cs="Arial"/>
          <w:b/>
          <w:bCs/>
          <w:u w:val="single"/>
        </w:rPr>
      </w:pPr>
      <w:r>
        <w:rPr>
          <w:rFonts w:ascii="Arial" w:hAnsi="Arial" w:cs="Arial"/>
          <w:b/>
          <w:bCs/>
          <w:u w:val="single"/>
        </w:rPr>
        <w:br w:type="page"/>
      </w:r>
    </w:p>
    <w:p w14:paraId="3B7396C7" w14:textId="77777777" w:rsidR="00E051C8" w:rsidRDefault="00E051C8" w:rsidP="00E051C8">
      <w:pPr>
        <w:tabs>
          <w:tab w:val="left" w:pos="6360"/>
        </w:tabs>
        <w:rPr>
          <w:rFonts w:ascii="Arial" w:hAnsi="Arial" w:cs="Arial"/>
          <w:b/>
          <w:bCs/>
          <w:u w:val="single"/>
        </w:rPr>
        <w:sectPr w:rsidR="00E051C8" w:rsidSect="00A87D53">
          <w:footerReference w:type="default" r:id="rId11"/>
          <w:pgSz w:w="12240" w:h="15840"/>
          <w:pgMar w:top="720" w:right="1008" w:bottom="720" w:left="1008" w:header="720" w:footer="720" w:gutter="0"/>
          <w:cols w:space="720"/>
          <w:docGrid w:linePitch="360"/>
        </w:sectPr>
      </w:pPr>
    </w:p>
    <w:p w14:paraId="675D4528" w14:textId="309B8461" w:rsidR="00E051C8" w:rsidRPr="00E051C8" w:rsidRDefault="00E051C8" w:rsidP="00E051C8">
      <w:pPr>
        <w:tabs>
          <w:tab w:val="left" w:pos="6360"/>
        </w:tabs>
        <w:rPr>
          <w:rFonts w:ascii="Arial" w:hAnsi="Arial" w:cs="Arial"/>
          <w:b/>
          <w:bCs/>
          <w:u w:val="single"/>
        </w:rPr>
      </w:pPr>
      <w:r w:rsidRPr="00E051C8">
        <w:rPr>
          <w:rFonts w:ascii="Arial" w:hAnsi="Arial" w:cs="Arial"/>
          <w:b/>
          <w:bCs/>
          <w:u w:val="single"/>
        </w:rPr>
        <w:t>Proposed Policy Changes</w:t>
      </w:r>
    </w:p>
    <w:tbl>
      <w:tblPr>
        <w:tblStyle w:val="GridTable1Light"/>
        <w:tblpPr w:leftFromText="180" w:rightFromText="180" w:vertAnchor="page" w:horzAnchor="margin" w:tblpY="1681"/>
        <w:tblW w:w="14390" w:type="dxa"/>
        <w:tblLook w:val="04A0" w:firstRow="1" w:lastRow="0" w:firstColumn="1" w:lastColumn="0" w:noHBand="0" w:noVBand="1"/>
      </w:tblPr>
      <w:tblGrid>
        <w:gridCol w:w="346"/>
        <w:gridCol w:w="1431"/>
        <w:gridCol w:w="3027"/>
        <w:gridCol w:w="3239"/>
        <w:gridCol w:w="3628"/>
        <w:gridCol w:w="2719"/>
      </w:tblGrid>
      <w:tr w:rsidR="002714CF" w:rsidRPr="00141FA4" w14:paraId="0535248B" w14:textId="34238BA1" w:rsidTr="002714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A8D08D" w:themeFill="accent6" w:themeFillTint="99"/>
          </w:tcPr>
          <w:p w14:paraId="64B80BFB" w14:textId="77777777" w:rsidR="002714CF" w:rsidRPr="00A87D53" w:rsidRDefault="002714CF" w:rsidP="00E051C8">
            <w:pPr>
              <w:rPr>
                <w:rFonts w:ascii="Arial" w:hAnsi="Arial" w:cs="Arial"/>
              </w:rPr>
            </w:pPr>
            <w:r w:rsidRPr="00A87D53">
              <w:rPr>
                <w:rFonts w:ascii="Arial" w:hAnsi="Arial" w:cs="Arial"/>
              </w:rPr>
              <w:t>#</w:t>
            </w:r>
          </w:p>
        </w:tc>
        <w:tc>
          <w:tcPr>
            <w:tcW w:w="1431" w:type="dxa"/>
            <w:shd w:val="clear" w:color="auto" w:fill="A8D08D" w:themeFill="accent6" w:themeFillTint="99"/>
          </w:tcPr>
          <w:p w14:paraId="03B08337" w14:textId="77777777" w:rsidR="002714CF" w:rsidRPr="00A87D53" w:rsidRDefault="002714CF" w:rsidP="00E051C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7D53">
              <w:rPr>
                <w:rFonts w:ascii="Arial" w:hAnsi="Arial" w:cs="Arial"/>
              </w:rPr>
              <w:t>Policy Differences</w:t>
            </w:r>
          </w:p>
        </w:tc>
        <w:tc>
          <w:tcPr>
            <w:tcW w:w="3027" w:type="dxa"/>
            <w:shd w:val="clear" w:color="auto" w:fill="A8D08D" w:themeFill="accent6" w:themeFillTint="99"/>
          </w:tcPr>
          <w:p w14:paraId="25A67F18" w14:textId="77777777" w:rsidR="002714CF" w:rsidRPr="00A87D53" w:rsidRDefault="002714CF" w:rsidP="00E051C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7D53">
              <w:rPr>
                <w:rFonts w:ascii="Arial" w:hAnsi="Arial" w:cs="Arial"/>
              </w:rPr>
              <w:t xml:space="preserve">Current </w:t>
            </w:r>
            <w:r>
              <w:rPr>
                <w:rFonts w:ascii="Arial" w:hAnsi="Arial" w:cs="Arial"/>
              </w:rPr>
              <w:t>Policy</w:t>
            </w:r>
            <w:r w:rsidRPr="00A87D53">
              <w:rPr>
                <w:rFonts w:ascii="Arial" w:hAnsi="Arial" w:cs="Arial"/>
              </w:rPr>
              <w:t xml:space="preserve"> </w:t>
            </w:r>
          </w:p>
          <w:p w14:paraId="7F667257" w14:textId="77777777" w:rsidR="002714CF" w:rsidRPr="00A87D53" w:rsidRDefault="002714CF" w:rsidP="00E051C8">
            <w:pPr>
              <w:cnfStyle w:val="100000000000" w:firstRow="1" w:lastRow="0" w:firstColumn="0" w:lastColumn="0" w:oddVBand="0" w:evenVBand="0" w:oddHBand="0" w:evenHBand="0" w:firstRowFirstColumn="0" w:firstRowLastColumn="0" w:lastRowFirstColumn="0" w:lastRowLastColumn="0"/>
              <w:rPr>
                <w:rFonts w:ascii="Arial" w:hAnsi="Arial" w:cs="Arial"/>
                <w:i/>
                <w:iCs/>
              </w:rPr>
            </w:pPr>
          </w:p>
        </w:tc>
        <w:tc>
          <w:tcPr>
            <w:tcW w:w="3239" w:type="dxa"/>
            <w:shd w:val="clear" w:color="auto" w:fill="A8D08D" w:themeFill="accent6" w:themeFillTint="99"/>
          </w:tcPr>
          <w:p w14:paraId="183D5D68" w14:textId="77777777" w:rsidR="002714CF" w:rsidRPr="00A87D53" w:rsidRDefault="002714CF" w:rsidP="00E051C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7D53">
              <w:rPr>
                <w:rFonts w:ascii="Arial" w:hAnsi="Arial" w:cs="Arial"/>
              </w:rPr>
              <w:t xml:space="preserve">Proposed </w:t>
            </w:r>
            <w:r>
              <w:rPr>
                <w:rFonts w:ascii="Arial" w:hAnsi="Arial" w:cs="Arial"/>
              </w:rPr>
              <w:t xml:space="preserve">Changes </w:t>
            </w:r>
            <w:r w:rsidRPr="00A87D53">
              <w:rPr>
                <w:rFonts w:ascii="Arial" w:hAnsi="Arial" w:cs="Arial"/>
              </w:rPr>
              <w:t xml:space="preserve"> </w:t>
            </w:r>
          </w:p>
        </w:tc>
        <w:tc>
          <w:tcPr>
            <w:tcW w:w="3628" w:type="dxa"/>
            <w:shd w:val="clear" w:color="auto" w:fill="A8D08D" w:themeFill="accent6" w:themeFillTint="99"/>
          </w:tcPr>
          <w:p w14:paraId="710A61E7" w14:textId="0C876DA1" w:rsidR="002714CF" w:rsidRPr="00A87D53" w:rsidRDefault="002714CF" w:rsidP="00E051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Rationale</w:t>
            </w:r>
          </w:p>
        </w:tc>
        <w:tc>
          <w:tcPr>
            <w:tcW w:w="2719" w:type="dxa"/>
            <w:shd w:val="clear" w:color="auto" w:fill="A8D08D" w:themeFill="accent6" w:themeFillTint="99"/>
          </w:tcPr>
          <w:p w14:paraId="52B05CDB" w14:textId="25610452" w:rsidR="002714CF" w:rsidRDefault="002714CF" w:rsidP="00E051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Outcome</w:t>
            </w:r>
          </w:p>
        </w:tc>
      </w:tr>
      <w:tr w:rsidR="002714CF" w:rsidRPr="00141FA4" w14:paraId="30E89661" w14:textId="52E70E55" w:rsidTr="002714CF">
        <w:tc>
          <w:tcPr>
            <w:cnfStyle w:val="001000000000" w:firstRow="0" w:lastRow="0" w:firstColumn="1" w:lastColumn="0" w:oddVBand="0" w:evenVBand="0" w:oddHBand="0" w:evenHBand="0" w:firstRowFirstColumn="0" w:firstRowLastColumn="0" w:lastRowFirstColumn="0" w:lastRowLastColumn="0"/>
            <w:tcW w:w="346" w:type="dxa"/>
            <w:shd w:val="clear" w:color="auto" w:fill="E2EFD9" w:themeFill="accent6" w:themeFillTint="33"/>
          </w:tcPr>
          <w:p w14:paraId="62C7A017" w14:textId="77777777" w:rsidR="002714CF" w:rsidRPr="00141FA4" w:rsidRDefault="002714CF" w:rsidP="00E051C8">
            <w:pPr>
              <w:rPr>
                <w:rFonts w:ascii="Arial" w:hAnsi="Arial" w:cs="Arial"/>
              </w:rPr>
            </w:pPr>
            <w:r>
              <w:rPr>
                <w:rFonts w:ascii="Arial" w:hAnsi="Arial" w:cs="Arial"/>
              </w:rPr>
              <w:t>1</w:t>
            </w:r>
          </w:p>
        </w:tc>
        <w:tc>
          <w:tcPr>
            <w:tcW w:w="1431" w:type="dxa"/>
            <w:shd w:val="clear" w:color="auto" w:fill="E2EFD9" w:themeFill="accent6" w:themeFillTint="33"/>
          </w:tcPr>
          <w:p w14:paraId="1F558A05" w14:textId="77777777"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Policy Name</w:t>
            </w:r>
          </w:p>
        </w:tc>
        <w:tc>
          <w:tcPr>
            <w:tcW w:w="3027" w:type="dxa"/>
            <w:shd w:val="clear" w:color="auto" w:fill="E2EFD9" w:themeFill="accent6" w:themeFillTint="33"/>
          </w:tcPr>
          <w:p w14:paraId="2F9C985E" w14:textId="77777777" w:rsidR="002714CF" w:rsidRPr="00141FA4"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Course Fee Courtesy Policy</w:t>
            </w:r>
          </w:p>
        </w:tc>
        <w:tc>
          <w:tcPr>
            <w:tcW w:w="3239" w:type="dxa"/>
            <w:shd w:val="clear" w:color="auto" w:fill="E2EFD9" w:themeFill="accent6" w:themeFillTint="33"/>
          </w:tcPr>
          <w:p w14:paraId="258E0A9E" w14:textId="75F492DB"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Undetermined </w:t>
            </w:r>
          </w:p>
          <w:p w14:paraId="553A1947" w14:textId="77777777" w:rsidR="002714CF" w:rsidRPr="00141FA4"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28" w:type="dxa"/>
            <w:shd w:val="clear" w:color="auto" w:fill="E2EFD9" w:themeFill="accent6" w:themeFillTint="33"/>
          </w:tcPr>
          <w:p w14:paraId="201C2F06" w14:textId="77777777"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UCFA recommended a more apparent name such as “Tuition Benefits for Employee Dependents” </w:t>
            </w:r>
          </w:p>
          <w:p w14:paraId="0B106A27" w14:textId="77777777"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232E59" w14:textId="7444B63E"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 could look at the benchmarking)</w:t>
            </w:r>
          </w:p>
          <w:p w14:paraId="54B4FB88" w14:textId="70A0E94D"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19" w:type="dxa"/>
            <w:shd w:val="clear" w:color="auto" w:fill="E2EFD9" w:themeFill="accent6" w:themeFillTint="33"/>
          </w:tcPr>
          <w:p w14:paraId="051DA561" w14:textId="44A00D80"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 Include in Phase 1 policy change</w:t>
            </w:r>
          </w:p>
        </w:tc>
      </w:tr>
      <w:tr w:rsidR="002714CF" w:rsidRPr="00141FA4" w14:paraId="39E481CA" w14:textId="5D5E2D30" w:rsidTr="002714CF">
        <w:tc>
          <w:tcPr>
            <w:cnfStyle w:val="001000000000" w:firstRow="0" w:lastRow="0" w:firstColumn="1" w:lastColumn="0" w:oddVBand="0" w:evenVBand="0" w:oddHBand="0" w:evenHBand="0" w:firstRowFirstColumn="0" w:firstRowLastColumn="0" w:lastRowFirstColumn="0" w:lastRowLastColumn="0"/>
            <w:tcW w:w="346" w:type="dxa"/>
            <w:shd w:val="clear" w:color="auto" w:fill="E2EFD9" w:themeFill="accent6" w:themeFillTint="33"/>
          </w:tcPr>
          <w:p w14:paraId="65DDDC0E" w14:textId="77777777" w:rsidR="002714CF" w:rsidRPr="00141FA4" w:rsidRDefault="002714CF" w:rsidP="00E051C8">
            <w:pPr>
              <w:rPr>
                <w:rFonts w:ascii="Arial" w:hAnsi="Arial" w:cs="Arial"/>
              </w:rPr>
            </w:pPr>
            <w:r>
              <w:rPr>
                <w:rFonts w:ascii="Arial" w:hAnsi="Arial" w:cs="Arial"/>
              </w:rPr>
              <w:t>2</w:t>
            </w:r>
          </w:p>
        </w:tc>
        <w:tc>
          <w:tcPr>
            <w:tcW w:w="1431" w:type="dxa"/>
            <w:shd w:val="clear" w:color="auto" w:fill="E2EFD9" w:themeFill="accent6" w:themeFillTint="33"/>
          </w:tcPr>
          <w:p w14:paraId="0B4FF69B" w14:textId="77777777"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Coverage</w:t>
            </w:r>
          </w:p>
          <w:p w14:paraId="15B452E8" w14:textId="77777777" w:rsidR="002714CF" w:rsidRPr="00141FA4"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27" w:type="dxa"/>
            <w:shd w:val="clear" w:color="auto" w:fill="E2EFD9" w:themeFill="accent6" w:themeFillTint="33"/>
          </w:tcPr>
          <w:p w14:paraId="41DD4368" w14:textId="77777777" w:rsidR="002714CF" w:rsidRPr="00E051C8"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51C8">
              <w:rPr>
                <w:rFonts w:ascii="Arial" w:hAnsi="Arial" w:cs="Arial"/>
                <w:color w:val="000000"/>
              </w:rPr>
              <w:t>MSU-recognized same-sex domestic partners</w:t>
            </w:r>
          </w:p>
        </w:tc>
        <w:tc>
          <w:tcPr>
            <w:tcW w:w="3239" w:type="dxa"/>
            <w:shd w:val="clear" w:color="auto" w:fill="E2EFD9" w:themeFill="accent6" w:themeFillTint="33"/>
          </w:tcPr>
          <w:p w14:paraId="7DC4CDB1" w14:textId="77777777"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Replace with “spouse and other eligible individual” (and remove footnote referencing a legal case).   </w:t>
            </w:r>
          </w:p>
          <w:p w14:paraId="606FBE4D" w14:textId="383FAC61" w:rsidR="002714CF" w:rsidRPr="00F31D82"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28" w:type="dxa"/>
            <w:shd w:val="clear" w:color="auto" w:fill="E2EFD9" w:themeFill="accent6" w:themeFillTint="33"/>
          </w:tcPr>
          <w:p w14:paraId="48E86958" w14:textId="3587DD40"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To replace outdated language. </w:t>
            </w:r>
          </w:p>
        </w:tc>
        <w:tc>
          <w:tcPr>
            <w:tcW w:w="2719" w:type="dxa"/>
            <w:shd w:val="clear" w:color="auto" w:fill="E2EFD9" w:themeFill="accent6" w:themeFillTint="33"/>
          </w:tcPr>
          <w:p w14:paraId="00F87810" w14:textId="481D415A"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 This is the practice, Include in Phase 1 policy change</w:t>
            </w:r>
          </w:p>
        </w:tc>
      </w:tr>
      <w:tr w:rsidR="002714CF" w:rsidRPr="00141FA4" w14:paraId="7C1A9D5E" w14:textId="5722A752" w:rsidTr="002714CF">
        <w:trPr>
          <w:trHeight w:val="1390"/>
        </w:trPr>
        <w:tc>
          <w:tcPr>
            <w:cnfStyle w:val="001000000000" w:firstRow="0" w:lastRow="0" w:firstColumn="1" w:lastColumn="0" w:oddVBand="0" w:evenVBand="0" w:oddHBand="0" w:evenHBand="0" w:firstRowFirstColumn="0" w:firstRowLastColumn="0" w:lastRowFirstColumn="0" w:lastRowLastColumn="0"/>
            <w:tcW w:w="346" w:type="dxa"/>
            <w:vMerge w:val="restart"/>
          </w:tcPr>
          <w:p w14:paraId="0E53F8DA" w14:textId="77777777" w:rsidR="002714CF" w:rsidRPr="00141FA4" w:rsidRDefault="002714CF" w:rsidP="00E051C8">
            <w:pPr>
              <w:rPr>
                <w:rFonts w:ascii="Arial" w:hAnsi="Arial" w:cs="Arial"/>
              </w:rPr>
            </w:pPr>
            <w:r>
              <w:rPr>
                <w:rFonts w:ascii="Arial" w:hAnsi="Arial" w:cs="Arial"/>
              </w:rPr>
              <w:t>3</w:t>
            </w:r>
          </w:p>
        </w:tc>
        <w:tc>
          <w:tcPr>
            <w:tcW w:w="1431" w:type="dxa"/>
            <w:vMerge w:val="restart"/>
          </w:tcPr>
          <w:p w14:paraId="467E8E33" w14:textId="2DBA0DDD" w:rsidR="002714CF" w:rsidRPr="00141FA4"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Benefit  </w:t>
            </w:r>
          </w:p>
        </w:tc>
        <w:tc>
          <w:tcPr>
            <w:tcW w:w="3027" w:type="dxa"/>
          </w:tcPr>
          <w:p w14:paraId="7753D633" w14:textId="61C26FD7" w:rsidR="002714CF" w:rsidRDefault="002714CF" w:rsidP="00F85AB1">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Amount Off (50%) </w:t>
            </w:r>
          </w:p>
          <w:p w14:paraId="0A7736EF" w14:textId="77777777" w:rsidR="002714CF" w:rsidRPr="00F85AB1" w:rsidRDefault="002714CF" w:rsidP="00F85AB1">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00220D8D" w14:textId="3268BE28" w:rsidR="002714CF" w:rsidRPr="00F85AB1" w:rsidRDefault="002714CF" w:rsidP="00F85AB1">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F85AB1">
              <w:rPr>
                <w:rFonts w:ascii="Arial" w:hAnsi="Arial" w:cs="Arial"/>
                <w:color w:val="000000"/>
              </w:rPr>
              <w:t xml:space="preserve">“…credit of an amount </w:t>
            </w:r>
            <w:r w:rsidRPr="00F85AB1">
              <w:rPr>
                <w:rFonts w:ascii="Arial" w:hAnsi="Arial" w:cs="Arial"/>
                <w:color w:val="000000"/>
                <w:u w:val="single"/>
              </w:rPr>
              <w:t>equal to one-half</w:t>
            </w:r>
            <w:r w:rsidRPr="00F85AB1">
              <w:rPr>
                <w:rFonts w:ascii="Arial" w:hAnsi="Arial" w:cs="Arial"/>
                <w:color w:val="000000"/>
              </w:rPr>
              <w:t xml:space="preserve"> the applicable Michigan resident on-campus undergraduate course fees.”</w:t>
            </w:r>
          </w:p>
        </w:tc>
        <w:tc>
          <w:tcPr>
            <w:tcW w:w="3239" w:type="dxa"/>
          </w:tcPr>
          <w:p w14:paraId="32AB2273" w14:textId="28FF997C"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1. Amount Off (up to 75%) </w:t>
            </w:r>
          </w:p>
          <w:p w14:paraId="687D0B07" w14:textId="77777777"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356E9797" w14:textId="6A556127"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color w:val="000000"/>
                <w:u w:val="single"/>
              </w:rPr>
            </w:pPr>
            <w:r>
              <w:rPr>
                <w:rFonts w:ascii="Arial" w:hAnsi="Arial" w:cs="Arial"/>
                <w:color w:val="000000"/>
              </w:rPr>
              <w:t>“…credit of an amount</w:t>
            </w:r>
            <w:r w:rsidRPr="000044C5">
              <w:rPr>
                <w:rFonts w:ascii="Arial" w:hAnsi="Arial" w:cs="Arial"/>
                <w:b/>
                <w:bCs/>
                <w:color w:val="000000"/>
              </w:rPr>
              <w:t xml:space="preserve"> up to 75% </w:t>
            </w:r>
            <w:r>
              <w:rPr>
                <w:rFonts w:ascii="Arial" w:hAnsi="Arial" w:cs="Arial"/>
                <w:color w:val="000000"/>
              </w:rPr>
              <w:t>of</w:t>
            </w:r>
            <w:r>
              <w:rPr>
                <w:rFonts w:ascii="Arial" w:hAnsi="Arial" w:cs="Arial"/>
                <w:i/>
                <w:iCs/>
                <w:color w:val="000000"/>
              </w:rPr>
              <w:t xml:space="preserve"> </w:t>
            </w:r>
            <w:r>
              <w:rPr>
                <w:rFonts w:ascii="Arial" w:hAnsi="Arial" w:cs="Arial"/>
                <w:color w:val="000000"/>
              </w:rPr>
              <w:t xml:space="preserve">the applicable Michigan resident on-campus course fees, </w:t>
            </w:r>
            <w:r w:rsidRPr="000044C5">
              <w:rPr>
                <w:rFonts w:ascii="Arial" w:hAnsi="Arial" w:cs="Arial"/>
                <w:b/>
                <w:bCs/>
                <w:color w:val="000000"/>
              </w:rPr>
              <w:t>directly scaled to the percentage appointment of the benefit-eligible faculty or academic staff person.”</w:t>
            </w:r>
          </w:p>
          <w:p w14:paraId="6EBA4CA1" w14:textId="77777777" w:rsidR="002714CF" w:rsidRPr="000444E3" w:rsidRDefault="002714CF" w:rsidP="00E051C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c>
          <w:tcPr>
            <w:tcW w:w="3628" w:type="dxa"/>
          </w:tcPr>
          <w:p w14:paraId="61F44655" w14:textId="32B787C4" w:rsidR="002714CF" w:rsidRDefault="002714CF" w:rsidP="00E051C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To recognize part-time appointments like other employee benefits. FAS workforce composition has changed over time and now includes more part-time employees. </w:t>
            </w:r>
          </w:p>
          <w:p w14:paraId="52358118" w14:textId="77777777" w:rsidR="002714CF" w:rsidRDefault="002714CF" w:rsidP="00E051C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The 75% is to become competitive with our peers. Some of our peers are providing 75% off. </w:t>
            </w:r>
          </w:p>
          <w:p w14:paraId="7BBFEF53" w14:textId="0213F1F2" w:rsidR="002714CF" w:rsidRPr="00E051C8" w:rsidRDefault="002714CF" w:rsidP="00F85AB1">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2719" w:type="dxa"/>
          </w:tcPr>
          <w:p w14:paraId="6779E6C1" w14:textId="2428F572" w:rsidR="002714CF" w:rsidRPr="002714CF" w:rsidRDefault="002714CF" w:rsidP="002714C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Discuss further. Not included in Phase 1</w:t>
            </w:r>
          </w:p>
        </w:tc>
      </w:tr>
      <w:tr w:rsidR="002714CF" w:rsidRPr="00141FA4" w14:paraId="60B7E1B4" w14:textId="4A9669FB" w:rsidTr="002714CF">
        <w:trPr>
          <w:trHeight w:val="1390"/>
        </w:trPr>
        <w:tc>
          <w:tcPr>
            <w:cnfStyle w:val="001000000000" w:firstRow="0" w:lastRow="0" w:firstColumn="1" w:lastColumn="0" w:oddVBand="0" w:evenVBand="0" w:oddHBand="0" w:evenHBand="0" w:firstRowFirstColumn="0" w:firstRowLastColumn="0" w:lastRowFirstColumn="0" w:lastRowLastColumn="0"/>
            <w:tcW w:w="346" w:type="dxa"/>
            <w:vMerge/>
          </w:tcPr>
          <w:p w14:paraId="6C05487D" w14:textId="77777777" w:rsidR="002714CF" w:rsidRDefault="002714CF" w:rsidP="00E051C8">
            <w:pPr>
              <w:rPr>
                <w:rFonts w:ascii="Arial" w:hAnsi="Arial" w:cs="Arial"/>
              </w:rPr>
            </w:pPr>
          </w:p>
        </w:tc>
        <w:tc>
          <w:tcPr>
            <w:tcW w:w="1431" w:type="dxa"/>
            <w:vMerge/>
          </w:tcPr>
          <w:p w14:paraId="21BAD993" w14:textId="77777777"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27" w:type="dxa"/>
          </w:tcPr>
          <w:p w14:paraId="0A459D8D" w14:textId="5513B3CE" w:rsidR="002714CF" w:rsidRDefault="002714CF" w:rsidP="00135E55">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Amount Off </w:t>
            </w:r>
          </w:p>
          <w:p w14:paraId="2BB9D169" w14:textId="77777777" w:rsidR="002714CF" w:rsidRPr="00F85AB1" w:rsidRDefault="002714CF" w:rsidP="00135E55">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1839A11D" w14:textId="12A382E9" w:rsidR="002714CF" w:rsidRDefault="002714CF" w:rsidP="00135E55">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F85AB1">
              <w:rPr>
                <w:rFonts w:ascii="Arial" w:hAnsi="Arial" w:cs="Arial"/>
                <w:color w:val="000000"/>
              </w:rPr>
              <w:t xml:space="preserve">“…credit of an amount </w:t>
            </w:r>
            <w:r w:rsidRPr="00135E55">
              <w:rPr>
                <w:rFonts w:ascii="Arial" w:hAnsi="Arial" w:cs="Arial"/>
                <w:color w:val="000000"/>
              </w:rPr>
              <w:t>equal to one-half</w:t>
            </w:r>
            <w:r w:rsidRPr="00F85AB1">
              <w:rPr>
                <w:rFonts w:ascii="Arial" w:hAnsi="Arial" w:cs="Arial"/>
                <w:color w:val="000000"/>
              </w:rPr>
              <w:t xml:space="preserve"> the applicable Michigan resident on-campus undergraduate course fees.”</w:t>
            </w:r>
          </w:p>
        </w:tc>
        <w:tc>
          <w:tcPr>
            <w:tcW w:w="3239" w:type="dxa"/>
          </w:tcPr>
          <w:p w14:paraId="1493F589" w14:textId="1F78DFB7" w:rsidR="002714CF" w:rsidRDefault="002714CF" w:rsidP="00135E55">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2. Amount Off (scaling) </w:t>
            </w:r>
          </w:p>
          <w:p w14:paraId="1A1E89FA" w14:textId="77777777" w:rsidR="002714CF" w:rsidRDefault="002714CF" w:rsidP="00135E55">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1864CB11" w14:textId="1B0B1E3E" w:rsidR="002714CF" w:rsidRDefault="002714CF" w:rsidP="00135E55">
            <w:pPr>
              <w:cnfStyle w:val="000000000000" w:firstRow="0" w:lastRow="0" w:firstColumn="0" w:lastColumn="0" w:oddVBand="0" w:evenVBand="0" w:oddHBand="0" w:evenHBand="0" w:firstRowFirstColumn="0" w:firstRowLastColumn="0" w:lastRowFirstColumn="0" w:lastRowLastColumn="0"/>
              <w:rPr>
                <w:rFonts w:ascii="Arial" w:hAnsi="Arial" w:cs="Arial"/>
                <w:color w:val="000000"/>
                <w:u w:val="single"/>
              </w:rPr>
            </w:pPr>
            <w:r>
              <w:rPr>
                <w:rFonts w:ascii="Arial" w:hAnsi="Arial" w:cs="Arial"/>
                <w:color w:val="000000"/>
              </w:rPr>
              <w:t>“…credit of an amount</w:t>
            </w:r>
            <w:r w:rsidRPr="000044C5">
              <w:rPr>
                <w:rFonts w:ascii="Arial" w:hAnsi="Arial" w:cs="Arial"/>
                <w:b/>
                <w:bCs/>
                <w:color w:val="000000"/>
              </w:rPr>
              <w:t xml:space="preserve"> </w:t>
            </w:r>
            <w:r w:rsidRPr="00135E55">
              <w:rPr>
                <w:rFonts w:ascii="Arial" w:hAnsi="Arial" w:cs="Arial"/>
                <w:color w:val="000000"/>
              </w:rPr>
              <w:t>up to 75%</w:t>
            </w:r>
            <w:r w:rsidRPr="000044C5">
              <w:rPr>
                <w:rFonts w:ascii="Arial" w:hAnsi="Arial" w:cs="Arial"/>
                <w:b/>
                <w:bCs/>
                <w:color w:val="000000"/>
              </w:rPr>
              <w:t xml:space="preserve"> </w:t>
            </w:r>
            <w:r>
              <w:rPr>
                <w:rFonts w:ascii="Arial" w:hAnsi="Arial" w:cs="Arial"/>
                <w:color w:val="000000"/>
              </w:rPr>
              <w:t>of</w:t>
            </w:r>
            <w:r>
              <w:rPr>
                <w:rFonts w:ascii="Arial" w:hAnsi="Arial" w:cs="Arial"/>
                <w:i/>
                <w:iCs/>
                <w:color w:val="000000"/>
              </w:rPr>
              <w:t xml:space="preserve"> </w:t>
            </w:r>
            <w:r>
              <w:rPr>
                <w:rFonts w:ascii="Arial" w:hAnsi="Arial" w:cs="Arial"/>
                <w:color w:val="000000"/>
              </w:rPr>
              <w:t xml:space="preserve">the applicable Michigan resident on-campus course fees, </w:t>
            </w:r>
            <w:r w:rsidRPr="000044C5">
              <w:rPr>
                <w:rFonts w:ascii="Arial" w:hAnsi="Arial" w:cs="Arial"/>
                <w:b/>
                <w:bCs/>
                <w:color w:val="000000"/>
              </w:rPr>
              <w:t>directly scaled to the percentage appointment of the benefit-eligible faculty or academic staff person.”</w:t>
            </w:r>
          </w:p>
          <w:p w14:paraId="75E69EAA" w14:textId="77777777"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3628" w:type="dxa"/>
          </w:tcPr>
          <w:p w14:paraId="51794C78" w14:textId="77777777" w:rsidR="002714CF" w:rsidRDefault="002714CF" w:rsidP="00135E55">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MSU provides scaled benefits for other benefits (e.g., healthcare)</w:t>
            </w:r>
          </w:p>
          <w:p w14:paraId="2813E713" w14:textId="46B8EBBC" w:rsidR="002714CF" w:rsidRDefault="002714CF" w:rsidP="00135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F38758C" w14:textId="7BFACD53" w:rsidR="002714CF" w:rsidRPr="00A16C30" w:rsidRDefault="002714CF" w:rsidP="00A16C3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A16C30">
              <w:rPr>
                <w:rFonts w:ascii="Arial" w:eastAsia="Times New Roman" w:hAnsi="Arial" w:cs="Arial"/>
              </w:rPr>
              <w:t>Full-Time:90-100%</w:t>
            </w:r>
          </w:p>
          <w:p w14:paraId="2B625D2C" w14:textId="77777777" w:rsidR="002714CF" w:rsidRPr="00A16C30" w:rsidRDefault="002714CF" w:rsidP="00A16C3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A16C30">
              <w:rPr>
                <w:rFonts w:ascii="Arial" w:eastAsia="Times New Roman" w:hAnsi="Arial" w:cs="Arial"/>
              </w:rPr>
              <w:t>3/4 Time: 65-89.9%</w:t>
            </w:r>
          </w:p>
          <w:p w14:paraId="7520D56D" w14:textId="37BB59D1" w:rsidR="002714CF" w:rsidRPr="00A16C30" w:rsidRDefault="002714CF" w:rsidP="00A16C3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A16C30">
              <w:rPr>
                <w:rFonts w:ascii="Arial" w:eastAsia="Times New Roman" w:hAnsi="Arial" w:cs="Arial"/>
              </w:rPr>
              <w:t>1/2 Time: 50-64.9%</w:t>
            </w:r>
          </w:p>
          <w:p w14:paraId="2B61C463" w14:textId="22B9EB01" w:rsidR="002714CF" w:rsidRPr="00135E55" w:rsidRDefault="002714CF" w:rsidP="00135E55">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2719" w:type="dxa"/>
          </w:tcPr>
          <w:p w14:paraId="076CA34B" w14:textId="3AE9F87F" w:rsidR="002714CF" w:rsidRPr="002714CF" w:rsidRDefault="002714CF" w:rsidP="002714C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Discuss further. Not included in Phase 1</w:t>
            </w:r>
          </w:p>
        </w:tc>
      </w:tr>
      <w:tr w:rsidR="002714CF" w:rsidRPr="00141FA4" w14:paraId="64B967F3" w14:textId="6DC1374E" w:rsidTr="009D7102">
        <w:trPr>
          <w:trHeight w:val="1390"/>
        </w:trPr>
        <w:tc>
          <w:tcPr>
            <w:cnfStyle w:val="001000000000" w:firstRow="0" w:lastRow="0" w:firstColumn="1" w:lastColumn="0" w:oddVBand="0" w:evenVBand="0" w:oddHBand="0" w:evenHBand="0" w:firstRowFirstColumn="0" w:firstRowLastColumn="0" w:lastRowFirstColumn="0" w:lastRowLastColumn="0"/>
            <w:tcW w:w="346" w:type="dxa"/>
            <w:vMerge/>
          </w:tcPr>
          <w:p w14:paraId="05CD50FF" w14:textId="77777777" w:rsidR="002714CF" w:rsidRDefault="002714CF" w:rsidP="00E051C8">
            <w:pPr>
              <w:rPr>
                <w:rFonts w:ascii="Arial" w:hAnsi="Arial" w:cs="Arial"/>
              </w:rPr>
            </w:pPr>
          </w:p>
        </w:tc>
        <w:tc>
          <w:tcPr>
            <w:tcW w:w="1431" w:type="dxa"/>
            <w:vMerge/>
          </w:tcPr>
          <w:p w14:paraId="30A8F2EC" w14:textId="77777777" w:rsidR="002714CF" w:rsidRDefault="002714CF"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27" w:type="dxa"/>
            <w:shd w:val="clear" w:color="auto" w:fill="C5E0B3" w:themeFill="accent6" w:themeFillTint="66"/>
          </w:tcPr>
          <w:p w14:paraId="4278B474" w14:textId="6F8BC051" w:rsidR="002714CF" w:rsidRDefault="002714CF" w:rsidP="00F85AB1">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of Credits (120)</w:t>
            </w:r>
          </w:p>
          <w:p w14:paraId="33BEB818" w14:textId="64E6E54B" w:rsidR="002714CF" w:rsidRDefault="002714CF" w:rsidP="00F85AB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08F763AA" w14:textId="49A80EA7" w:rsidR="002714CF" w:rsidRPr="00F85AB1" w:rsidRDefault="002714CF" w:rsidP="00F85AB1">
            <w:pPr>
              <w:cnfStyle w:val="000000000000" w:firstRow="0" w:lastRow="0" w:firstColumn="0" w:lastColumn="0" w:oddVBand="0" w:evenVBand="0" w:oddHBand="0" w:evenHBand="0" w:firstRowFirstColumn="0" w:firstRowLastColumn="0" w:lastRowFirstColumn="0" w:lastRowLastColumn="0"/>
              <w:rPr>
                <w:rFonts w:ascii="Arial" w:hAnsi="Arial" w:cs="Arial"/>
                <w:color w:val="000000"/>
                <w:u w:val="single"/>
              </w:rPr>
            </w:pPr>
            <w:r w:rsidRPr="00F85AB1">
              <w:rPr>
                <w:rFonts w:ascii="Arial" w:hAnsi="Arial" w:cs="Arial"/>
                <w:color w:val="000000"/>
                <w:u w:val="single"/>
              </w:rPr>
              <w:t xml:space="preserve">Current Language: </w:t>
            </w:r>
          </w:p>
          <w:p w14:paraId="5C7C089F" w14:textId="455F4EA7" w:rsidR="002714CF" w:rsidRPr="00F85AB1" w:rsidRDefault="002714CF" w:rsidP="00F85AB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w:t>
            </w:r>
            <w:r w:rsidRPr="00F85AB1">
              <w:rPr>
                <w:rFonts w:ascii="Arial" w:hAnsi="Arial" w:cs="Arial"/>
                <w:color w:val="000000"/>
              </w:rPr>
              <w:t>The course fee courtesy will be granted through the semester in which the 120th credit is attempted provided the dependent child or spouse/same-sex domestic partner is registered as a student in good academic standing at Michigan State University in a curriculum leading to the first baccalaureate degree or to a certificate in the Agricultural Technology program. For undergraduate students with transferable credits, the course fee courtesy is granted through the semester in which the combination of transferable credits and Michigan State University credits attempted equals 120.</w:t>
            </w:r>
            <w:r>
              <w:rPr>
                <w:rFonts w:ascii="Arial" w:hAnsi="Arial" w:cs="Arial"/>
                <w:color w:val="000000"/>
              </w:rPr>
              <w:t xml:space="preserve">” </w:t>
            </w:r>
          </w:p>
        </w:tc>
        <w:tc>
          <w:tcPr>
            <w:tcW w:w="3239" w:type="dxa"/>
            <w:shd w:val="clear" w:color="auto" w:fill="C5E0B3" w:themeFill="accent6" w:themeFillTint="66"/>
          </w:tcPr>
          <w:p w14:paraId="691CF96F" w14:textId="2E2A56E3" w:rsidR="002714CF" w:rsidRPr="000044C5" w:rsidRDefault="002714CF" w:rsidP="000044C5">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3. </w:t>
            </w:r>
            <w:r w:rsidRPr="000044C5">
              <w:rPr>
                <w:rFonts w:ascii="Arial" w:hAnsi="Arial" w:cs="Arial"/>
                <w:color w:val="000000"/>
              </w:rPr>
              <w:t xml:space="preserve"># of Credits (180) </w:t>
            </w:r>
          </w:p>
          <w:p w14:paraId="7DF81C30" w14:textId="77777777" w:rsidR="002714CF" w:rsidRDefault="002714CF" w:rsidP="00F85AB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405D03B1" w14:textId="77777777" w:rsidR="002714CF" w:rsidRPr="00F85AB1" w:rsidRDefault="002714CF" w:rsidP="00F85AB1">
            <w:pPr>
              <w:cnfStyle w:val="000000000000" w:firstRow="0" w:lastRow="0" w:firstColumn="0" w:lastColumn="0" w:oddVBand="0" w:evenVBand="0" w:oddHBand="0" w:evenHBand="0" w:firstRowFirstColumn="0" w:firstRowLastColumn="0" w:lastRowFirstColumn="0" w:lastRowLastColumn="0"/>
              <w:rPr>
                <w:rFonts w:ascii="Arial" w:hAnsi="Arial" w:cs="Arial"/>
                <w:color w:val="000000"/>
                <w:u w:val="single"/>
              </w:rPr>
            </w:pPr>
            <w:r w:rsidRPr="00F85AB1">
              <w:rPr>
                <w:rFonts w:ascii="Arial" w:hAnsi="Arial" w:cs="Arial"/>
                <w:color w:val="000000"/>
                <w:u w:val="single"/>
              </w:rPr>
              <w:t>Proposed Language:</w:t>
            </w:r>
          </w:p>
          <w:p w14:paraId="1D63A124" w14:textId="7D1D2907" w:rsidR="002714CF" w:rsidRPr="00F85AB1" w:rsidRDefault="002714CF" w:rsidP="00F85AB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The course fee courtesy will be granted through the semester in which the </w:t>
            </w:r>
            <w:r>
              <w:rPr>
                <w:rFonts w:ascii="Arial" w:hAnsi="Arial" w:cs="Arial"/>
                <w:b/>
                <w:bCs/>
                <w:color w:val="000000"/>
              </w:rPr>
              <w:t xml:space="preserve">180th </w:t>
            </w:r>
            <w:r>
              <w:rPr>
                <w:rFonts w:ascii="Arial" w:hAnsi="Arial" w:cs="Arial"/>
                <w:color w:val="000000"/>
              </w:rPr>
              <w:t xml:space="preserve">credit is attempted provided the dependent child or </w:t>
            </w:r>
            <w:r>
              <w:rPr>
                <w:rFonts w:ascii="Arial" w:hAnsi="Arial" w:cs="Arial"/>
                <w:b/>
                <w:bCs/>
                <w:color w:val="000000"/>
              </w:rPr>
              <w:t xml:space="preserve">spouse/other eligible individual </w:t>
            </w:r>
            <w:r w:rsidRPr="000044C5">
              <w:rPr>
                <w:rFonts w:ascii="Arial" w:hAnsi="Arial" w:cs="Arial"/>
                <w:color w:val="000000"/>
              </w:rPr>
              <w:t>is</w:t>
            </w:r>
            <w:r>
              <w:rPr>
                <w:rFonts w:ascii="Arial" w:hAnsi="Arial" w:cs="Arial"/>
                <w:b/>
                <w:bCs/>
                <w:color w:val="000000"/>
              </w:rPr>
              <w:t xml:space="preserve"> </w:t>
            </w:r>
            <w:r>
              <w:rPr>
                <w:rFonts w:ascii="Arial" w:hAnsi="Arial" w:cs="Arial"/>
                <w:color w:val="000000"/>
              </w:rPr>
              <w:t xml:space="preserve">registered as a student in good academic standing at Michigan State University. This benefit can be applied towards one </w:t>
            </w:r>
            <w:r>
              <w:rPr>
                <w:rFonts w:ascii="Arial" w:hAnsi="Arial" w:cs="Arial"/>
                <w:b/>
                <w:bCs/>
                <w:color w:val="000000"/>
              </w:rPr>
              <w:t>degree at MSU</w:t>
            </w:r>
            <w:r>
              <w:rPr>
                <w:rFonts w:ascii="Arial" w:hAnsi="Arial" w:cs="Arial"/>
                <w:color w:val="000000"/>
              </w:rPr>
              <w:t xml:space="preserve"> during the period of eligibility.</w:t>
            </w:r>
          </w:p>
        </w:tc>
        <w:tc>
          <w:tcPr>
            <w:tcW w:w="3628" w:type="dxa"/>
            <w:shd w:val="clear" w:color="auto" w:fill="C5E0B3" w:themeFill="accent6" w:themeFillTint="66"/>
          </w:tcPr>
          <w:p w14:paraId="5DF9B92F" w14:textId="77777777" w:rsidR="002714CF" w:rsidRDefault="002714CF" w:rsidP="000D1EBC">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3C644BCB" w14:textId="43E5B8D0" w:rsidR="002714CF" w:rsidRPr="007F03A8" w:rsidRDefault="002714CF"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F03A8">
              <w:rPr>
                <w:rFonts w:ascii="Arial" w:hAnsi="Arial" w:cs="Arial"/>
                <w:color w:val="000000"/>
              </w:rPr>
              <w:t xml:space="preserve">The UCFA endorses Sharri Margraves’ suggestion to increase the credits to 180 credits due to the following reasons: </w:t>
            </w:r>
          </w:p>
          <w:p w14:paraId="4A4D226D" w14:textId="77777777" w:rsidR="002714CF" w:rsidRDefault="002714CF" w:rsidP="006B442C">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0FD1EE9E" w14:textId="77777777" w:rsidR="002714CF" w:rsidRDefault="002714CF" w:rsidP="007F03A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Over 32 programs require more than 120 credits to earn a </w:t>
            </w:r>
            <w:proofErr w:type="spellStart"/>
            <w:r>
              <w:rPr>
                <w:rFonts w:ascii="Arial" w:hAnsi="Arial" w:cs="Arial"/>
                <w:color w:val="000000"/>
              </w:rPr>
              <w:t>bachelors</w:t>
            </w:r>
            <w:proofErr w:type="spellEnd"/>
            <w:r>
              <w:rPr>
                <w:rFonts w:ascii="Arial" w:hAnsi="Arial" w:cs="Arial"/>
                <w:color w:val="000000"/>
              </w:rPr>
              <w:t xml:space="preserve"> degree (with some requiring 180)</w:t>
            </w:r>
          </w:p>
          <w:p w14:paraId="6EB7B23D" w14:textId="129FC50D" w:rsidR="002714CF" w:rsidRDefault="002714CF" w:rsidP="007F03A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Transfer credits and community college credits (from HS) count against this benefit. </w:t>
            </w:r>
          </w:p>
          <w:p w14:paraId="1229B2B4" w14:textId="72B62E91" w:rsidR="002714CF" w:rsidRPr="006B442C" w:rsidRDefault="002714CF" w:rsidP="007F03A8">
            <w:pPr>
              <w:cnfStyle w:val="000000000000" w:firstRow="0" w:lastRow="0" w:firstColumn="0" w:lastColumn="0" w:oddVBand="0" w:evenVBand="0" w:oddHBand="0" w:evenHBand="0" w:firstRowFirstColumn="0" w:firstRowLastColumn="0" w:lastRowFirstColumn="0" w:lastRowLastColumn="0"/>
            </w:pPr>
          </w:p>
        </w:tc>
        <w:tc>
          <w:tcPr>
            <w:tcW w:w="2719" w:type="dxa"/>
            <w:shd w:val="clear" w:color="auto" w:fill="C5E0B3" w:themeFill="accent6" w:themeFillTint="66"/>
          </w:tcPr>
          <w:p w14:paraId="3FEC967C" w14:textId="77777777" w:rsidR="002714CF" w:rsidRDefault="002714CF" w:rsidP="002714C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1D069464" w14:textId="77777777" w:rsidR="007F03A8" w:rsidRDefault="002714CF"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F03A8">
              <w:rPr>
                <w:rFonts w:ascii="Arial" w:hAnsi="Arial" w:cs="Arial"/>
                <w:color w:val="000000"/>
              </w:rPr>
              <w:t xml:space="preserve">Yes; Include in Phase 1; with modification that MSU will allow reimbursement up </w:t>
            </w:r>
            <w:r w:rsidR="008E0D29" w:rsidRPr="007F03A8">
              <w:rPr>
                <w:rFonts w:ascii="Arial" w:hAnsi="Arial" w:cs="Arial"/>
                <w:color w:val="000000"/>
              </w:rPr>
              <w:t xml:space="preserve">to the # of credits required for the </w:t>
            </w:r>
            <w:r w:rsidRPr="007F03A8">
              <w:rPr>
                <w:rFonts w:ascii="Arial" w:hAnsi="Arial" w:cs="Arial"/>
                <w:color w:val="000000"/>
              </w:rPr>
              <w:t xml:space="preserve">bachelors </w:t>
            </w:r>
            <w:r w:rsidR="008E0D29" w:rsidRPr="007F03A8">
              <w:rPr>
                <w:rFonts w:ascii="Arial" w:hAnsi="Arial" w:cs="Arial"/>
                <w:color w:val="000000"/>
              </w:rPr>
              <w:t xml:space="preserve">program. </w:t>
            </w:r>
          </w:p>
          <w:p w14:paraId="22465023" w14:textId="77777777" w:rsidR="007F03A8" w:rsidRDefault="007F03A8"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28739AFB" w14:textId="20777814" w:rsidR="002714CF" w:rsidRPr="007F03A8" w:rsidRDefault="007F03A8"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Note: there are 11 programs (not 32) that require more than 120 credits, with 134 credits at the top end. </w:t>
            </w:r>
          </w:p>
        </w:tc>
      </w:tr>
      <w:tr w:rsidR="008E0D29" w:rsidRPr="00141FA4" w14:paraId="1BE5AC6A" w14:textId="77777777" w:rsidTr="002714CF">
        <w:trPr>
          <w:trHeight w:val="1390"/>
        </w:trPr>
        <w:tc>
          <w:tcPr>
            <w:cnfStyle w:val="001000000000" w:firstRow="0" w:lastRow="0" w:firstColumn="1" w:lastColumn="0" w:oddVBand="0" w:evenVBand="0" w:oddHBand="0" w:evenHBand="0" w:firstRowFirstColumn="0" w:firstRowLastColumn="0" w:lastRowFirstColumn="0" w:lastRowLastColumn="0"/>
            <w:tcW w:w="346" w:type="dxa"/>
          </w:tcPr>
          <w:p w14:paraId="36C21EDC" w14:textId="3F3643B7" w:rsidR="008E0D29" w:rsidRDefault="008E0D29" w:rsidP="00E051C8">
            <w:pPr>
              <w:rPr>
                <w:rFonts w:ascii="Arial" w:hAnsi="Arial" w:cs="Arial"/>
              </w:rPr>
            </w:pPr>
          </w:p>
        </w:tc>
        <w:tc>
          <w:tcPr>
            <w:tcW w:w="1431" w:type="dxa"/>
          </w:tcPr>
          <w:p w14:paraId="5026C180" w14:textId="1D4009C7" w:rsidR="008E0D29" w:rsidRDefault="007F03A8" w:rsidP="00E051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Benefit</w:t>
            </w:r>
          </w:p>
        </w:tc>
        <w:tc>
          <w:tcPr>
            <w:tcW w:w="3027" w:type="dxa"/>
          </w:tcPr>
          <w:p w14:paraId="79DA34B2" w14:textId="174FE028" w:rsidR="008E0D29" w:rsidRPr="007F03A8" w:rsidRDefault="007F03A8" w:rsidP="007F03A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Covers </w:t>
            </w:r>
            <w:proofErr w:type="spellStart"/>
            <w:r>
              <w:rPr>
                <w:rFonts w:ascii="Arial" w:hAnsi="Arial" w:cs="Arial"/>
                <w:color w:val="000000"/>
              </w:rPr>
              <w:t>bachelors</w:t>
            </w:r>
            <w:proofErr w:type="spellEnd"/>
            <w:r>
              <w:rPr>
                <w:rFonts w:ascii="Arial" w:hAnsi="Arial" w:cs="Arial"/>
                <w:color w:val="000000"/>
              </w:rPr>
              <w:t xml:space="preserve"> degrees.</w:t>
            </w:r>
          </w:p>
        </w:tc>
        <w:tc>
          <w:tcPr>
            <w:tcW w:w="3239" w:type="dxa"/>
          </w:tcPr>
          <w:p w14:paraId="432491C4" w14:textId="3B88FDC2" w:rsidR="008E0D29" w:rsidRPr="007F03A8" w:rsidRDefault="007F03A8"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4. </w:t>
            </w:r>
            <w:r w:rsidRPr="007F03A8">
              <w:rPr>
                <w:rFonts w:ascii="Arial" w:hAnsi="Arial" w:cs="Arial"/>
                <w:color w:val="000000"/>
              </w:rPr>
              <w:t xml:space="preserve">Expand to cover </w:t>
            </w:r>
            <w:r>
              <w:rPr>
                <w:rFonts w:ascii="Arial" w:hAnsi="Arial" w:cs="Arial"/>
                <w:color w:val="000000"/>
              </w:rPr>
              <w:t xml:space="preserve">a </w:t>
            </w:r>
            <w:r w:rsidRPr="007F03A8">
              <w:rPr>
                <w:rFonts w:ascii="Arial" w:hAnsi="Arial" w:cs="Arial"/>
                <w:color w:val="000000"/>
              </w:rPr>
              <w:t>graduate degree</w:t>
            </w:r>
            <w:r>
              <w:rPr>
                <w:rFonts w:ascii="Arial" w:hAnsi="Arial" w:cs="Arial"/>
                <w:color w:val="000000"/>
              </w:rPr>
              <w:t xml:space="preserve"> or a bachelor degree</w:t>
            </w:r>
            <w:r w:rsidRPr="007F03A8">
              <w:rPr>
                <w:rFonts w:ascii="Arial" w:hAnsi="Arial" w:cs="Arial"/>
                <w:color w:val="000000"/>
              </w:rPr>
              <w:t>.</w:t>
            </w:r>
          </w:p>
        </w:tc>
        <w:tc>
          <w:tcPr>
            <w:tcW w:w="3628" w:type="dxa"/>
          </w:tcPr>
          <w:p w14:paraId="0B1A5605" w14:textId="77777777" w:rsidR="007F03A8" w:rsidRPr="007F03A8" w:rsidRDefault="007F03A8"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F03A8">
              <w:rPr>
                <w:rFonts w:ascii="Arial" w:hAnsi="Arial" w:cs="Arial"/>
                <w:color w:val="000000"/>
              </w:rPr>
              <w:t xml:space="preserve">Allowing graduate degrees </w:t>
            </w:r>
            <w:r w:rsidRPr="007F03A8">
              <w:rPr>
                <w:rFonts w:ascii="Arial" w:hAnsi="Arial" w:cs="Arial"/>
                <w:b/>
                <w:bCs/>
                <w:color w:val="000000"/>
              </w:rPr>
              <w:t>or</w:t>
            </w:r>
            <w:r w:rsidRPr="007F03A8">
              <w:rPr>
                <w:rFonts w:ascii="Arial" w:hAnsi="Arial" w:cs="Arial"/>
                <w:color w:val="000000"/>
              </w:rPr>
              <w:t xml:space="preserve"> </w:t>
            </w:r>
            <w:proofErr w:type="spellStart"/>
            <w:r w:rsidRPr="007F03A8">
              <w:rPr>
                <w:rFonts w:ascii="Arial" w:hAnsi="Arial" w:cs="Arial"/>
                <w:color w:val="000000"/>
              </w:rPr>
              <w:t>bachelors</w:t>
            </w:r>
            <w:proofErr w:type="spellEnd"/>
            <w:r w:rsidRPr="007F03A8">
              <w:rPr>
                <w:rFonts w:ascii="Arial" w:hAnsi="Arial" w:cs="Arial"/>
                <w:color w:val="000000"/>
              </w:rPr>
              <w:t xml:space="preserve"> degrees is highly attractive to employees, thus, becoming a competitive tool with our peer universities. </w:t>
            </w:r>
          </w:p>
          <w:p w14:paraId="6CF8E4D7" w14:textId="77777777" w:rsidR="008E0D29" w:rsidRPr="007F03A8" w:rsidRDefault="008E0D29"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2719" w:type="dxa"/>
          </w:tcPr>
          <w:p w14:paraId="0B52C2CA" w14:textId="18F02F84" w:rsidR="007F03A8" w:rsidRPr="007F03A8" w:rsidRDefault="007F03A8"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F03A8">
              <w:rPr>
                <w:rFonts w:ascii="Arial" w:hAnsi="Arial" w:cs="Arial"/>
                <w:color w:val="000000"/>
              </w:rPr>
              <w:t>Discuss further. Not included in Phase 1</w:t>
            </w:r>
          </w:p>
          <w:p w14:paraId="237007BD" w14:textId="77777777" w:rsidR="008E0D29" w:rsidRDefault="008E0D29" w:rsidP="007F03A8">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8E0D29" w:rsidRPr="00141FA4" w14:paraId="0B9DBF49" w14:textId="77777777" w:rsidTr="002714CF">
        <w:trPr>
          <w:trHeight w:val="1390"/>
        </w:trPr>
        <w:tc>
          <w:tcPr>
            <w:cnfStyle w:val="001000000000" w:firstRow="0" w:lastRow="0" w:firstColumn="1" w:lastColumn="0" w:oddVBand="0" w:evenVBand="0" w:oddHBand="0" w:evenHBand="0" w:firstRowFirstColumn="0" w:firstRowLastColumn="0" w:lastRowFirstColumn="0" w:lastRowLastColumn="0"/>
            <w:tcW w:w="346" w:type="dxa"/>
          </w:tcPr>
          <w:p w14:paraId="022251DA" w14:textId="52C633F3" w:rsidR="008E0D29" w:rsidRDefault="008E0D29" w:rsidP="008E0D29">
            <w:pPr>
              <w:rPr>
                <w:rFonts w:ascii="Arial" w:hAnsi="Arial" w:cs="Arial"/>
              </w:rPr>
            </w:pPr>
            <w:r>
              <w:rPr>
                <w:rFonts w:ascii="Arial" w:hAnsi="Arial" w:cs="Arial"/>
              </w:rPr>
              <w:t>4</w:t>
            </w:r>
          </w:p>
        </w:tc>
        <w:tc>
          <w:tcPr>
            <w:tcW w:w="1431" w:type="dxa"/>
          </w:tcPr>
          <w:p w14:paraId="79AAB7D0" w14:textId="73E02C41" w:rsidR="008E0D29"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Employee Eligibility   </w:t>
            </w:r>
          </w:p>
        </w:tc>
        <w:tc>
          <w:tcPr>
            <w:tcW w:w="3027" w:type="dxa"/>
          </w:tcPr>
          <w:p w14:paraId="255A996F" w14:textId="2FC63C7E" w:rsidR="008E0D29" w:rsidRPr="008E0D29"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The benefit is accessible only to full-time employees.  </w:t>
            </w:r>
          </w:p>
        </w:tc>
        <w:tc>
          <w:tcPr>
            <w:tcW w:w="3239" w:type="dxa"/>
          </w:tcPr>
          <w:p w14:paraId="4EE2098A" w14:textId="55C31671" w:rsidR="008E0D29" w:rsidRDefault="007F03A8" w:rsidP="008E0D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Expand</w:t>
            </w:r>
            <w:r w:rsidR="008E0D29" w:rsidRPr="008E0D29">
              <w:rPr>
                <w:rFonts w:ascii="Arial" w:hAnsi="Arial" w:cs="Arial"/>
              </w:rPr>
              <w:t xml:space="preserve"> access to </w:t>
            </w:r>
            <w:r w:rsidR="008E0D29">
              <w:rPr>
                <w:rFonts w:ascii="Arial" w:hAnsi="Arial" w:cs="Arial"/>
              </w:rPr>
              <w:t xml:space="preserve">benefits-eligible </w:t>
            </w:r>
            <w:r w:rsidR="008E0D29" w:rsidRPr="008E0D29">
              <w:rPr>
                <w:rFonts w:ascii="Arial" w:hAnsi="Arial" w:cs="Arial"/>
              </w:rPr>
              <w:t xml:space="preserve">part-time employees. </w:t>
            </w:r>
          </w:p>
          <w:p w14:paraId="1FBCECE6" w14:textId="77777777" w:rsidR="008E0D29" w:rsidRPr="007F03A8" w:rsidRDefault="008E0D29"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3628" w:type="dxa"/>
          </w:tcPr>
          <w:p w14:paraId="11F677DE" w14:textId="77777777" w:rsidR="008E0D29" w:rsidRPr="007F03A8" w:rsidRDefault="008E0D29"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F03A8">
              <w:rPr>
                <w:rFonts w:ascii="Arial" w:hAnsi="Arial" w:cs="Arial"/>
                <w:color w:val="000000"/>
              </w:rPr>
              <w:t>To allow part-time employees to have access to this benefit, the UCFA proposes that all benefits eligible faculty/academic staff be eligible for the benefit just like they would for other employee benefits. Expansion of eligibility that promotes greater equity and inclusion across all categories of benefit-eligible employees.</w:t>
            </w:r>
            <w:r w:rsidRPr="007F03A8">
              <w:rPr>
                <w:rFonts w:cstheme="minorHAnsi"/>
              </w:rPr>
              <w:t xml:space="preserve"> </w:t>
            </w:r>
            <w:r w:rsidRPr="007F03A8">
              <w:rPr>
                <w:rFonts w:ascii="Arial" w:hAnsi="Arial" w:cs="Arial"/>
                <w:color w:val="000000"/>
              </w:rPr>
              <w:t>The FAS workforce composition has changed over time and includes more part-time employees.</w:t>
            </w:r>
          </w:p>
          <w:p w14:paraId="2DD90886" w14:textId="215C2899" w:rsidR="008E0D29" w:rsidRDefault="008E0D29" w:rsidP="007F03A8">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 </w:t>
            </w:r>
          </w:p>
        </w:tc>
        <w:tc>
          <w:tcPr>
            <w:tcW w:w="2719" w:type="dxa"/>
          </w:tcPr>
          <w:p w14:paraId="54C7BE3B" w14:textId="77777777" w:rsidR="007F03A8" w:rsidRPr="007F03A8" w:rsidRDefault="007F03A8"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F03A8">
              <w:rPr>
                <w:rFonts w:ascii="Arial" w:hAnsi="Arial" w:cs="Arial"/>
                <w:color w:val="000000"/>
              </w:rPr>
              <w:t>Discuss further. Not included in Phase 1</w:t>
            </w:r>
          </w:p>
          <w:p w14:paraId="7A28D5C4" w14:textId="77777777" w:rsidR="008E0D29" w:rsidRPr="007F03A8" w:rsidRDefault="008E0D29" w:rsidP="007F03A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8E0D29" w:rsidRPr="00141FA4" w14:paraId="68F0898C" w14:textId="760D5B88" w:rsidTr="009D7102">
        <w:tc>
          <w:tcPr>
            <w:cnfStyle w:val="001000000000" w:firstRow="0" w:lastRow="0" w:firstColumn="1" w:lastColumn="0" w:oddVBand="0" w:evenVBand="0" w:oddHBand="0" w:evenHBand="0" w:firstRowFirstColumn="0" w:firstRowLastColumn="0" w:lastRowFirstColumn="0" w:lastRowLastColumn="0"/>
            <w:tcW w:w="346" w:type="dxa"/>
            <w:shd w:val="clear" w:color="auto" w:fill="C5E0B3" w:themeFill="accent6" w:themeFillTint="66"/>
          </w:tcPr>
          <w:p w14:paraId="24141A1C" w14:textId="77777777" w:rsidR="008E0D29" w:rsidRPr="00141FA4" w:rsidRDefault="008E0D29" w:rsidP="008E0D29">
            <w:pPr>
              <w:rPr>
                <w:rFonts w:ascii="Arial" w:hAnsi="Arial" w:cs="Arial"/>
              </w:rPr>
            </w:pPr>
            <w:r>
              <w:rPr>
                <w:rFonts w:ascii="Arial" w:hAnsi="Arial" w:cs="Arial"/>
              </w:rPr>
              <w:t>4</w:t>
            </w:r>
          </w:p>
        </w:tc>
        <w:tc>
          <w:tcPr>
            <w:tcW w:w="1431" w:type="dxa"/>
            <w:shd w:val="clear" w:color="auto" w:fill="C5E0B3" w:themeFill="accent6" w:themeFillTint="66"/>
          </w:tcPr>
          <w:p w14:paraId="323A5A7F" w14:textId="09D48667" w:rsidR="008E0D29" w:rsidRPr="00141FA4"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Employee Eligibility   </w:t>
            </w:r>
          </w:p>
        </w:tc>
        <w:tc>
          <w:tcPr>
            <w:tcW w:w="3027" w:type="dxa"/>
            <w:shd w:val="clear" w:color="auto" w:fill="C5E0B3" w:themeFill="accent6" w:themeFillTint="66"/>
          </w:tcPr>
          <w:p w14:paraId="6D633449" w14:textId="046E6F21" w:rsidR="008E0D29" w:rsidRPr="00F85AB1"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F85AB1">
              <w:rPr>
                <w:rFonts w:ascii="Arial" w:hAnsi="Arial" w:cs="Arial"/>
                <w:u w:val="single"/>
              </w:rPr>
              <w:t xml:space="preserve">Current Language: </w:t>
            </w:r>
          </w:p>
          <w:p w14:paraId="1BAA074D" w14:textId="7DD4214C" w:rsidR="008E0D29"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Fixed term faculty and academic staff are eligible to utilize this benefit after 60 FTE service months. </w:t>
            </w:r>
          </w:p>
          <w:p w14:paraId="03AE8811" w14:textId="144A7E78" w:rsidR="008E0D29" w:rsidRPr="00C52893"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39" w:type="dxa"/>
            <w:shd w:val="clear" w:color="auto" w:fill="C5E0B3" w:themeFill="accent6" w:themeFillTint="66"/>
          </w:tcPr>
          <w:p w14:paraId="6C38131A" w14:textId="77777777" w:rsidR="008E0D29" w:rsidRPr="00301EBF"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301EBF">
              <w:rPr>
                <w:rFonts w:ascii="Arial" w:hAnsi="Arial" w:cs="Arial"/>
                <w:u w:val="single"/>
              </w:rPr>
              <w:t xml:space="preserve">Overview of Proposed Changes: </w:t>
            </w:r>
          </w:p>
          <w:p w14:paraId="437815FC" w14:textId="1D09D666" w:rsidR="008E0D29" w:rsidRDefault="008E0D29" w:rsidP="008E0D29">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301EBF">
              <w:rPr>
                <w:rFonts w:ascii="Arial" w:hAnsi="Arial" w:cs="Arial"/>
              </w:rPr>
              <w:t>Remove</w:t>
            </w:r>
            <w:r>
              <w:rPr>
                <w:rFonts w:ascii="Arial" w:hAnsi="Arial" w:cs="Arial"/>
              </w:rPr>
              <w:t xml:space="preserve"> </w:t>
            </w:r>
            <w:r w:rsidRPr="00301EBF">
              <w:rPr>
                <w:rFonts w:ascii="Arial" w:hAnsi="Arial" w:cs="Arial"/>
              </w:rPr>
              <w:t>the 60 FTE service months for fixed term faculty and academic staff</w:t>
            </w:r>
            <w:r>
              <w:rPr>
                <w:rFonts w:ascii="Arial" w:hAnsi="Arial" w:cs="Arial"/>
              </w:rPr>
              <w:t>.</w:t>
            </w:r>
            <w:r>
              <w:t xml:space="preserve"> </w:t>
            </w:r>
          </w:p>
          <w:p w14:paraId="59A6A40E" w14:textId="53C2EE22" w:rsidR="008E0D29" w:rsidRPr="00301EBF"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28" w:type="dxa"/>
            <w:shd w:val="clear" w:color="auto" w:fill="C5E0B3" w:themeFill="accent6" w:themeFillTint="66"/>
          </w:tcPr>
          <w:p w14:paraId="6848E9F0" w14:textId="01D48DF4" w:rsidR="008E0D29" w:rsidRPr="008E0D29"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E0D29">
              <w:rPr>
                <w:rFonts w:ascii="Arial" w:hAnsi="Arial" w:cs="Arial"/>
              </w:rPr>
              <w:t>Removing the 60 FTE service months requirement recognizes an expansion of eligibility that promotes greater equity and inclusion across all categories of benefit-eligible employees.  University values continue to guide program and policy review across the university, including those under the purview of the Office of the Provost. Those guiding values are equity and inclusion: fundamental values of the university, of the MSU 2030 Strategic Plan, and of the Diversity, Equity, and Inclusion Strategic Plan. Values manifest themselves when lived out, in action and in practice. Expanding our Course Fee Courtesy program does just that; it is an action of equity and inclusion that lives out our values of equity and inclusion.</w:t>
            </w:r>
          </w:p>
        </w:tc>
        <w:tc>
          <w:tcPr>
            <w:tcW w:w="2719" w:type="dxa"/>
            <w:shd w:val="clear" w:color="auto" w:fill="C5E0B3" w:themeFill="accent6" w:themeFillTint="66"/>
          </w:tcPr>
          <w:p w14:paraId="71C8DAAC" w14:textId="77777777" w:rsidR="00B7217E"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E0D29">
              <w:rPr>
                <w:rFonts w:ascii="Arial" w:hAnsi="Arial" w:cs="Arial"/>
                <w:color w:val="000000"/>
              </w:rPr>
              <w:t xml:space="preserve">Yes: Include in Phase 1. </w:t>
            </w:r>
          </w:p>
          <w:p w14:paraId="7B389871" w14:textId="77777777" w:rsidR="00B7217E" w:rsidRDefault="00B7217E" w:rsidP="008E0D2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797D7421" w14:textId="338B0775" w:rsidR="008E0D29" w:rsidRPr="008E0D29" w:rsidRDefault="00B7217E" w:rsidP="008E0D2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This change will is also being considered for support staff. Currently, support staff have a similar 60 FTE service month waiting period. </w:t>
            </w:r>
          </w:p>
        </w:tc>
      </w:tr>
      <w:tr w:rsidR="008E0D29" w:rsidRPr="00141FA4" w14:paraId="705DD3D2" w14:textId="5CDCFC6A" w:rsidTr="002714CF">
        <w:tc>
          <w:tcPr>
            <w:cnfStyle w:val="001000000000" w:firstRow="0" w:lastRow="0" w:firstColumn="1" w:lastColumn="0" w:oddVBand="0" w:evenVBand="0" w:oddHBand="0" w:evenHBand="0" w:firstRowFirstColumn="0" w:firstRowLastColumn="0" w:lastRowFirstColumn="0" w:lastRowLastColumn="0"/>
            <w:tcW w:w="346" w:type="dxa"/>
          </w:tcPr>
          <w:p w14:paraId="5E2B2F50" w14:textId="5A940F75" w:rsidR="008E0D29" w:rsidRDefault="008E0D29" w:rsidP="008E0D29">
            <w:pPr>
              <w:rPr>
                <w:rFonts w:ascii="Arial" w:hAnsi="Arial" w:cs="Arial"/>
              </w:rPr>
            </w:pPr>
            <w:r>
              <w:rPr>
                <w:rFonts w:ascii="Arial" w:hAnsi="Arial" w:cs="Arial"/>
              </w:rPr>
              <w:t>5</w:t>
            </w:r>
          </w:p>
        </w:tc>
        <w:tc>
          <w:tcPr>
            <w:tcW w:w="1431" w:type="dxa"/>
          </w:tcPr>
          <w:p w14:paraId="39C2EB07" w14:textId="1BAB98DD" w:rsidR="008E0D29"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Stacking </w:t>
            </w:r>
          </w:p>
        </w:tc>
        <w:tc>
          <w:tcPr>
            <w:tcW w:w="3027" w:type="dxa"/>
          </w:tcPr>
          <w:p w14:paraId="05BF32A7" w14:textId="680A85C4" w:rsidR="008E0D29" w:rsidRPr="00F000D4"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two employees at MSU have a child together, the benefit cannot be stacked to allow each employee to get the full realization of the benefit (e.g., free tuition for their child). </w:t>
            </w:r>
          </w:p>
        </w:tc>
        <w:tc>
          <w:tcPr>
            <w:tcW w:w="3239" w:type="dxa"/>
          </w:tcPr>
          <w:p w14:paraId="1306F29C" w14:textId="6F5AEEC6" w:rsidR="008E0D29" w:rsidRPr="00F000D4"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Allow stacking of benefits if both parents are employed at MSU. </w:t>
            </w:r>
          </w:p>
        </w:tc>
        <w:tc>
          <w:tcPr>
            <w:tcW w:w="3628" w:type="dxa"/>
          </w:tcPr>
          <w:p w14:paraId="0C95F828" w14:textId="5FD6B6CE" w:rsidR="008E0D29" w:rsidRPr="00F000D4"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rPr>
              <w:t>This is out of alignment with other benefits provided by MSU.</w:t>
            </w:r>
          </w:p>
        </w:tc>
        <w:tc>
          <w:tcPr>
            <w:tcW w:w="2719" w:type="dxa"/>
          </w:tcPr>
          <w:p w14:paraId="24CC540A" w14:textId="68F2B785" w:rsidR="008E0D29" w:rsidRDefault="008E0D29" w:rsidP="008E0D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Discuss further. Not included in Phase 1. </w:t>
            </w:r>
          </w:p>
        </w:tc>
      </w:tr>
    </w:tbl>
    <w:p w14:paraId="1E606A32" w14:textId="77777777" w:rsidR="00A87D53" w:rsidRDefault="00A87D53" w:rsidP="007475E5">
      <w:pPr>
        <w:rPr>
          <w:rFonts w:ascii="Arial" w:hAnsi="Arial" w:cs="Arial"/>
        </w:rPr>
      </w:pPr>
    </w:p>
    <w:sectPr w:rsidR="00A87D53" w:rsidSect="00E051C8">
      <w:pgSz w:w="15840" w:h="12240" w:orient="landscape"/>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F5AC4" w14:textId="77777777" w:rsidR="00BC7D30" w:rsidRDefault="00BC7D30" w:rsidP="006224EA">
      <w:pPr>
        <w:spacing w:after="0" w:line="240" w:lineRule="auto"/>
      </w:pPr>
      <w:r>
        <w:separator/>
      </w:r>
    </w:p>
  </w:endnote>
  <w:endnote w:type="continuationSeparator" w:id="0">
    <w:p w14:paraId="484847AA" w14:textId="77777777" w:rsidR="00BC7D30" w:rsidRDefault="00BC7D30" w:rsidP="006224EA">
      <w:pPr>
        <w:spacing w:after="0" w:line="240" w:lineRule="auto"/>
      </w:pPr>
      <w:r>
        <w:continuationSeparator/>
      </w:r>
    </w:p>
  </w:endnote>
  <w:endnote w:type="continuationNotice" w:id="1">
    <w:p w14:paraId="4194C256" w14:textId="77777777" w:rsidR="00BC7D30" w:rsidRDefault="00BC7D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557748"/>
      <w:docPartObj>
        <w:docPartGallery w:val="Page Numbers (Bottom of Page)"/>
        <w:docPartUnique/>
      </w:docPartObj>
    </w:sdtPr>
    <w:sdtContent>
      <w:p w14:paraId="170EDBEC" w14:textId="4CBF256A" w:rsidR="00C72B8C" w:rsidRDefault="00C72B8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60A33AC" w14:textId="77777777" w:rsidR="00C72B8C" w:rsidRDefault="00C72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7AE18" w14:textId="77777777" w:rsidR="00BC7D30" w:rsidRDefault="00BC7D30" w:rsidP="006224EA">
      <w:pPr>
        <w:spacing w:after="0" w:line="240" w:lineRule="auto"/>
      </w:pPr>
      <w:r>
        <w:separator/>
      </w:r>
    </w:p>
  </w:footnote>
  <w:footnote w:type="continuationSeparator" w:id="0">
    <w:p w14:paraId="0C8A237D" w14:textId="77777777" w:rsidR="00BC7D30" w:rsidRDefault="00BC7D30" w:rsidP="006224EA">
      <w:pPr>
        <w:spacing w:after="0" w:line="240" w:lineRule="auto"/>
      </w:pPr>
      <w:r>
        <w:continuationSeparator/>
      </w:r>
    </w:p>
  </w:footnote>
  <w:footnote w:type="continuationNotice" w:id="1">
    <w:p w14:paraId="11C440EF" w14:textId="77777777" w:rsidR="00BC7D30" w:rsidRDefault="00BC7D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16660"/>
    <w:multiLevelType w:val="hybridMultilevel"/>
    <w:tmpl w:val="B6AA1752"/>
    <w:lvl w:ilvl="0" w:tplc="B66CD4F8">
      <w:start w:val="1"/>
      <w:numFmt w:val="decimal"/>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418A5"/>
    <w:multiLevelType w:val="hybridMultilevel"/>
    <w:tmpl w:val="40B851BA"/>
    <w:lvl w:ilvl="0" w:tplc="1FB4A924">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967350"/>
    <w:multiLevelType w:val="hybridMultilevel"/>
    <w:tmpl w:val="3C36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0168D"/>
    <w:multiLevelType w:val="hybridMultilevel"/>
    <w:tmpl w:val="C19A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53E5F"/>
    <w:multiLevelType w:val="hybridMultilevel"/>
    <w:tmpl w:val="A228795C"/>
    <w:lvl w:ilvl="0" w:tplc="7368C7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9C79AF"/>
    <w:multiLevelType w:val="hybridMultilevel"/>
    <w:tmpl w:val="DCA6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8566B"/>
    <w:multiLevelType w:val="hybridMultilevel"/>
    <w:tmpl w:val="0EF67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4150C6"/>
    <w:multiLevelType w:val="hybridMultilevel"/>
    <w:tmpl w:val="F1D8AB6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FCA648E"/>
    <w:multiLevelType w:val="hybridMultilevel"/>
    <w:tmpl w:val="A228795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5A24E3"/>
    <w:multiLevelType w:val="hybridMultilevel"/>
    <w:tmpl w:val="9C6A3E5A"/>
    <w:lvl w:ilvl="0" w:tplc="A6C8F36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A151DA"/>
    <w:multiLevelType w:val="hybridMultilevel"/>
    <w:tmpl w:val="DD8A9C8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F5B12B8"/>
    <w:multiLevelType w:val="hybridMultilevel"/>
    <w:tmpl w:val="68ECC1CE"/>
    <w:lvl w:ilvl="0" w:tplc="74B81C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0C1D2C"/>
    <w:multiLevelType w:val="hybridMultilevel"/>
    <w:tmpl w:val="77AEC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20B3C"/>
    <w:multiLevelType w:val="hybridMultilevel"/>
    <w:tmpl w:val="58C88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32DEA"/>
    <w:multiLevelType w:val="hybridMultilevel"/>
    <w:tmpl w:val="B09A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A5BF6"/>
    <w:multiLevelType w:val="hybridMultilevel"/>
    <w:tmpl w:val="4D4C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95B28"/>
    <w:multiLevelType w:val="hybridMultilevel"/>
    <w:tmpl w:val="B880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05E27"/>
    <w:multiLevelType w:val="hybridMultilevel"/>
    <w:tmpl w:val="0EE860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C4477C"/>
    <w:multiLevelType w:val="hybridMultilevel"/>
    <w:tmpl w:val="A7E818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347AEB"/>
    <w:multiLevelType w:val="hybridMultilevel"/>
    <w:tmpl w:val="FCDA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74C6A"/>
    <w:multiLevelType w:val="hybridMultilevel"/>
    <w:tmpl w:val="6E8E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C172D"/>
    <w:multiLevelType w:val="hybridMultilevel"/>
    <w:tmpl w:val="7C24E3A0"/>
    <w:lvl w:ilvl="0" w:tplc="29C845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561309">
    <w:abstractNumId w:val="12"/>
  </w:num>
  <w:num w:numId="2" w16cid:durableId="1195539069">
    <w:abstractNumId w:val="17"/>
  </w:num>
  <w:num w:numId="3" w16cid:durableId="1360550359">
    <w:abstractNumId w:val="6"/>
  </w:num>
  <w:num w:numId="4" w16cid:durableId="1744644691">
    <w:abstractNumId w:val="0"/>
  </w:num>
  <w:num w:numId="5" w16cid:durableId="811556854">
    <w:abstractNumId w:val="19"/>
  </w:num>
  <w:num w:numId="6" w16cid:durableId="937443719">
    <w:abstractNumId w:val="14"/>
  </w:num>
  <w:num w:numId="7" w16cid:durableId="2005623340">
    <w:abstractNumId w:val="21"/>
  </w:num>
  <w:num w:numId="8" w16cid:durableId="411664127">
    <w:abstractNumId w:val="15"/>
  </w:num>
  <w:num w:numId="9" w16cid:durableId="1376546105">
    <w:abstractNumId w:val="16"/>
  </w:num>
  <w:num w:numId="10" w16cid:durableId="739910327">
    <w:abstractNumId w:val="20"/>
  </w:num>
  <w:num w:numId="11" w16cid:durableId="1157499330">
    <w:abstractNumId w:val="3"/>
  </w:num>
  <w:num w:numId="12" w16cid:durableId="1201432550">
    <w:abstractNumId w:val="11"/>
  </w:num>
  <w:num w:numId="13" w16cid:durableId="817652486">
    <w:abstractNumId w:val="4"/>
  </w:num>
  <w:num w:numId="14" w16cid:durableId="1938521514">
    <w:abstractNumId w:val="5"/>
  </w:num>
  <w:num w:numId="15" w16cid:durableId="2082873632">
    <w:abstractNumId w:val="7"/>
  </w:num>
  <w:num w:numId="16" w16cid:durableId="20933222">
    <w:abstractNumId w:val="1"/>
  </w:num>
  <w:num w:numId="17" w16cid:durableId="737246585">
    <w:abstractNumId w:val="9"/>
  </w:num>
  <w:num w:numId="18" w16cid:durableId="444934358">
    <w:abstractNumId w:val="18"/>
  </w:num>
  <w:num w:numId="19" w16cid:durableId="314339989">
    <w:abstractNumId w:val="2"/>
  </w:num>
  <w:num w:numId="20" w16cid:durableId="1848445783">
    <w:abstractNumId w:val="13"/>
  </w:num>
  <w:num w:numId="21" w16cid:durableId="1619490036">
    <w:abstractNumId w:val="8"/>
  </w:num>
  <w:num w:numId="22" w16cid:durableId="1758214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A4"/>
    <w:rsid w:val="000044C5"/>
    <w:rsid w:val="000444E3"/>
    <w:rsid w:val="00084D1C"/>
    <w:rsid w:val="000D1EBC"/>
    <w:rsid w:val="00135E55"/>
    <w:rsid w:val="00141FA4"/>
    <w:rsid w:val="001A627F"/>
    <w:rsid w:val="002714CF"/>
    <w:rsid w:val="002834C9"/>
    <w:rsid w:val="00290874"/>
    <w:rsid w:val="00301EBF"/>
    <w:rsid w:val="0031360F"/>
    <w:rsid w:val="0036065A"/>
    <w:rsid w:val="003827EE"/>
    <w:rsid w:val="003B343A"/>
    <w:rsid w:val="003C1362"/>
    <w:rsid w:val="003F218D"/>
    <w:rsid w:val="00444EDC"/>
    <w:rsid w:val="004457E0"/>
    <w:rsid w:val="004B4F4C"/>
    <w:rsid w:val="004F236D"/>
    <w:rsid w:val="0053782A"/>
    <w:rsid w:val="00573691"/>
    <w:rsid w:val="00587E07"/>
    <w:rsid w:val="005A38CD"/>
    <w:rsid w:val="005E1A61"/>
    <w:rsid w:val="006224EA"/>
    <w:rsid w:val="006A3F7E"/>
    <w:rsid w:val="006A5908"/>
    <w:rsid w:val="006B442C"/>
    <w:rsid w:val="006D7C50"/>
    <w:rsid w:val="00717834"/>
    <w:rsid w:val="00727FCC"/>
    <w:rsid w:val="007336F8"/>
    <w:rsid w:val="007475E5"/>
    <w:rsid w:val="007D4F04"/>
    <w:rsid w:val="007F03A8"/>
    <w:rsid w:val="007F2E41"/>
    <w:rsid w:val="007F45E4"/>
    <w:rsid w:val="00822FE6"/>
    <w:rsid w:val="00836AD1"/>
    <w:rsid w:val="008B2050"/>
    <w:rsid w:val="008C39F9"/>
    <w:rsid w:val="008E0D29"/>
    <w:rsid w:val="008E6B4C"/>
    <w:rsid w:val="009270BF"/>
    <w:rsid w:val="009864F4"/>
    <w:rsid w:val="009D7102"/>
    <w:rsid w:val="00A16C30"/>
    <w:rsid w:val="00A208CC"/>
    <w:rsid w:val="00A65B6E"/>
    <w:rsid w:val="00A87D53"/>
    <w:rsid w:val="00AB3C7D"/>
    <w:rsid w:val="00B345F5"/>
    <w:rsid w:val="00B61166"/>
    <w:rsid w:val="00B612C8"/>
    <w:rsid w:val="00B7217E"/>
    <w:rsid w:val="00BC7D30"/>
    <w:rsid w:val="00BD3CD7"/>
    <w:rsid w:val="00BE7B77"/>
    <w:rsid w:val="00C013DA"/>
    <w:rsid w:val="00C42A3D"/>
    <w:rsid w:val="00C52022"/>
    <w:rsid w:val="00C52893"/>
    <w:rsid w:val="00C72B8C"/>
    <w:rsid w:val="00C75673"/>
    <w:rsid w:val="00CB3EDE"/>
    <w:rsid w:val="00CE1DD0"/>
    <w:rsid w:val="00E051C8"/>
    <w:rsid w:val="00E65A46"/>
    <w:rsid w:val="00F000D4"/>
    <w:rsid w:val="00F31D82"/>
    <w:rsid w:val="00F351BA"/>
    <w:rsid w:val="00F64266"/>
    <w:rsid w:val="00F7201E"/>
    <w:rsid w:val="00F85AB1"/>
    <w:rsid w:val="00F86046"/>
    <w:rsid w:val="00FD3D29"/>
    <w:rsid w:val="00FE3B6A"/>
    <w:rsid w:val="00FE56E7"/>
    <w:rsid w:val="24129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8614"/>
  <w15:chartTrackingRefBased/>
  <w15:docId w15:val="{D74B97A4-22A9-4F27-A02E-EE8B36AC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4266"/>
    <w:pPr>
      <w:ind w:left="720"/>
      <w:contextualSpacing/>
    </w:pPr>
  </w:style>
  <w:style w:type="paragraph" w:styleId="Header">
    <w:name w:val="header"/>
    <w:basedOn w:val="Normal"/>
    <w:link w:val="HeaderChar"/>
    <w:uiPriority w:val="99"/>
    <w:unhideWhenUsed/>
    <w:rsid w:val="00622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4EA"/>
  </w:style>
  <w:style w:type="paragraph" w:styleId="Footer">
    <w:name w:val="footer"/>
    <w:basedOn w:val="Normal"/>
    <w:link w:val="FooterChar"/>
    <w:uiPriority w:val="99"/>
    <w:unhideWhenUsed/>
    <w:rsid w:val="00622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4EA"/>
  </w:style>
  <w:style w:type="paragraph" w:styleId="FootnoteText">
    <w:name w:val="footnote text"/>
    <w:basedOn w:val="Normal"/>
    <w:link w:val="FootnoteTextChar"/>
    <w:uiPriority w:val="99"/>
    <w:semiHidden/>
    <w:unhideWhenUsed/>
    <w:rsid w:val="009864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4F4"/>
    <w:rPr>
      <w:sz w:val="20"/>
      <w:szCs w:val="20"/>
    </w:rPr>
  </w:style>
  <w:style w:type="character" w:styleId="FootnoteReference">
    <w:name w:val="footnote reference"/>
    <w:basedOn w:val="DefaultParagraphFont"/>
    <w:uiPriority w:val="99"/>
    <w:semiHidden/>
    <w:unhideWhenUsed/>
    <w:rsid w:val="009864F4"/>
    <w:rPr>
      <w:vertAlign w:val="superscript"/>
    </w:rPr>
  </w:style>
  <w:style w:type="table" w:styleId="GridTable1Light">
    <w:name w:val="Grid Table 1 Light"/>
    <w:basedOn w:val="TableNormal"/>
    <w:uiPriority w:val="46"/>
    <w:rsid w:val="00A87D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xcontentpasted0">
    <w:name w:val="x_contentpasted0"/>
    <w:basedOn w:val="DefaultParagraphFont"/>
    <w:rsid w:val="00BE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554956">
      <w:bodyDiv w:val="1"/>
      <w:marLeft w:val="0"/>
      <w:marRight w:val="0"/>
      <w:marTop w:val="0"/>
      <w:marBottom w:val="0"/>
      <w:divBdr>
        <w:top w:val="none" w:sz="0" w:space="0" w:color="auto"/>
        <w:left w:val="none" w:sz="0" w:space="0" w:color="auto"/>
        <w:bottom w:val="none" w:sz="0" w:space="0" w:color="auto"/>
        <w:right w:val="none" w:sz="0" w:space="0" w:color="auto"/>
      </w:divBdr>
      <w:divsChild>
        <w:div w:id="828054307">
          <w:marLeft w:val="0"/>
          <w:marRight w:val="0"/>
          <w:marTop w:val="0"/>
          <w:marBottom w:val="0"/>
          <w:divBdr>
            <w:top w:val="none" w:sz="0" w:space="0" w:color="auto"/>
            <w:left w:val="none" w:sz="0" w:space="0" w:color="auto"/>
            <w:bottom w:val="none" w:sz="0" w:space="0" w:color="auto"/>
            <w:right w:val="none" w:sz="0" w:space="0" w:color="auto"/>
          </w:divBdr>
        </w:div>
      </w:divsChild>
    </w:div>
    <w:div w:id="14741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19990-0174-45c7-a7a3-4cf5bad3aafb" xsi:nil="true"/>
    <lcf76f155ced4ddcb4097134ff3c332f xmlns="841717f8-0321-4e2b-8d3a-d7e3aba618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B31A45A0504B4AA54B2F0A630AC2AC" ma:contentTypeVersion="14" ma:contentTypeDescription="Create a new document." ma:contentTypeScope="" ma:versionID="0dc74f28ebf395e7c47423050cf8ba53">
  <xsd:schema xmlns:xsd="http://www.w3.org/2001/XMLSchema" xmlns:xs="http://www.w3.org/2001/XMLSchema" xmlns:p="http://schemas.microsoft.com/office/2006/metadata/properties" xmlns:ns2="841717f8-0321-4e2b-8d3a-d7e3aba61816" xmlns:ns3="d8519990-0174-45c7-a7a3-4cf5bad3aafb" targetNamespace="http://schemas.microsoft.com/office/2006/metadata/properties" ma:root="true" ma:fieldsID="ef981c0071f8738d5774b43b045a4e54" ns2:_="" ns3:_="">
    <xsd:import namespace="841717f8-0321-4e2b-8d3a-d7e3aba61816"/>
    <xsd:import namespace="d8519990-0174-45c7-a7a3-4cf5bad3aaf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717f8-0321-4e2b-8d3a-d7e3aba61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519990-0174-45c7-a7a3-4cf5bad3aa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bf23c6-9b03-47ef-a3b3-da9ecd1c5cec}" ma:internalName="TaxCatchAll" ma:showField="CatchAllData" ma:web="d8519990-0174-45c7-a7a3-4cf5bad3aaf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8920A-1D4F-41D5-9D99-4E5F27B0D84D}">
  <ds:schemaRefs>
    <ds:schemaRef ds:uri="http://schemas.microsoft.com/office/2006/metadata/properties"/>
    <ds:schemaRef ds:uri="http://schemas.microsoft.com/office/infopath/2007/PartnerControls"/>
    <ds:schemaRef ds:uri="d8519990-0174-45c7-a7a3-4cf5bad3aafb"/>
    <ds:schemaRef ds:uri="841717f8-0321-4e2b-8d3a-d7e3aba61816"/>
  </ds:schemaRefs>
</ds:datastoreItem>
</file>

<file path=customXml/itemProps2.xml><?xml version="1.0" encoding="utf-8"?>
<ds:datastoreItem xmlns:ds="http://schemas.openxmlformats.org/officeDocument/2006/customXml" ds:itemID="{E0C7783C-0F8E-4D06-96B5-0AC89D28C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717f8-0321-4e2b-8d3a-d7e3aba61816"/>
    <ds:schemaRef ds:uri="d8519990-0174-45c7-a7a3-4cf5bad3a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70C8F-EDC0-4B97-84CC-21D0CF84CBFC}">
  <ds:schemaRefs>
    <ds:schemaRef ds:uri="http://schemas.openxmlformats.org/officeDocument/2006/bibliography"/>
  </ds:schemaRefs>
</ds:datastoreItem>
</file>

<file path=customXml/itemProps4.xml><?xml version="1.0" encoding="utf-8"?>
<ds:datastoreItem xmlns:ds="http://schemas.openxmlformats.org/officeDocument/2006/customXml" ds:itemID="{CA6F62C0-8919-463B-A203-A07D8325A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6521</Characters>
  <Application>Microsoft Office Word</Application>
  <DocSecurity>4</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Yermak, Kara</dc:creator>
  <cp:keywords/>
  <dc:description/>
  <cp:lastModifiedBy>Buchweitz, John</cp:lastModifiedBy>
  <cp:revision>12</cp:revision>
  <dcterms:created xsi:type="dcterms:W3CDTF">2024-09-24T19:26:00Z</dcterms:created>
  <dcterms:modified xsi:type="dcterms:W3CDTF">2024-09-24T18:11:00Z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0x010100E7B31A45A0504B4AA54B2F0A630AC2AC</vt:lpwstr>
  </property>
  <property fmtid="{D5CDD505-2E9C-101B-9397-08002B2CF9AE}" pid="3" name="MediaServiceImageTags">
    <vt:lpwstr/>
  </property>
</Properties>
</file>