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14C2" w14:textId="77777777" w:rsidR="00BD40AF" w:rsidRDefault="00BD40AF" w:rsidP="00BD40AF"/>
    <w:p w14:paraId="1F460DDB" w14:textId="77777777" w:rsidR="007E4F7F" w:rsidRPr="00252420" w:rsidRDefault="007E4F7F" w:rsidP="007E4F7F">
      <w:pPr>
        <w:pStyle w:val="Default"/>
        <w:tabs>
          <w:tab w:val="left" w:pos="1260"/>
        </w:tabs>
        <w:rPr>
          <w:rFonts w:asciiTheme="minorHAnsi" w:hAnsiTheme="minorHAnsi" w:cstheme="minorHAnsi"/>
          <w:b/>
          <w:bCs/>
          <w:color w:val="auto"/>
          <w:sz w:val="22"/>
          <w:szCs w:val="22"/>
        </w:rPr>
      </w:pPr>
      <w:r>
        <w:rPr>
          <w:rFonts w:asciiTheme="minorHAnsi" w:hAnsiTheme="minorHAnsi" w:cstheme="minorHAnsi"/>
          <w:b/>
          <w:bCs/>
          <w:color w:val="auto"/>
          <w:sz w:val="22"/>
          <w:szCs w:val="22"/>
        </w:rPr>
        <w:t>August 26</w:t>
      </w:r>
      <w:r w:rsidRPr="00252420">
        <w:rPr>
          <w:rFonts w:asciiTheme="minorHAnsi" w:hAnsiTheme="minorHAnsi" w:cstheme="minorHAnsi"/>
          <w:b/>
          <w:bCs/>
          <w:color w:val="auto"/>
          <w:sz w:val="22"/>
          <w:szCs w:val="22"/>
        </w:rPr>
        <w:t>, 2022</w:t>
      </w:r>
    </w:p>
    <w:p w14:paraId="5D8E5350" w14:textId="77777777" w:rsidR="007E4F7F" w:rsidRPr="00252420" w:rsidRDefault="007E4F7F" w:rsidP="007E4F7F">
      <w:pPr>
        <w:pStyle w:val="Default"/>
        <w:tabs>
          <w:tab w:val="left" w:pos="1260"/>
        </w:tabs>
        <w:rPr>
          <w:rFonts w:asciiTheme="minorHAnsi" w:hAnsiTheme="minorHAnsi" w:cstheme="minorHAnsi"/>
          <w:b/>
          <w:bCs/>
          <w:color w:val="auto"/>
          <w:sz w:val="22"/>
          <w:szCs w:val="22"/>
        </w:rPr>
      </w:pPr>
    </w:p>
    <w:p w14:paraId="381F0C37" w14:textId="77777777" w:rsidR="007E4F7F" w:rsidRPr="009A488E" w:rsidRDefault="007E4F7F" w:rsidP="007E4F7F">
      <w:pPr>
        <w:pStyle w:val="Default"/>
        <w:ind w:left="1080" w:hanging="1080"/>
        <w:rPr>
          <w:rFonts w:asciiTheme="minorHAnsi" w:hAnsiTheme="minorHAnsi" w:cstheme="minorHAnsi"/>
          <w:b/>
          <w:bCs/>
          <w:color w:val="auto"/>
          <w:sz w:val="20"/>
          <w:szCs w:val="20"/>
        </w:rPr>
      </w:pPr>
      <w:r w:rsidRPr="00252420">
        <w:rPr>
          <w:rFonts w:asciiTheme="minorHAnsi" w:hAnsiTheme="minorHAnsi" w:cstheme="minorHAnsi"/>
          <w:b/>
          <w:bCs/>
          <w:color w:val="auto"/>
          <w:sz w:val="22"/>
          <w:szCs w:val="22"/>
        </w:rPr>
        <w:t xml:space="preserve">To: </w:t>
      </w:r>
      <w:r w:rsidRPr="00252420">
        <w:rPr>
          <w:rFonts w:asciiTheme="minorHAnsi" w:hAnsiTheme="minorHAnsi" w:cstheme="minorHAnsi"/>
          <w:b/>
          <w:bCs/>
          <w:color w:val="auto"/>
          <w:sz w:val="22"/>
          <w:szCs w:val="22"/>
        </w:rPr>
        <w:tab/>
      </w:r>
      <w:r w:rsidRPr="009A488E">
        <w:rPr>
          <w:rFonts w:asciiTheme="minorHAnsi" w:hAnsiTheme="minorHAnsi" w:cstheme="minorHAnsi"/>
          <w:sz w:val="22"/>
          <w:szCs w:val="22"/>
        </w:rPr>
        <w:t>College of Social Science Committee on Curriculum and Academic Policy</w:t>
      </w:r>
    </w:p>
    <w:p w14:paraId="1A245FE4" w14:textId="77777777" w:rsidR="007E4F7F" w:rsidRPr="009A488E" w:rsidRDefault="007E4F7F" w:rsidP="007E4F7F">
      <w:pPr>
        <w:pStyle w:val="Default"/>
        <w:ind w:left="1080" w:hanging="1080"/>
        <w:rPr>
          <w:rFonts w:asciiTheme="minorHAnsi" w:hAnsiTheme="minorHAnsi" w:cstheme="minorHAnsi"/>
          <w:b/>
          <w:bCs/>
          <w:color w:val="auto"/>
          <w:sz w:val="20"/>
          <w:szCs w:val="20"/>
        </w:rPr>
      </w:pPr>
    </w:p>
    <w:p w14:paraId="007F735E" w14:textId="77777777" w:rsidR="007E4F7F" w:rsidRPr="00252420" w:rsidRDefault="007E4F7F" w:rsidP="007E4F7F">
      <w:pPr>
        <w:pStyle w:val="Default"/>
        <w:ind w:left="1080" w:hanging="1080"/>
        <w:rPr>
          <w:rFonts w:asciiTheme="minorHAnsi" w:hAnsiTheme="minorHAnsi" w:cstheme="minorHAnsi"/>
          <w:color w:val="auto"/>
          <w:sz w:val="22"/>
          <w:szCs w:val="22"/>
        </w:rPr>
      </w:pPr>
      <w:r w:rsidRPr="00252420">
        <w:rPr>
          <w:rFonts w:asciiTheme="minorHAnsi" w:hAnsiTheme="minorHAnsi" w:cstheme="minorHAnsi"/>
          <w:b/>
          <w:bCs/>
          <w:color w:val="auto"/>
          <w:sz w:val="22"/>
          <w:szCs w:val="22"/>
        </w:rPr>
        <w:t>From:</w:t>
      </w:r>
      <w:r w:rsidRPr="00252420">
        <w:rPr>
          <w:rFonts w:asciiTheme="minorHAnsi" w:hAnsiTheme="minorHAnsi" w:cstheme="minorHAnsi"/>
          <w:b/>
          <w:bCs/>
          <w:color w:val="auto"/>
          <w:sz w:val="22"/>
          <w:szCs w:val="22"/>
        </w:rPr>
        <w:tab/>
      </w:r>
      <w:r w:rsidRPr="00252420">
        <w:rPr>
          <w:rFonts w:asciiTheme="minorHAnsi" w:hAnsiTheme="minorHAnsi" w:cstheme="minorHAnsi"/>
          <w:color w:val="auto"/>
          <w:sz w:val="22"/>
          <w:szCs w:val="22"/>
        </w:rPr>
        <w:t>Urban and Regional Planning Program, School of Planning Design and Construction</w:t>
      </w:r>
    </w:p>
    <w:p w14:paraId="34797FD7" w14:textId="77777777" w:rsidR="007E4F7F" w:rsidRPr="00252420" w:rsidRDefault="007E4F7F" w:rsidP="007E4F7F">
      <w:pPr>
        <w:pStyle w:val="Default"/>
        <w:ind w:left="1080" w:hanging="1080"/>
        <w:rPr>
          <w:rFonts w:asciiTheme="minorHAnsi" w:hAnsiTheme="minorHAnsi" w:cstheme="minorHAnsi"/>
          <w:b/>
          <w:bCs/>
          <w:color w:val="auto"/>
          <w:sz w:val="22"/>
          <w:szCs w:val="22"/>
        </w:rPr>
      </w:pPr>
    </w:p>
    <w:p w14:paraId="342A38C5" w14:textId="77777777" w:rsidR="007E4F7F" w:rsidRPr="00252420" w:rsidRDefault="007E4F7F" w:rsidP="007E4F7F">
      <w:pPr>
        <w:pStyle w:val="Default"/>
        <w:ind w:left="1080" w:hanging="1080"/>
        <w:rPr>
          <w:rFonts w:asciiTheme="minorHAnsi" w:hAnsiTheme="minorHAnsi" w:cstheme="minorHAnsi"/>
          <w:b/>
          <w:bCs/>
          <w:color w:val="auto"/>
          <w:sz w:val="22"/>
          <w:szCs w:val="22"/>
        </w:rPr>
      </w:pPr>
      <w:r w:rsidRPr="00252420">
        <w:rPr>
          <w:rFonts w:asciiTheme="minorHAnsi" w:hAnsiTheme="minorHAnsi" w:cstheme="minorHAnsi"/>
          <w:b/>
          <w:bCs/>
          <w:color w:val="auto"/>
          <w:sz w:val="22"/>
          <w:szCs w:val="22"/>
        </w:rPr>
        <w:t>Subject:</w:t>
      </w:r>
      <w:r w:rsidRPr="00252420">
        <w:rPr>
          <w:rFonts w:asciiTheme="minorHAnsi" w:hAnsiTheme="minorHAnsi" w:cstheme="minorHAnsi"/>
          <w:b/>
          <w:bCs/>
          <w:color w:val="auto"/>
          <w:sz w:val="22"/>
          <w:szCs w:val="22"/>
        </w:rPr>
        <w:tab/>
      </w:r>
      <w:r w:rsidRPr="00252420">
        <w:rPr>
          <w:rFonts w:asciiTheme="minorHAnsi" w:hAnsiTheme="minorHAnsi" w:cstheme="minorHAnsi"/>
          <w:color w:val="auto"/>
          <w:sz w:val="22"/>
          <w:szCs w:val="22"/>
        </w:rPr>
        <w:t>Reinstatement of secondary admissions policy for the BSURP Program</w:t>
      </w:r>
    </w:p>
    <w:p w14:paraId="52D09E7E" w14:textId="77777777" w:rsidR="007E4F7F" w:rsidRPr="001F4E22" w:rsidRDefault="007E4F7F" w:rsidP="007E4F7F">
      <w:pPr>
        <w:pStyle w:val="Default"/>
        <w:tabs>
          <w:tab w:val="left" w:pos="1260"/>
        </w:tabs>
        <w:rPr>
          <w:rFonts w:asciiTheme="minorHAnsi" w:hAnsiTheme="minorHAnsi" w:cstheme="minorHAnsi"/>
          <w:b/>
          <w:bCs/>
          <w:color w:val="auto"/>
          <w:sz w:val="20"/>
          <w:szCs w:val="20"/>
        </w:rPr>
      </w:pPr>
      <w:r>
        <w:rPr>
          <w:rFonts w:asciiTheme="minorHAnsi" w:hAnsiTheme="minorHAnsi" w:cstheme="minorHAnsi"/>
          <w:b/>
          <w:bCs/>
          <w:color w:val="auto"/>
          <w:sz w:val="20"/>
          <w:szCs w:val="20"/>
        </w:rPr>
        <w:t>---------------------------------------------</w:t>
      </w:r>
    </w:p>
    <w:p w14:paraId="285D1D75" w14:textId="77777777" w:rsidR="007E4F7F" w:rsidRPr="001F4E22" w:rsidRDefault="007E4F7F" w:rsidP="007E4F7F">
      <w:pPr>
        <w:pStyle w:val="Default"/>
        <w:rPr>
          <w:rFonts w:asciiTheme="minorHAnsi" w:hAnsiTheme="minorHAnsi" w:cstheme="minorHAnsi"/>
          <w:b/>
          <w:bCs/>
          <w:color w:val="auto"/>
          <w:sz w:val="20"/>
          <w:szCs w:val="20"/>
        </w:rPr>
      </w:pPr>
    </w:p>
    <w:p w14:paraId="173FCCDA" w14:textId="77777777" w:rsidR="007E4F7F" w:rsidRPr="00252420" w:rsidRDefault="007E4F7F" w:rsidP="007E4F7F">
      <w:pPr>
        <w:pStyle w:val="Default"/>
        <w:rPr>
          <w:rFonts w:asciiTheme="minorHAnsi" w:hAnsiTheme="minorHAnsi" w:cstheme="minorHAnsi"/>
          <w:b/>
          <w:bCs/>
          <w:color w:val="auto"/>
          <w:sz w:val="22"/>
          <w:szCs w:val="22"/>
          <w:u w:val="single"/>
        </w:rPr>
      </w:pPr>
      <w:r w:rsidRPr="00252420">
        <w:rPr>
          <w:rFonts w:asciiTheme="minorHAnsi" w:hAnsiTheme="minorHAnsi" w:cstheme="minorHAnsi"/>
          <w:b/>
          <w:bCs/>
          <w:color w:val="auto"/>
          <w:sz w:val="22"/>
          <w:szCs w:val="22"/>
          <w:u w:val="single"/>
        </w:rPr>
        <w:t>Request</w:t>
      </w:r>
    </w:p>
    <w:p w14:paraId="05A27548" w14:textId="77777777" w:rsidR="007E4F7F" w:rsidRPr="00252420" w:rsidRDefault="007E4F7F" w:rsidP="007E4F7F">
      <w:pPr>
        <w:pStyle w:val="Default"/>
        <w:rPr>
          <w:rFonts w:asciiTheme="minorHAnsi" w:hAnsiTheme="minorHAnsi" w:cstheme="minorHAnsi"/>
          <w:color w:val="auto"/>
          <w:sz w:val="22"/>
          <w:szCs w:val="22"/>
        </w:rPr>
      </w:pPr>
      <w:r w:rsidRPr="00252420">
        <w:rPr>
          <w:rFonts w:asciiTheme="minorHAnsi" w:hAnsiTheme="minorHAnsi" w:cstheme="minorHAnsi"/>
          <w:color w:val="auto"/>
          <w:sz w:val="22"/>
          <w:szCs w:val="22"/>
        </w:rPr>
        <w:t xml:space="preserve">Reinstate the </w:t>
      </w:r>
      <w:r>
        <w:rPr>
          <w:rFonts w:asciiTheme="minorHAnsi" w:hAnsiTheme="minorHAnsi" w:cstheme="minorHAnsi"/>
          <w:color w:val="auto"/>
          <w:sz w:val="22"/>
          <w:szCs w:val="22"/>
        </w:rPr>
        <w:t>secondary-admission</w:t>
      </w:r>
      <w:r w:rsidRPr="00252420">
        <w:rPr>
          <w:rFonts w:asciiTheme="minorHAnsi" w:hAnsiTheme="minorHAnsi" w:cstheme="minorHAnsi"/>
          <w:color w:val="auto"/>
          <w:sz w:val="22"/>
          <w:szCs w:val="22"/>
        </w:rPr>
        <w:t xml:space="preserve"> requirement for the Bachelor of Science in Urban and </w:t>
      </w:r>
      <w:r>
        <w:rPr>
          <w:rFonts w:asciiTheme="minorHAnsi" w:hAnsiTheme="minorHAnsi" w:cstheme="minorHAnsi"/>
          <w:color w:val="auto"/>
          <w:sz w:val="22"/>
          <w:szCs w:val="22"/>
        </w:rPr>
        <w:t>R</w:t>
      </w:r>
      <w:r w:rsidRPr="00252420">
        <w:rPr>
          <w:rFonts w:asciiTheme="minorHAnsi" w:hAnsiTheme="minorHAnsi" w:cstheme="minorHAnsi"/>
          <w:color w:val="auto"/>
          <w:sz w:val="22"/>
          <w:szCs w:val="22"/>
        </w:rPr>
        <w:t>egional Planning major</w:t>
      </w:r>
      <w:r>
        <w:rPr>
          <w:rFonts w:asciiTheme="minorHAnsi" w:hAnsiTheme="minorHAnsi" w:cstheme="minorHAnsi"/>
          <w:color w:val="auto"/>
          <w:sz w:val="22"/>
          <w:szCs w:val="22"/>
        </w:rPr>
        <w:t xml:space="preserve"> </w:t>
      </w:r>
      <w:r w:rsidRPr="00252420">
        <w:rPr>
          <w:rFonts w:asciiTheme="minorHAnsi" w:hAnsiTheme="minorHAnsi" w:cstheme="minorHAnsi"/>
          <w:color w:val="auto"/>
          <w:sz w:val="22"/>
          <w:szCs w:val="22"/>
        </w:rPr>
        <w:t>to comply with national accreditation standards.</w:t>
      </w:r>
    </w:p>
    <w:p w14:paraId="4479F378" w14:textId="77777777" w:rsidR="007E4F7F" w:rsidRPr="00252420" w:rsidRDefault="007E4F7F" w:rsidP="007E4F7F">
      <w:pPr>
        <w:pStyle w:val="Default"/>
        <w:rPr>
          <w:rFonts w:asciiTheme="minorHAnsi" w:hAnsiTheme="minorHAnsi" w:cstheme="minorHAnsi"/>
          <w:color w:val="auto"/>
          <w:sz w:val="22"/>
          <w:szCs w:val="22"/>
        </w:rPr>
      </w:pPr>
    </w:p>
    <w:p w14:paraId="157E11CC" w14:textId="77777777" w:rsidR="007E4F7F" w:rsidRPr="00252420" w:rsidRDefault="007E4F7F" w:rsidP="007E4F7F">
      <w:pPr>
        <w:pStyle w:val="Default"/>
        <w:rPr>
          <w:rFonts w:asciiTheme="minorHAnsi" w:hAnsiTheme="minorHAnsi" w:cstheme="minorHAnsi"/>
          <w:b/>
          <w:bCs/>
          <w:color w:val="auto"/>
          <w:sz w:val="22"/>
          <w:szCs w:val="22"/>
          <w:u w:val="single"/>
        </w:rPr>
      </w:pPr>
      <w:r w:rsidRPr="00252420">
        <w:rPr>
          <w:rFonts w:asciiTheme="minorHAnsi" w:hAnsiTheme="minorHAnsi" w:cstheme="minorHAnsi"/>
          <w:b/>
          <w:bCs/>
          <w:color w:val="auto"/>
          <w:sz w:val="22"/>
          <w:szCs w:val="22"/>
          <w:u w:val="single"/>
        </w:rPr>
        <w:t>Background</w:t>
      </w:r>
    </w:p>
    <w:p w14:paraId="207D725D" w14:textId="77777777" w:rsidR="007E4F7F" w:rsidRPr="00002B22" w:rsidRDefault="007E4F7F" w:rsidP="007E4F7F">
      <w:pPr>
        <w:pStyle w:val="Default"/>
        <w:rPr>
          <w:rFonts w:asciiTheme="minorHAnsi" w:hAnsiTheme="minorHAnsi" w:cstheme="minorHAnsi"/>
          <w:color w:val="auto"/>
          <w:sz w:val="22"/>
          <w:szCs w:val="22"/>
        </w:rPr>
      </w:pPr>
      <w:r w:rsidRPr="00252420">
        <w:rPr>
          <w:rFonts w:asciiTheme="minorHAnsi" w:hAnsiTheme="minorHAnsi" w:cstheme="minorHAnsi"/>
          <w:color w:val="auto"/>
          <w:sz w:val="22"/>
          <w:szCs w:val="22"/>
        </w:rPr>
        <w:t>Urban and Regional Planning (URP) Program has two professional, accredited degrees</w:t>
      </w:r>
      <w:r>
        <w:rPr>
          <w:rFonts w:asciiTheme="minorHAnsi" w:hAnsiTheme="minorHAnsi" w:cstheme="minorHAnsi"/>
          <w:color w:val="auto"/>
          <w:sz w:val="22"/>
          <w:szCs w:val="22"/>
        </w:rPr>
        <w:t xml:space="preserve">. </w:t>
      </w:r>
      <w:r w:rsidRPr="00002B22">
        <w:rPr>
          <w:rFonts w:asciiTheme="minorHAnsi" w:hAnsiTheme="minorHAnsi" w:cstheme="minorHAnsi"/>
          <w:color w:val="auto"/>
          <w:sz w:val="22"/>
          <w:szCs w:val="22"/>
        </w:rPr>
        <w:t>The Master’s in Urban and Regional Planning (MURP) and the Bachelor of Science in Urban and Regional Planning (BSURP)</w:t>
      </w:r>
      <w:r>
        <w:rPr>
          <w:rFonts w:asciiTheme="minorHAnsi" w:hAnsiTheme="minorHAnsi" w:cstheme="minorHAnsi"/>
          <w:color w:val="auto"/>
          <w:sz w:val="22"/>
          <w:szCs w:val="22"/>
        </w:rPr>
        <w:t xml:space="preserve">. </w:t>
      </w:r>
      <w:r w:rsidRPr="00002B22">
        <w:rPr>
          <w:rFonts w:asciiTheme="minorHAnsi" w:hAnsiTheme="minorHAnsi" w:cstheme="minorHAnsi"/>
          <w:color w:val="auto"/>
          <w:sz w:val="22"/>
          <w:szCs w:val="22"/>
        </w:rPr>
        <w:t>Both degree programs are accredited by the Planning Accreditation Board (PAB)</w:t>
      </w:r>
      <w:r>
        <w:rPr>
          <w:rFonts w:asciiTheme="minorHAnsi" w:hAnsiTheme="minorHAnsi" w:cstheme="minorHAnsi"/>
          <w:color w:val="auto"/>
          <w:sz w:val="22"/>
          <w:szCs w:val="22"/>
        </w:rPr>
        <w:t xml:space="preserve">. </w:t>
      </w:r>
      <w:r w:rsidRPr="00252420">
        <w:rPr>
          <w:rFonts w:asciiTheme="minorHAnsi" w:hAnsiTheme="minorHAnsi" w:cstheme="minorHAnsi"/>
          <w:color w:val="auto"/>
          <w:sz w:val="22"/>
          <w:szCs w:val="22"/>
        </w:rPr>
        <w:t>Our last accreditation visit was in 2020, and we received the maximum possible term of seven years</w:t>
      </w:r>
      <w:r>
        <w:rPr>
          <w:rFonts w:asciiTheme="minorHAnsi" w:hAnsiTheme="minorHAnsi" w:cstheme="minorHAnsi"/>
          <w:color w:val="auto"/>
          <w:sz w:val="22"/>
          <w:szCs w:val="22"/>
        </w:rPr>
        <w:t xml:space="preserve">. </w:t>
      </w:r>
      <w:r w:rsidRPr="00002B22">
        <w:rPr>
          <w:rFonts w:asciiTheme="minorHAnsi" w:hAnsiTheme="minorHAnsi" w:cstheme="minorHAnsi"/>
          <w:color w:val="auto"/>
          <w:sz w:val="22"/>
          <w:szCs w:val="22"/>
        </w:rPr>
        <w:t>Our next self-study report is due in 2025 for a 2026 accreditation visit</w:t>
      </w:r>
      <w:r>
        <w:rPr>
          <w:rFonts w:asciiTheme="minorHAnsi" w:hAnsiTheme="minorHAnsi" w:cstheme="minorHAnsi"/>
          <w:color w:val="auto"/>
          <w:sz w:val="22"/>
          <w:szCs w:val="22"/>
        </w:rPr>
        <w:t xml:space="preserve">. </w:t>
      </w:r>
    </w:p>
    <w:p w14:paraId="0799168E" w14:textId="77777777" w:rsidR="007E4F7F" w:rsidRPr="00002B22" w:rsidRDefault="007E4F7F" w:rsidP="007E4F7F">
      <w:pPr>
        <w:pStyle w:val="Default"/>
        <w:rPr>
          <w:rFonts w:asciiTheme="minorHAnsi" w:hAnsiTheme="minorHAnsi" w:cstheme="minorHAnsi"/>
          <w:color w:val="auto"/>
          <w:sz w:val="22"/>
          <w:szCs w:val="22"/>
        </w:rPr>
      </w:pPr>
    </w:p>
    <w:p w14:paraId="170304FA" w14:textId="77777777" w:rsidR="007E4F7F" w:rsidRPr="00252420" w:rsidRDefault="007E4F7F" w:rsidP="007E4F7F">
      <w:pPr>
        <w:pStyle w:val="Default"/>
        <w:rPr>
          <w:rFonts w:asciiTheme="minorHAnsi" w:hAnsiTheme="minorHAnsi" w:cstheme="minorHAnsi"/>
          <w:color w:val="auto"/>
          <w:sz w:val="22"/>
          <w:szCs w:val="22"/>
        </w:rPr>
      </w:pPr>
      <w:r w:rsidRPr="00002B22">
        <w:rPr>
          <w:rFonts w:asciiTheme="minorHAnsi" w:hAnsiTheme="minorHAnsi" w:cstheme="minorHAnsi"/>
          <w:color w:val="auto"/>
          <w:sz w:val="22"/>
          <w:szCs w:val="22"/>
        </w:rPr>
        <w:t xml:space="preserve">One of the PAB requirements for accreditation is the Faculty Teaching Equivalency (FTE) to Student Ratio </w:t>
      </w:r>
      <w:r>
        <w:rPr>
          <w:rFonts w:asciiTheme="minorHAnsi" w:hAnsiTheme="minorHAnsi" w:cstheme="minorHAnsi"/>
          <w:color w:val="auto"/>
          <w:sz w:val="22"/>
          <w:szCs w:val="22"/>
        </w:rPr>
        <w:t xml:space="preserve">in the program </w:t>
      </w:r>
      <w:r w:rsidRPr="00002B22">
        <w:rPr>
          <w:rFonts w:asciiTheme="minorHAnsi" w:hAnsiTheme="minorHAnsi" w:cstheme="minorHAnsi"/>
          <w:color w:val="auto"/>
          <w:sz w:val="22"/>
          <w:szCs w:val="22"/>
        </w:rPr>
        <w:t>(</w:t>
      </w:r>
      <w:hyperlink r:id="rId7" w:history="1">
        <w:r w:rsidRPr="00252420">
          <w:rPr>
            <w:rStyle w:val="Hyperlink"/>
            <w:rFonts w:asciiTheme="minorHAnsi" w:hAnsiTheme="minorHAnsi" w:cstheme="minorHAnsi"/>
            <w:sz w:val="22"/>
            <w:szCs w:val="22"/>
          </w:rPr>
          <w:t>https://www.planningaccreditationboard.org/accreditation-standards-2022/</w:t>
        </w:r>
      </w:hyperlink>
      <w:r w:rsidRPr="008B57B4">
        <w:rPr>
          <w:rStyle w:val="Hyperlink"/>
          <w:rFonts w:asciiTheme="minorHAnsi" w:hAnsiTheme="minorHAnsi" w:cstheme="minorHAnsi"/>
          <w:color w:val="000000" w:themeColor="text1"/>
          <w:sz w:val="22"/>
          <w:szCs w:val="22"/>
        </w:rPr>
        <w:t>)</w:t>
      </w:r>
      <w:r w:rsidRPr="008B57B4">
        <w:rPr>
          <w:rFonts w:asciiTheme="minorHAnsi" w:hAnsiTheme="minorHAnsi" w:cstheme="minorHAnsi"/>
          <w:color w:val="000000" w:themeColor="text1"/>
          <w:sz w:val="22"/>
          <w:szCs w:val="22"/>
        </w:rPr>
        <w:t xml:space="preserve">. </w:t>
      </w:r>
      <w:r w:rsidRPr="00252420">
        <w:rPr>
          <w:rFonts w:asciiTheme="minorHAnsi" w:hAnsiTheme="minorHAnsi" w:cstheme="minorHAnsi"/>
          <w:color w:val="auto"/>
          <w:sz w:val="22"/>
          <w:szCs w:val="22"/>
        </w:rPr>
        <w:t>Standard 3.C: Faculty Size states:</w:t>
      </w:r>
    </w:p>
    <w:p w14:paraId="69E2B7EB" w14:textId="77777777" w:rsidR="007E4F7F" w:rsidRPr="00252420" w:rsidRDefault="007E4F7F" w:rsidP="007E4F7F">
      <w:pPr>
        <w:pStyle w:val="Default"/>
        <w:rPr>
          <w:rFonts w:asciiTheme="minorHAnsi" w:hAnsiTheme="minorHAnsi" w:cstheme="minorHAnsi"/>
          <w:color w:val="auto"/>
          <w:sz w:val="22"/>
          <w:szCs w:val="22"/>
        </w:rPr>
      </w:pPr>
    </w:p>
    <w:p w14:paraId="39B6AF0D" w14:textId="77777777" w:rsidR="007E4F7F" w:rsidRPr="00252420" w:rsidRDefault="007E4F7F" w:rsidP="007E4F7F">
      <w:pPr>
        <w:spacing w:after="0"/>
        <w:ind w:left="720" w:right="-25"/>
        <w:rPr>
          <w:rFonts w:asciiTheme="minorHAnsi" w:eastAsia="Times New Roman" w:hAnsiTheme="minorHAnsi" w:cstheme="minorHAnsi"/>
          <w:i/>
          <w:iCs/>
          <w:color w:val="000000" w:themeColor="text1"/>
        </w:rPr>
      </w:pPr>
      <w:r w:rsidRPr="00252420">
        <w:rPr>
          <w:rFonts w:asciiTheme="minorHAnsi" w:eastAsia="Times New Roman" w:hAnsiTheme="minorHAnsi" w:cstheme="minorHAnsi"/>
          <w:i/>
          <w:iCs/>
          <w:color w:val="000000" w:themeColor="text1"/>
        </w:rPr>
        <w:t>The faculty shall be of a sufficient size to accomplish the Program’s mission and goals, administer the Program, and teach the curriculum. The Program shall have no greater than a 15/1 ratio of undergraduate student FTE to instructional faculty FTE.</w:t>
      </w:r>
    </w:p>
    <w:p w14:paraId="30666927" w14:textId="77777777" w:rsidR="007E4F7F" w:rsidRPr="00252420" w:rsidRDefault="007E4F7F" w:rsidP="007E4F7F">
      <w:pPr>
        <w:pStyle w:val="Default"/>
        <w:rPr>
          <w:rFonts w:asciiTheme="minorHAnsi" w:hAnsiTheme="minorHAnsi" w:cstheme="minorHAnsi"/>
          <w:color w:val="auto"/>
          <w:sz w:val="22"/>
          <w:szCs w:val="22"/>
        </w:rPr>
      </w:pPr>
    </w:p>
    <w:p w14:paraId="63DCD86E" w14:textId="77777777" w:rsidR="007E4F7F" w:rsidRDefault="007E4F7F" w:rsidP="007E4F7F">
      <w:pPr>
        <w:pStyle w:val="Default"/>
        <w:rPr>
          <w:rFonts w:asciiTheme="minorHAnsi" w:hAnsiTheme="minorHAnsi" w:cstheme="minorHAnsi"/>
          <w:color w:val="auto"/>
          <w:sz w:val="22"/>
          <w:szCs w:val="22"/>
        </w:rPr>
      </w:pPr>
      <w:r>
        <w:rPr>
          <w:rFonts w:asciiTheme="minorHAnsi" w:hAnsiTheme="minorHAnsi" w:cstheme="minorHAnsi"/>
          <w:color w:val="auto"/>
          <w:sz w:val="22"/>
          <w:szCs w:val="22"/>
        </w:rPr>
        <w:t>PAB requires programs to define the instructional faculty FTE.  One faculty member cannot exceed one FTE regardless of the teaching load.  The unit defines a</w:t>
      </w:r>
      <w:r w:rsidRPr="00252420">
        <w:rPr>
          <w:rFonts w:asciiTheme="minorHAnsi" w:hAnsiTheme="minorHAnsi" w:cstheme="minorHAnsi"/>
          <w:color w:val="auto"/>
          <w:sz w:val="22"/>
          <w:szCs w:val="22"/>
        </w:rPr>
        <w:t xml:space="preserve"> faculty member teaching </w:t>
      </w:r>
      <w:r>
        <w:rPr>
          <w:rFonts w:asciiTheme="minorHAnsi" w:hAnsiTheme="minorHAnsi" w:cstheme="minorHAnsi"/>
          <w:color w:val="auto"/>
          <w:sz w:val="22"/>
          <w:szCs w:val="22"/>
        </w:rPr>
        <w:t>three</w:t>
      </w:r>
      <w:r w:rsidRPr="0025242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or more </w:t>
      </w:r>
      <w:r w:rsidRPr="00252420">
        <w:rPr>
          <w:rFonts w:asciiTheme="minorHAnsi" w:hAnsiTheme="minorHAnsi" w:cstheme="minorHAnsi"/>
          <w:color w:val="auto"/>
          <w:sz w:val="22"/>
          <w:szCs w:val="22"/>
        </w:rPr>
        <w:t>courses in the program</w:t>
      </w:r>
      <w:r>
        <w:rPr>
          <w:rFonts w:asciiTheme="minorHAnsi" w:hAnsiTheme="minorHAnsi" w:cstheme="minorHAnsi"/>
          <w:color w:val="auto"/>
          <w:sz w:val="22"/>
          <w:szCs w:val="22"/>
        </w:rPr>
        <w:t xml:space="preserve"> (customary 45% teaching assignment for TS faculty) as</w:t>
      </w:r>
      <w:r w:rsidRPr="00252420">
        <w:rPr>
          <w:rFonts w:asciiTheme="minorHAnsi" w:hAnsiTheme="minorHAnsi" w:cstheme="minorHAnsi"/>
          <w:color w:val="auto"/>
          <w:sz w:val="22"/>
          <w:szCs w:val="22"/>
        </w:rPr>
        <w:t xml:space="preserve"> </w:t>
      </w:r>
      <w:r>
        <w:rPr>
          <w:rFonts w:asciiTheme="minorHAnsi" w:hAnsiTheme="minorHAnsi" w:cstheme="minorHAnsi"/>
          <w:color w:val="auto"/>
          <w:sz w:val="22"/>
          <w:szCs w:val="22"/>
        </w:rPr>
        <w:t>one</w:t>
      </w:r>
      <w:r w:rsidRPr="00252420">
        <w:rPr>
          <w:rFonts w:asciiTheme="minorHAnsi" w:hAnsiTheme="minorHAnsi" w:cstheme="minorHAnsi"/>
          <w:color w:val="auto"/>
          <w:sz w:val="22"/>
          <w:szCs w:val="22"/>
        </w:rPr>
        <w:t xml:space="preserve"> </w:t>
      </w:r>
      <w:r w:rsidRPr="00AF687F">
        <w:rPr>
          <w:rFonts w:asciiTheme="minorHAnsi" w:eastAsia="Times New Roman" w:hAnsiTheme="minorHAnsi" w:cstheme="minorHAnsi"/>
          <w:color w:val="000000" w:themeColor="text1"/>
        </w:rPr>
        <w:t>instructional faculty</w:t>
      </w:r>
      <w:r w:rsidRPr="00252420">
        <w:rPr>
          <w:rFonts w:asciiTheme="minorHAnsi" w:eastAsia="Times New Roman" w:hAnsiTheme="minorHAnsi" w:cstheme="minorHAnsi"/>
          <w:i/>
          <w:iCs/>
          <w:color w:val="000000" w:themeColor="text1"/>
        </w:rPr>
        <w:t xml:space="preserve"> </w:t>
      </w:r>
      <w:r w:rsidRPr="00252420">
        <w:rPr>
          <w:rFonts w:asciiTheme="minorHAnsi" w:hAnsiTheme="minorHAnsi" w:cstheme="minorHAnsi"/>
          <w:color w:val="auto"/>
          <w:sz w:val="22"/>
          <w:szCs w:val="22"/>
        </w:rPr>
        <w:t>FTE</w:t>
      </w:r>
      <w:r>
        <w:rPr>
          <w:rFonts w:asciiTheme="minorHAnsi" w:hAnsiTheme="minorHAnsi" w:cstheme="minorHAnsi"/>
          <w:color w:val="auto"/>
          <w:sz w:val="22"/>
          <w:szCs w:val="22"/>
        </w:rPr>
        <w:t xml:space="preserve">. </w:t>
      </w:r>
      <w:r w:rsidRPr="00252420">
        <w:rPr>
          <w:rFonts w:asciiTheme="minorHAnsi" w:hAnsiTheme="minorHAnsi" w:cstheme="minorHAnsi"/>
          <w:color w:val="auto"/>
          <w:sz w:val="22"/>
          <w:szCs w:val="22"/>
        </w:rPr>
        <w:t>Our BSURP program has exceeded th</w:t>
      </w:r>
      <w:r>
        <w:rPr>
          <w:rFonts w:asciiTheme="minorHAnsi" w:hAnsiTheme="minorHAnsi" w:cstheme="minorHAnsi"/>
          <w:color w:val="auto"/>
          <w:sz w:val="22"/>
          <w:szCs w:val="22"/>
        </w:rPr>
        <w:t>e</w:t>
      </w:r>
      <w:r w:rsidRPr="0025242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program FTE </w:t>
      </w:r>
      <w:r w:rsidRPr="00252420">
        <w:rPr>
          <w:rFonts w:asciiTheme="minorHAnsi" w:hAnsiTheme="minorHAnsi" w:cstheme="minorHAnsi"/>
          <w:color w:val="auto"/>
          <w:sz w:val="22"/>
          <w:szCs w:val="22"/>
        </w:rPr>
        <w:t>ratio for the past two years and is expected to exceed this threshold again this year</w:t>
      </w:r>
      <w:r>
        <w:rPr>
          <w:rFonts w:asciiTheme="minorHAnsi" w:hAnsiTheme="minorHAnsi" w:cstheme="minorHAnsi"/>
          <w:color w:val="auto"/>
          <w:sz w:val="22"/>
          <w:szCs w:val="22"/>
        </w:rPr>
        <w:t xml:space="preserve">. </w:t>
      </w:r>
      <w:r w:rsidRPr="00252420">
        <w:rPr>
          <w:rFonts w:asciiTheme="minorHAnsi" w:hAnsiTheme="minorHAnsi" w:cstheme="minorHAnsi"/>
          <w:color w:val="auto"/>
          <w:sz w:val="22"/>
          <w:szCs w:val="22"/>
        </w:rPr>
        <w:t xml:space="preserve">We currently have an FTE ratio </w:t>
      </w:r>
      <w:r>
        <w:rPr>
          <w:rFonts w:asciiTheme="minorHAnsi" w:hAnsiTheme="minorHAnsi" w:cstheme="minorHAnsi"/>
          <w:color w:val="auto"/>
          <w:sz w:val="22"/>
          <w:szCs w:val="22"/>
        </w:rPr>
        <w:t>of</w:t>
      </w:r>
      <w:r w:rsidRPr="0025242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17.3/1. </w:t>
      </w:r>
    </w:p>
    <w:p w14:paraId="2A67D6F1" w14:textId="77777777" w:rsidR="007E4F7F" w:rsidRDefault="007E4F7F" w:rsidP="007E4F7F">
      <w:pPr>
        <w:pStyle w:val="Default"/>
        <w:rPr>
          <w:rFonts w:asciiTheme="minorHAnsi" w:hAnsiTheme="minorHAnsi" w:cstheme="minorHAnsi"/>
          <w:color w:val="auto"/>
          <w:sz w:val="22"/>
          <w:szCs w:val="22"/>
        </w:rPr>
      </w:pPr>
    </w:p>
    <w:p w14:paraId="6CADB35D" w14:textId="77777777" w:rsidR="007E4F7F" w:rsidRDefault="007E4F7F" w:rsidP="007E4F7F">
      <w:pPr>
        <w:pStyle w:val="Default"/>
        <w:rPr>
          <w:rFonts w:asciiTheme="minorHAnsi" w:hAnsiTheme="minorHAnsi" w:cstheme="minorHAnsi"/>
          <w:color w:val="auto"/>
          <w:sz w:val="22"/>
          <w:szCs w:val="22"/>
        </w:rPr>
      </w:pPr>
      <w:r w:rsidRPr="00252420">
        <w:rPr>
          <w:rFonts w:asciiTheme="minorHAnsi" w:hAnsiTheme="minorHAnsi" w:cstheme="minorHAnsi"/>
          <w:color w:val="auto"/>
          <w:sz w:val="22"/>
          <w:szCs w:val="22"/>
        </w:rPr>
        <w:t xml:space="preserve">The program faced a similar issue in </w:t>
      </w:r>
      <w:r>
        <w:rPr>
          <w:rFonts w:asciiTheme="minorHAnsi" w:hAnsiTheme="minorHAnsi" w:cstheme="minorHAnsi"/>
          <w:color w:val="auto"/>
          <w:sz w:val="22"/>
          <w:szCs w:val="22"/>
        </w:rPr>
        <w:t>2010-2012</w:t>
      </w:r>
      <w:r w:rsidRPr="00252420">
        <w:rPr>
          <w:rFonts w:asciiTheme="minorHAnsi" w:hAnsiTheme="minorHAnsi" w:cstheme="minorHAnsi"/>
          <w:color w:val="auto"/>
          <w:sz w:val="22"/>
          <w:szCs w:val="22"/>
        </w:rPr>
        <w:t xml:space="preserve"> and instated a secondary</w:t>
      </w:r>
      <w:r>
        <w:rPr>
          <w:rFonts w:asciiTheme="minorHAnsi" w:hAnsiTheme="minorHAnsi" w:cstheme="minorHAnsi"/>
          <w:color w:val="auto"/>
          <w:sz w:val="22"/>
          <w:szCs w:val="22"/>
        </w:rPr>
        <w:t>-</w:t>
      </w:r>
      <w:r w:rsidRPr="00252420">
        <w:rPr>
          <w:rFonts w:asciiTheme="minorHAnsi" w:hAnsiTheme="minorHAnsi" w:cstheme="minorHAnsi"/>
          <w:color w:val="auto"/>
          <w:sz w:val="22"/>
          <w:szCs w:val="22"/>
        </w:rPr>
        <w:t>admission requirement in 2013</w:t>
      </w:r>
      <w:r>
        <w:rPr>
          <w:rFonts w:asciiTheme="minorHAnsi" w:hAnsiTheme="minorHAnsi" w:cstheme="minorHAnsi"/>
          <w:color w:val="auto"/>
          <w:sz w:val="22"/>
          <w:szCs w:val="22"/>
        </w:rPr>
        <w:t xml:space="preserve">. </w:t>
      </w:r>
      <w:r w:rsidRPr="00252420">
        <w:rPr>
          <w:rFonts w:asciiTheme="minorHAnsi" w:hAnsiTheme="minorHAnsi" w:cstheme="minorHAnsi"/>
          <w:color w:val="auto"/>
          <w:sz w:val="22"/>
          <w:szCs w:val="22"/>
        </w:rPr>
        <w:t xml:space="preserve">In subsequent years, following a national trend of dropping enrollments, we </w:t>
      </w:r>
      <w:r>
        <w:rPr>
          <w:rFonts w:asciiTheme="minorHAnsi" w:hAnsiTheme="minorHAnsi" w:cstheme="minorHAnsi"/>
          <w:color w:val="auto"/>
          <w:sz w:val="22"/>
          <w:szCs w:val="22"/>
        </w:rPr>
        <w:t>discontinued</w:t>
      </w:r>
      <w:r w:rsidRPr="00252420">
        <w:rPr>
          <w:rFonts w:asciiTheme="minorHAnsi" w:hAnsiTheme="minorHAnsi" w:cstheme="minorHAnsi"/>
          <w:color w:val="auto"/>
          <w:sz w:val="22"/>
          <w:szCs w:val="22"/>
        </w:rPr>
        <w:t xml:space="preserve"> the secondary admissions process in 2018</w:t>
      </w:r>
      <w:r>
        <w:rPr>
          <w:rFonts w:asciiTheme="minorHAnsi" w:hAnsiTheme="minorHAnsi" w:cstheme="minorHAnsi"/>
          <w:color w:val="auto"/>
          <w:sz w:val="22"/>
          <w:szCs w:val="22"/>
        </w:rPr>
        <w:t xml:space="preserve">. However, our program has experienced a trend over the last several years of surprising increases in enrollment. </w:t>
      </w:r>
      <w:r w:rsidRPr="00252420">
        <w:rPr>
          <w:rFonts w:asciiTheme="minorHAnsi" w:hAnsiTheme="minorHAnsi" w:cstheme="minorHAnsi"/>
          <w:color w:val="auto"/>
          <w:sz w:val="22"/>
          <w:szCs w:val="22"/>
        </w:rPr>
        <w:t xml:space="preserve">As such, </w:t>
      </w:r>
      <w:r>
        <w:rPr>
          <w:rFonts w:asciiTheme="minorHAnsi" w:hAnsiTheme="minorHAnsi" w:cstheme="minorHAnsi"/>
          <w:color w:val="auto"/>
          <w:sz w:val="22"/>
          <w:szCs w:val="22"/>
        </w:rPr>
        <w:t>we need to</w:t>
      </w:r>
      <w:r w:rsidRPr="00252420">
        <w:rPr>
          <w:rFonts w:asciiTheme="minorHAnsi" w:hAnsiTheme="minorHAnsi" w:cstheme="minorHAnsi"/>
          <w:color w:val="auto"/>
          <w:sz w:val="22"/>
          <w:szCs w:val="22"/>
        </w:rPr>
        <w:t xml:space="preserve"> address this</w:t>
      </w:r>
      <w:r>
        <w:rPr>
          <w:rFonts w:asciiTheme="minorHAnsi" w:hAnsiTheme="minorHAnsi" w:cstheme="minorHAnsi"/>
          <w:color w:val="auto"/>
          <w:sz w:val="22"/>
          <w:szCs w:val="22"/>
        </w:rPr>
        <w:t xml:space="preserve"> situation </w:t>
      </w:r>
      <w:r w:rsidRPr="00252420">
        <w:rPr>
          <w:rFonts w:asciiTheme="minorHAnsi" w:hAnsiTheme="minorHAnsi" w:cstheme="minorHAnsi"/>
          <w:color w:val="auto"/>
          <w:sz w:val="22"/>
          <w:szCs w:val="22"/>
        </w:rPr>
        <w:t>in a systematic manner before our next accreditation cycle</w:t>
      </w:r>
      <w:r>
        <w:rPr>
          <w:rFonts w:asciiTheme="minorHAnsi" w:hAnsiTheme="minorHAnsi" w:cstheme="minorHAnsi"/>
          <w:color w:val="auto"/>
          <w:sz w:val="22"/>
          <w:szCs w:val="22"/>
        </w:rPr>
        <w:t>.</w:t>
      </w:r>
    </w:p>
    <w:p w14:paraId="1151A16B" w14:textId="77777777" w:rsidR="007E4F7F" w:rsidRPr="00827A4A" w:rsidRDefault="007E4F7F" w:rsidP="007E4F7F">
      <w:pPr>
        <w:spacing w:after="0"/>
        <w:rPr>
          <w:rFonts w:asciiTheme="minorHAnsi" w:hAnsiTheme="minorHAnsi" w:cstheme="minorHAnsi"/>
        </w:rPr>
      </w:pPr>
      <w:r>
        <w:rPr>
          <w:rFonts w:asciiTheme="minorHAnsi" w:hAnsiTheme="minorHAnsi" w:cstheme="minorHAnsi"/>
        </w:rPr>
        <w:lastRenderedPageBreak/>
        <w:t xml:space="preserve">In Fall 2021, URP faculty submitted a curriculum change package along with a reinstatement of the secondary-admission requirement to the College of Social Science Committee on Curriculum and Academic Policy (CCAP). The changes were approved by </w:t>
      </w:r>
      <w:r w:rsidRPr="00827A4A">
        <w:rPr>
          <w:rFonts w:asciiTheme="minorHAnsi" w:hAnsiTheme="minorHAnsi" w:cstheme="minorHAnsi"/>
        </w:rPr>
        <w:t xml:space="preserve">CCAP and passed along to the University Committee on Curriculum and the University Committee on Undergraduate Education (UCUE). UCUE asked for some key changes prior to their approval, which we have addressed in this memo: </w:t>
      </w:r>
    </w:p>
    <w:p w14:paraId="03AA50F4" w14:textId="77777777" w:rsidR="007E4F7F" w:rsidRPr="00827A4A" w:rsidRDefault="007E4F7F" w:rsidP="007E4F7F">
      <w:pPr>
        <w:spacing w:after="0"/>
        <w:rPr>
          <w:rFonts w:asciiTheme="minorHAnsi" w:hAnsiTheme="minorHAnsi" w:cstheme="minorHAnsi"/>
        </w:rPr>
      </w:pPr>
    </w:p>
    <w:p w14:paraId="37F05444" w14:textId="77777777" w:rsidR="007E4F7F" w:rsidRPr="00827A4A" w:rsidRDefault="007E4F7F" w:rsidP="007E4F7F">
      <w:pPr>
        <w:numPr>
          <w:ilvl w:val="0"/>
          <w:numId w:val="8"/>
        </w:numPr>
        <w:spacing w:after="0"/>
        <w:rPr>
          <w:rFonts w:asciiTheme="minorHAnsi" w:eastAsia="Times New Roman" w:hAnsiTheme="minorHAnsi" w:cstheme="minorHAnsi"/>
        </w:rPr>
      </w:pPr>
      <w:r w:rsidRPr="00827A4A">
        <w:rPr>
          <w:rFonts w:asciiTheme="minorHAnsi" w:eastAsia="Times New Roman" w:hAnsiTheme="minorHAnsi" w:cstheme="minorHAnsi"/>
        </w:rPr>
        <w:t>By law, diversity cannot be included as an admission criteria (Major concern)</w:t>
      </w:r>
      <w:r>
        <w:rPr>
          <w:rFonts w:asciiTheme="minorHAnsi" w:eastAsia="Times New Roman" w:hAnsiTheme="minorHAnsi" w:cstheme="minorHAnsi"/>
        </w:rPr>
        <w:t>)</w:t>
      </w:r>
      <w:r w:rsidRPr="00827A4A">
        <w:rPr>
          <w:rFonts w:asciiTheme="minorHAnsi" w:eastAsia="Times New Roman" w:hAnsiTheme="minorHAnsi" w:cstheme="minorHAnsi"/>
        </w:rPr>
        <w:t xml:space="preserve">  </w:t>
      </w:r>
    </w:p>
    <w:p w14:paraId="19DD9450" w14:textId="77777777" w:rsidR="007E4F7F" w:rsidRPr="001562F0" w:rsidRDefault="007E4F7F" w:rsidP="007E4F7F">
      <w:pPr>
        <w:numPr>
          <w:ilvl w:val="1"/>
          <w:numId w:val="8"/>
        </w:numPr>
        <w:spacing w:after="0"/>
        <w:rPr>
          <w:rFonts w:asciiTheme="minorHAnsi" w:eastAsia="Times New Roman" w:hAnsiTheme="minorHAnsi" w:cstheme="minorHAnsi"/>
          <w:i/>
          <w:iCs/>
        </w:rPr>
      </w:pPr>
      <w:r w:rsidRPr="001562F0">
        <w:rPr>
          <w:rFonts w:asciiTheme="minorHAnsi" w:eastAsia="Times New Roman" w:hAnsiTheme="minorHAnsi" w:cstheme="minorHAnsi"/>
          <w:i/>
          <w:iCs/>
        </w:rPr>
        <w:t>We have struck this language from the drafted policy.</w:t>
      </w:r>
    </w:p>
    <w:p w14:paraId="648F9235" w14:textId="77777777" w:rsidR="007E4F7F" w:rsidRPr="00827A4A" w:rsidRDefault="007E4F7F" w:rsidP="007E4F7F">
      <w:pPr>
        <w:numPr>
          <w:ilvl w:val="0"/>
          <w:numId w:val="8"/>
        </w:numPr>
        <w:spacing w:after="0"/>
        <w:rPr>
          <w:rFonts w:asciiTheme="minorHAnsi" w:eastAsia="Times New Roman" w:hAnsiTheme="minorHAnsi" w:cstheme="minorHAnsi"/>
        </w:rPr>
      </w:pPr>
      <w:r w:rsidRPr="00827A4A">
        <w:rPr>
          <w:rFonts w:asciiTheme="minorHAnsi" w:eastAsia="Times New Roman" w:hAnsiTheme="minorHAnsi" w:cstheme="minorHAnsi"/>
        </w:rPr>
        <w:t>Admission requirement should be specific regarding the need to complete</w:t>
      </w:r>
      <w:r w:rsidRPr="00827A4A">
        <w:rPr>
          <w:rStyle w:val="apple-converted-space"/>
          <w:rFonts w:asciiTheme="minorHAnsi" w:eastAsia="Times New Roman" w:hAnsiTheme="minorHAnsi" w:cstheme="minorHAnsi"/>
        </w:rPr>
        <w:t> </w:t>
      </w:r>
      <w:r w:rsidRPr="00827A4A">
        <w:rPr>
          <w:rFonts w:asciiTheme="minorHAnsi" w:eastAsia="Times New Roman" w:hAnsiTheme="minorHAnsi" w:cstheme="minorHAnsi"/>
          <w:u w:val="single"/>
        </w:rPr>
        <w:t>and</w:t>
      </w:r>
      <w:r w:rsidRPr="00827A4A">
        <w:rPr>
          <w:rStyle w:val="apple-converted-space"/>
          <w:rFonts w:asciiTheme="minorHAnsi" w:eastAsia="Times New Roman" w:hAnsiTheme="minorHAnsi" w:cstheme="minorHAnsi"/>
        </w:rPr>
        <w:t> </w:t>
      </w:r>
      <w:r w:rsidRPr="00827A4A">
        <w:rPr>
          <w:rFonts w:asciiTheme="minorHAnsi" w:eastAsia="Times New Roman" w:hAnsiTheme="minorHAnsi" w:cstheme="minorHAnsi"/>
        </w:rPr>
        <w:t>earn a 2.0 or higher grade in UP 201</w:t>
      </w:r>
      <w:r>
        <w:rPr>
          <w:rFonts w:asciiTheme="minorHAnsi" w:eastAsia="Times New Roman" w:hAnsiTheme="minorHAnsi" w:cstheme="minorHAnsi"/>
        </w:rPr>
        <w:t>.</w:t>
      </w:r>
    </w:p>
    <w:p w14:paraId="72E8F097" w14:textId="77777777" w:rsidR="007E4F7F" w:rsidRPr="001562F0" w:rsidRDefault="007E4F7F" w:rsidP="007E4F7F">
      <w:pPr>
        <w:numPr>
          <w:ilvl w:val="1"/>
          <w:numId w:val="8"/>
        </w:numPr>
        <w:spacing w:after="0"/>
        <w:rPr>
          <w:rFonts w:asciiTheme="minorHAnsi" w:eastAsia="Times New Roman" w:hAnsiTheme="minorHAnsi" w:cstheme="minorHAnsi"/>
          <w:i/>
          <w:iCs/>
        </w:rPr>
      </w:pPr>
      <w:r w:rsidRPr="001562F0">
        <w:rPr>
          <w:rFonts w:asciiTheme="minorHAnsi" w:eastAsia="Times New Roman" w:hAnsiTheme="minorHAnsi" w:cstheme="minorHAnsi"/>
          <w:i/>
          <w:iCs/>
        </w:rPr>
        <w:t xml:space="preserve">We have clarified this language in the drafted policy. </w:t>
      </w:r>
    </w:p>
    <w:p w14:paraId="6D62BBED" w14:textId="77777777" w:rsidR="007E4F7F" w:rsidRPr="00827A4A" w:rsidRDefault="007E4F7F" w:rsidP="007E4F7F">
      <w:pPr>
        <w:numPr>
          <w:ilvl w:val="0"/>
          <w:numId w:val="8"/>
        </w:numPr>
        <w:spacing w:after="0"/>
        <w:rPr>
          <w:rFonts w:asciiTheme="minorHAnsi" w:eastAsia="Times New Roman" w:hAnsiTheme="minorHAnsi" w:cstheme="minorHAnsi"/>
        </w:rPr>
      </w:pPr>
      <w:r w:rsidRPr="00827A4A">
        <w:rPr>
          <w:rFonts w:asciiTheme="minorHAnsi" w:eastAsia="Times New Roman" w:hAnsiTheme="minorHAnsi" w:cstheme="minorHAnsi"/>
        </w:rPr>
        <w:t>Whether the changes in required coursework (Requirements section 3b/c are appropriate and would be approved by the accrediting body).</w:t>
      </w:r>
    </w:p>
    <w:p w14:paraId="7FD062AA" w14:textId="5D4AA356" w:rsidR="007E4F7F" w:rsidRPr="001562F0" w:rsidRDefault="007E4F7F" w:rsidP="007E4F7F">
      <w:pPr>
        <w:numPr>
          <w:ilvl w:val="1"/>
          <w:numId w:val="8"/>
        </w:numPr>
        <w:spacing w:after="0"/>
        <w:rPr>
          <w:rFonts w:asciiTheme="minorHAnsi" w:eastAsia="Times New Roman" w:hAnsiTheme="minorHAnsi" w:cstheme="minorHAnsi"/>
          <w:i/>
          <w:iCs/>
        </w:rPr>
      </w:pPr>
      <w:r w:rsidRPr="001562F0">
        <w:rPr>
          <w:rFonts w:asciiTheme="minorHAnsi" w:eastAsia="Times New Roman" w:hAnsiTheme="minorHAnsi" w:cstheme="minorHAnsi"/>
          <w:i/>
          <w:iCs/>
        </w:rPr>
        <w:t>This concern related to the College STEM requirement, and we have conferred with the College of Social Science that our changes do, in fact, meet College expectations</w:t>
      </w:r>
      <w:r w:rsidR="009D49A8">
        <w:rPr>
          <w:rFonts w:asciiTheme="minorHAnsi" w:eastAsia="Times New Roman" w:hAnsiTheme="minorHAnsi" w:cstheme="minorHAnsi"/>
          <w:i/>
          <w:iCs/>
        </w:rPr>
        <w:t xml:space="preserve"> and comply with </w:t>
      </w:r>
      <w:r w:rsidRPr="001562F0">
        <w:rPr>
          <w:rFonts w:asciiTheme="minorHAnsi" w:eastAsia="Times New Roman" w:hAnsiTheme="minorHAnsi" w:cstheme="minorHAnsi"/>
          <w:i/>
          <w:iCs/>
        </w:rPr>
        <w:t xml:space="preserve">accreditation requirements. We will not outline our STEM changes in this memo, as this memo pertains only to the admission requirement. </w:t>
      </w:r>
    </w:p>
    <w:p w14:paraId="7865FF6D" w14:textId="77777777" w:rsidR="007E4F7F" w:rsidRPr="00827A4A" w:rsidRDefault="007E4F7F" w:rsidP="007E4F7F">
      <w:pPr>
        <w:numPr>
          <w:ilvl w:val="0"/>
          <w:numId w:val="8"/>
        </w:numPr>
        <w:spacing w:after="0"/>
        <w:rPr>
          <w:rFonts w:asciiTheme="minorHAnsi" w:eastAsia="Times New Roman" w:hAnsiTheme="minorHAnsi" w:cstheme="minorHAnsi"/>
        </w:rPr>
      </w:pPr>
      <w:r w:rsidRPr="00827A4A">
        <w:rPr>
          <w:rFonts w:asciiTheme="minorHAnsi" w:eastAsia="Times New Roman" w:hAnsiTheme="minorHAnsi" w:cstheme="minorHAnsi"/>
        </w:rPr>
        <w:t>While the committee understands the need to manage enrollment to maintain accreditation-required student to faculty ratios, there was significant concern that the request is not addressing the larger issue of why so many students are selecting the major and that the admission request/changes were not equitable or appropriate to address this issue.</w:t>
      </w:r>
    </w:p>
    <w:p w14:paraId="7C04F98C" w14:textId="77777777" w:rsidR="007E4F7F" w:rsidRPr="001562F0" w:rsidRDefault="007E4F7F" w:rsidP="007E4F7F">
      <w:pPr>
        <w:numPr>
          <w:ilvl w:val="1"/>
          <w:numId w:val="8"/>
        </w:numPr>
        <w:spacing w:after="0"/>
        <w:rPr>
          <w:rFonts w:asciiTheme="minorHAnsi" w:hAnsiTheme="minorHAnsi" w:cstheme="minorHAnsi"/>
          <w:i/>
          <w:iCs/>
        </w:rPr>
      </w:pPr>
      <w:r w:rsidRPr="001562F0">
        <w:rPr>
          <w:rFonts w:asciiTheme="minorHAnsi" w:eastAsia="Times New Roman" w:hAnsiTheme="minorHAnsi" w:cstheme="minorHAnsi"/>
          <w:i/>
          <w:iCs/>
        </w:rPr>
        <w:t xml:space="preserve">We have conferred with Dr. Jim Lucas, Assistant Dean of Global Education and Curriculum in the Office of Undergraduate Education in the Provost’s Office, to explore best avenues for addressing our FTE limits. With support from Dr. Lucas, we have refined our secondary admission plan outlined in this memo. </w:t>
      </w:r>
      <w:r>
        <w:rPr>
          <w:rFonts w:asciiTheme="minorHAnsi" w:eastAsia="Times New Roman" w:hAnsiTheme="minorHAnsi" w:cstheme="minorHAnsi"/>
          <w:i/>
          <w:iCs/>
        </w:rPr>
        <w:t xml:space="preserve">Regarding why students select the major, the program faculty have identified several theories, including increased national attention to planning disciplines, as well as the inclusion of our introductory courses in interdisciplinary minors. We aim to use the secondary admission process to better assess this increased interest over time. </w:t>
      </w:r>
    </w:p>
    <w:p w14:paraId="65E660ED" w14:textId="77777777" w:rsidR="007E4F7F" w:rsidRPr="00827A4A" w:rsidRDefault="007E4F7F" w:rsidP="007E4F7F">
      <w:pPr>
        <w:spacing w:after="0"/>
        <w:rPr>
          <w:rFonts w:asciiTheme="minorHAnsi" w:hAnsiTheme="minorHAnsi" w:cstheme="minorHAnsi"/>
        </w:rPr>
      </w:pPr>
    </w:p>
    <w:p w14:paraId="522141AF" w14:textId="77777777" w:rsidR="007E4F7F" w:rsidRPr="00827A4A" w:rsidRDefault="007E4F7F" w:rsidP="007E4F7F">
      <w:pPr>
        <w:spacing w:after="0"/>
        <w:rPr>
          <w:rFonts w:asciiTheme="minorHAnsi" w:hAnsiTheme="minorHAnsi" w:cstheme="minorHAnsi"/>
        </w:rPr>
      </w:pPr>
      <w:r w:rsidRPr="00827A4A">
        <w:rPr>
          <w:rFonts w:asciiTheme="minorHAnsi" w:hAnsiTheme="minorHAnsi" w:cstheme="minorHAnsi"/>
        </w:rPr>
        <w:t xml:space="preserve">We now propose a reinstatement of a secondary-admission requirement for the BSURP program to control the number of students in the upper division of the program and in the required courses to maintain our FTE ratio as required by accreditation. Maintaining the FTE ratio through a secondary-admission process will ensure the program is in full compliance with PAB standards while also ensuring timely graduation for all admitted students. </w:t>
      </w:r>
    </w:p>
    <w:p w14:paraId="60E1AB64" w14:textId="77777777" w:rsidR="007E4F7F" w:rsidRPr="00827A4A" w:rsidRDefault="007E4F7F" w:rsidP="007E4F7F">
      <w:pPr>
        <w:spacing w:after="0"/>
        <w:rPr>
          <w:rFonts w:asciiTheme="minorHAnsi" w:hAnsiTheme="minorHAnsi" w:cstheme="minorHAnsi"/>
          <w:b/>
          <w:bCs/>
          <w:u w:val="single"/>
        </w:rPr>
      </w:pPr>
    </w:p>
    <w:p w14:paraId="19D6C78A" w14:textId="77777777" w:rsidR="00B37E58" w:rsidRDefault="00B37E58">
      <w:pPr>
        <w:spacing w:after="0"/>
        <w:rPr>
          <w:rFonts w:asciiTheme="minorHAnsi" w:hAnsiTheme="minorHAnsi" w:cstheme="minorHAnsi"/>
          <w:b/>
          <w:bCs/>
          <w:u w:val="single"/>
        </w:rPr>
      </w:pPr>
      <w:r>
        <w:rPr>
          <w:rFonts w:asciiTheme="minorHAnsi" w:hAnsiTheme="minorHAnsi" w:cstheme="minorHAnsi"/>
          <w:b/>
          <w:bCs/>
          <w:u w:val="single"/>
        </w:rPr>
        <w:br w:type="page"/>
      </w:r>
    </w:p>
    <w:p w14:paraId="4C790CD8" w14:textId="555E32FC" w:rsidR="007E4F7F" w:rsidRPr="00827A4A" w:rsidRDefault="007E4F7F" w:rsidP="007E4F7F">
      <w:pPr>
        <w:spacing w:after="0"/>
        <w:rPr>
          <w:rFonts w:asciiTheme="minorHAnsi" w:hAnsiTheme="minorHAnsi" w:cstheme="minorHAnsi"/>
          <w:b/>
          <w:bCs/>
          <w:u w:val="single"/>
        </w:rPr>
      </w:pPr>
      <w:r w:rsidRPr="00827A4A">
        <w:rPr>
          <w:rFonts w:asciiTheme="minorHAnsi" w:hAnsiTheme="minorHAnsi" w:cstheme="minorHAnsi"/>
          <w:b/>
          <w:bCs/>
          <w:u w:val="single"/>
        </w:rPr>
        <w:lastRenderedPageBreak/>
        <w:t>Secondary Admissions Process</w:t>
      </w:r>
    </w:p>
    <w:p w14:paraId="5AEE9B6D" w14:textId="77777777" w:rsidR="007E4F7F" w:rsidRDefault="007E4F7F" w:rsidP="007E4F7F">
      <w:pPr>
        <w:spacing w:after="0"/>
        <w:rPr>
          <w:rFonts w:asciiTheme="minorHAnsi" w:hAnsiTheme="minorHAnsi" w:cstheme="minorHAnsi"/>
        </w:rPr>
      </w:pPr>
      <w:r w:rsidRPr="00827A4A">
        <w:rPr>
          <w:rFonts w:asciiTheme="minorHAnsi" w:hAnsiTheme="minorHAnsi" w:cstheme="minorHAnsi"/>
        </w:rPr>
        <w:t xml:space="preserve">Our goal is to make the secondary admissions process as simple and transparent as possible. Our BSURP Program consists of 38 credits in Urban Planning (UP) coursework. The BSURP already requires all students to earn a 2.0 or higher grade in each of the UP-core courses </w:t>
      </w:r>
      <w:r>
        <w:rPr>
          <w:rFonts w:asciiTheme="minorHAnsi" w:hAnsiTheme="minorHAnsi" w:cstheme="minorHAnsi"/>
        </w:rPr>
        <w:t xml:space="preserve">(i.e.: UP201, UP314, UP353, UP365, UP424, UP433, UP454, and UP494) </w:t>
      </w:r>
      <w:r w:rsidRPr="00827A4A">
        <w:rPr>
          <w:rFonts w:asciiTheme="minorHAnsi" w:hAnsiTheme="minorHAnsi" w:cstheme="minorHAnsi"/>
        </w:rPr>
        <w:t>to graduate from the program</w:t>
      </w:r>
      <w:r>
        <w:rPr>
          <w:rFonts w:asciiTheme="minorHAnsi" w:hAnsiTheme="minorHAnsi" w:cstheme="minorHAnsi"/>
        </w:rPr>
        <w:t>.</w:t>
      </w:r>
    </w:p>
    <w:p w14:paraId="0ECD8017" w14:textId="77777777" w:rsidR="007E4F7F" w:rsidRDefault="007E4F7F" w:rsidP="007E4F7F">
      <w:pPr>
        <w:spacing w:after="0"/>
        <w:rPr>
          <w:rFonts w:asciiTheme="minorHAnsi" w:hAnsiTheme="minorHAnsi" w:cstheme="minorHAnsi"/>
        </w:rPr>
      </w:pPr>
    </w:p>
    <w:p w14:paraId="7CB79D83" w14:textId="77777777" w:rsidR="007E4F7F" w:rsidRPr="00827A4A" w:rsidRDefault="007E4F7F" w:rsidP="007E4F7F">
      <w:pPr>
        <w:spacing w:after="0"/>
        <w:rPr>
          <w:rFonts w:asciiTheme="minorHAnsi" w:hAnsiTheme="minorHAnsi" w:cstheme="minorHAnsi"/>
        </w:rPr>
      </w:pPr>
      <w:r w:rsidRPr="00827A4A">
        <w:rPr>
          <w:rFonts w:asciiTheme="minorHAnsi" w:hAnsiTheme="minorHAnsi" w:cstheme="minorHAnsi"/>
        </w:rPr>
        <w:t>These factors, combined with the FTE requirement, forms the basis for our admission criteria below:</w:t>
      </w:r>
    </w:p>
    <w:p w14:paraId="69D71852" w14:textId="77777777" w:rsidR="007E4F7F" w:rsidRPr="00827A4A" w:rsidRDefault="007E4F7F" w:rsidP="007E4F7F">
      <w:pPr>
        <w:pStyle w:val="ListParagraph"/>
        <w:numPr>
          <w:ilvl w:val="0"/>
          <w:numId w:val="6"/>
        </w:numPr>
        <w:spacing w:after="0"/>
        <w:rPr>
          <w:rFonts w:asciiTheme="minorHAnsi" w:hAnsiTheme="minorHAnsi" w:cstheme="minorHAnsi"/>
          <w:color w:val="333333"/>
          <w:shd w:val="clear" w:color="auto" w:fill="FFFFFF"/>
        </w:rPr>
      </w:pPr>
      <w:r w:rsidRPr="00827A4A">
        <w:rPr>
          <w:rFonts w:asciiTheme="minorHAnsi" w:hAnsiTheme="minorHAnsi" w:cstheme="minorHAnsi"/>
          <w:color w:val="333333"/>
          <w:shd w:val="clear" w:color="auto" w:fill="FFFFFF"/>
        </w:rPr>
        <w:t>Students must earn 2.0 or higher in UP 201, our required, introductory Urban and Regional Planning course.</w:t>
      </w:r>
    </w:p>
    <w:p w14:paraId="7BCCFA1F" w14:textId="77777777" w:rsidR="007E4F7F" w:rsidRPr="00827A4A" w:rsidRDefault="007E4F7F" w:rsidP="007E4F7F">
      <w:pPr>
        <w:pStyle w:val="ListParagraph"/>
        <w:numPr>
          <w:ilvl w:val="0"/>
          <w:numId w:val="6"/>
        </w:numPr>
        <w:spacing w:after="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To enter the major and enroll for the required UP-core courses at the upper-division, s</w:t>
      </w:r>
      <w:r w:rsidRPr="00827A4A">
        <w:rPr>
          <w:rFonts w:asciiTheme="minorHAnsi" w:hAnsiTheme="minorHAnsi" w:cstheme="minorHAnsi"/>
          <w:color w:val="333333"/>
          <w:shd w:val="clear" w:color="auto" w:fill="FFFFFF"/>
        </w:rPr>
        <w:t xml:space="preserve">tudents must complete an admission application package that will include: </w:t>
      </w:r>
    </w:p>
    <w:p w14:paraId="01A46C87" w14:textId="77777777" w:rsidR="007E4F7F" w:rsidRPr="00827A4A" w:rsidRDefault="007E4F7F" w:rsidP="007E4F7F">
      <w:pPr>
        <w:pStyle w:val="Default"/>
        <w:numPr>
          <w:ilvl w:val="1"/>
          <w:numId w:val="6"/>
        </w:numPr>
        <w:rPr>
          <w:rFonts w:asciiTheme="minorHAnsi" w:hAnsiTheme="minorHAnsi" w:cstheme="minorHAnsi"/>
          <w:color w:val="auto"/>
          <w:sz w:val="22"/>
          <w:szCs w:val="22"/>
        </w:rPr>
      </w:pPr>
      <w:r w:rsidRPr="00827A4A">
        <w:rPr>
          <w:rFonts w:asciiTheme="minorHAnsi" w:hAnsiTheme="minorHAnsi" w:cstheme="minorHAnsi"/>
          <w:color w:val="auto"/>
          <w:sz w:val="22"/>
          <w:szCs w:val="22"/>
        </w:rPr>
        <w:t>a resume;</w:t>
      </w:r>
    </w:p>
    <w:p w14:paraId="1BE434DD" w14:textId="77777777" w:rsidR="007E4F7F" w:rsidRPr="00827A4A" w:rsidRDefault="007E4F7F" w:rsidP="007E4F7F">
      <w:pPr>
        <w:pStyle w:val="Default"/>
        <w:numPr>
          <w:ilvl w:val="1"/>
          <w:numId w:val="6"/>
        </w:numPr>
        <w:rPr>
          <w:rFonts w:asciiTheme="minorHAnsi" w:hAnsiTheme="minorHAnsi" w:cstheme="minorHAnsi"/>
          <w:color w:val="auto"/>
          <w:sz w:val="22"/>
          <w:szCs w:val="22"/>
        </w:rPr>
      </w:pPr>
      <w:r w:rsidRPr="00827A4A">
        <w:rPr>
          <w:rFonts w:asciiTheme="minorHAnsi" w:hAnsiTheme="minorHAnsi" w:cstheme="minorHAnsi"/>
          <w:color w:val="auto"/>
          <w:sz w:val="22"/>
          <w:szCs w:val="22"/>
        </w:rPr>
        <w:t>an application form indicating intent to apply to the upper division of the URP program for the upcoming academic year; and</w:t>
      </w:r>
    </w:p>
    <w:p w14:paraId="1CCCB025" w14:textId="77777777" w:rsidR="007E4F7F" w:rsidRPr="00827A4A" w:rsidRDefault="007E4F7F" w:rsidP="007E4F7F">
      <w:pPr>
        <w:pStyle w:val="Default"/>
        <w:numPr>
          <w:ilvl w:val="1"/>
          <w:numId w:val="6"/>
        </w:numPr>
        <w:rPr>
          <w:rFonts w:asciiTheme="minorHAnsi" w:hAnsiTheme="minorHAnsi" w:cstheme="minorHAnsi"/>
          <w:color w:val="auto"/>
          <w:sz w:val="22"/>
          <w:szCs w:val="22"/>
        </w:rPr>
      </w:pPr>
      <w:r w:rsidRPr="00827A4A">
        <w:rPr>
          <w:rFonts w:asciiTheme="minorHAnsi" w:hAnsiTheme="minorHAnsi" w:cstheme="minorHAnsi"/>
          <w:color w:val="auto"/>
          <w:sz w:val="22"/>
          <w:szCs w:val="22"/>
        </w:rPr>
        <w:t>an academic/career goals statement, which can be submitted in essay or video format.</w:t>
      </w:r>
    </w:p>
    <w:p w14:paraId="738E40B6" w14:textId="77777777" w:rsidR="007E4F7F" w:rsidRPr="00827A4A" w:rsidRDefault="007E4F7F" w:rsidP="007E4F7F">
      <w:pPr>
        <w:spacing w:after="0"/>
        <w:rPr>
          <w:rFonts w:asciiTheme="minorHAnsi" w:hAnsiTheme="minorHAnsi" w:cstheme="minorHAnsi"/>
          <w:color w:val="333333"/>
          <w:shd w:val="clear" w:color="auto" w:fill="FFFFFF"/>
        </w:rPr>
      </w:pPr>
    </w:p>
    <w:p w14:paraId="33557054" w14:textId="77777777" w:rsidR="007E4F7F" w:rsidRPr="00827A4A" w:rsidRDefault="007E4F7F" w:rsidP="007E4F7F">
      <w:pPr>
        <w:spacing w:after="0"/>
        <w:rPr>
          <w:rFonts w:asciiTheme="minorHAnsi" w:hAnsiTheme="minorHAnsi" w:cstheme="minorHAnsi"/>
          <w:color w:val="333333"/>
          <w:shd w:val="clear" w:color="auto" w:fill="FFFFFF"/>
        </w:rPr>
      </w:pPr>
      <w:r w:rsidRPr="00827A4A">
        <w:rPr>
          <w:rFonts w:asciiTheme="minorHAnsi" w:hAnsiTheme="minorHAnsi" w:cstheme="minorHAnsi"/>
          <w:color w:val="333333"/>
          <w:shd w:val="clear" w:color="auto" w:fill="FFFFFF"/>
        </w:rPr>
        <w:t xml:space="preserve">The number of available faculty will dictate the number of seats available for admission. The faculty will carry out the admission process as follows: </w:t>
      </w:r>
    </w:p>
    <w:p w14:paraId="2B9A9649" w14:textId="77777777" w:rsidR="007E4F7F" w:rsidRPr="009A488E" w:rsidRDefault="007E4F7F" w:rsidP="007E4F7F">
      <w:pPr>
        <w:pStyle w:val="ListParagraph"/>
        <w:numPr>
          <w:ilvl w:val="0"/>
          <w:numId w:val="7"/>
        </w:numPr>
        <w:spacing w:after="0"/>
        <w:rPr>
          <w:rFonts w:asciiTheme="minorHAnsi" w:hAnsiTheme="minorHAnsi" w:cstheme="minorHAnsi"/>
        </w:rPr>
      </w:pPr>
      <w:r w:rsidRPr="00827A4A">
        <w:rPr>
          <w:rFonts w:asciiTheme="minorHAnsi" w:hAnsiTheme="minorHAnsi" w:cstheme="minorHAnsi"/>
          <w:color w:val="333333"/>
          <w:shd w:val="clear" w:color="auto" w:fill="FFFFFF"/>
        </w:rPr>
        <w:t xml:space="preserve">The </w:t>
      </w:r>
      <w:r w:rsidRPr="00827A4A">
        <w:rPr>
          <w:rFonts w:asciiTheme="minorHAnsi" w:hAnsiTheme="minorHAnsi" w:cstheme="minorHAnsi"/>
        </w:rPr>
        <w:t>faculty will review applications at the end of each Spring semester for admission in the subsequent Fall semester</w:t>
      </w:r>
      <w:r w:rsidRPr="00827A4A">
        <w:rPr>
          <w:rFonts w:asciiTheme="minorHAnsi" w:hAnsiTheme="minorHAnsi" w:cstheme="minorHAnsi"/>
          <w:color w:val="333333"/>
          <w:shd w:val="clear" w:color="auto" w:fill="FFFFFF"/>
        </w:rPr>
        <w:t xml:space="preserve">. </w:t>
      </w:r>
    </w:p>
    <w:p w14:paraId="64842CC8" w14:textId="77777777" w:rsidR="007E4F7F" w:rsidRPr="009A488E" w:rsidRDefault="007E4F7F" w:rsidP="007E4F7F">
      <w:pPr>
        <w:pStyle w:val="ListParagraph"/>
        <w:numPr>
          <w:ilvl w:val="0"/>
          <w:numId w:val="7"/>
        </w:numPr>
        <w:spacing w:after="0"/>
        <w:rPr>
          <w:rFonts w:asciiTheme="minorHAnsi" w:hAnsiTheme="minorHAnsi" w:cstheme="minorHAnsi"/>
        </w:rPr>
      </w:pPr>
      <w:r w:rsidRPr="009A488E">
        <w:rPr>
          <w:rFonts w:asciiTheme="minorHAnsi" w:hAnsiTheme="minorHAnsi" w:cstheme="minorHAnsi"/>
          <w:color w:val="333333"/>
          <w:shd w:val="clear" w:color="auto" w:fill="FFFFFF"/>
        </w:rPr>
        <w:t>Review and evaluation of the applicants will follow PAB Accreditation Standard 2.A Student Quality, which states: “</w:t>
      </w:r>
      <w:r w:rsidRPr="009A488E">
        <w:rPr>
          <w:rFonts w:asciiTheme="minorHAnsi" w:hAnsiTheme="minorHAnsi" w:cstheme="minorHAnsi"/>
          <w:i/>
          <w:iCs/>
        </w:rPr>
        <w:t>The Program shall admit students whose educational attainment, previous academic performance, work experience, aptitude, maturity, and motivation indicate potential for success in their studies and in professional practice</w:t>
      </w:r>
      <w:r>
        <w:rPr>
          <w:rFonts w:asciiTheme="minorHAnsi" w:hAnsiTheme="minorHAnsi" w:cstheme="minorHAnsi"/>
          <w:i/>
          <w:iCs/>
        </w:rPr>
        <w:t>”</w:t>
      </w:r>
      <w:r w:rsidRPr="009A488E">
        <w:rPr>
          <w:rFonts w:asciiTheme="minorHAnsi" w:hAnsiTheme="minorHAnsi" w:cstheme="minorHAnsi"/>
          <w:i/>
          <w:iCs/>
        </w:rPr>
        <w:t>.</w:t>
      </w:r>
      <w:r>
        <w:rPr>
          <w:rFonts w:asciiTheme="minorHAnsi" w:hAnsiTheme="minorHAnsi" w:cstheme="minorHAnsi"/>
          <w:i/>
          <w:iCs/>
        </w:rPr>
        <w:t xml:space="preserve">  </w:t>
      </w:r>
      <w:r w:rsidRPr="009A488E">
        <w:rPr>
          <w:rFonts w:asciiTheme="minorHAnsi" w:hAnsiTheme="minorHAnsi" w:cstheme="minorHAnsi"/>
          <w:color w:val="333333"/>
          <w:shd w:val="clear" w:color="auto" w:fill="FFFFFF"/>
        </w:rPr>
        <w:t>As such, the faculty will evaluate:</w:t>
      </w:r>
    </w:p>
    <w:p w14:paraId="3DB6F2B0" w14:textId="77777777" w:rsidR="007E4F7F" w:rsidRPr="00827A4A" w:rsidRDefault="007E4F7F" w:rsidP="007E4F7F">
      <w:pPr>
        <w:pStyle w:val="ListParagraph"/>
        <w:numPr>
          <w:ilvl w:val="1"/>
          <w:numId w:val="7"/>
        </w:numPr>
        <w:spacing w:after="0"/>
        <w:rPr>
          <w:rFonts w:asciiTheme="minorHAnsi" w:hAnsiTheme="minorHAnsi" w:cstheme="minorHAnsi"/>
        </w:rPr>
      </w:pPr>
      <w:r w:rsidRPr="00827A4A">
        <w:rPr>
          <w:rFonts w:asciiTheme="minorHAnsi" w:hAnsiTheme="minorHAnsi" w:cstheme="minorHAnsi"/>
          <w:color w:val="333333"/>
          <w:shd w:val="clear" w:color="auto" w:fill="FFFFFF"/>
        </w:rPr>
        <w:t>p</w:t>
      </w:r>
      <w:r w:rsidRPr="00827A4A">
        <w:rPr>
          <w:rFonts w:asciiTheme="minorHAnsi" w:hAnsiTheme="minorHAnsi" w:cstheme="minorHAnsi"/>
        </w:rPr>
        <w:t xml:space="preserve">revious work, service, and research experience; </w:t>
      </w:r>
    </w:p>
    <w:p w14:paraId="2E891158" w14:textId="77777777" w:rsidR="007E4F7F" w:rsidRDefault="007E4F7F" w:rsidP="007E4F7F">
      <w:pPr>
        <w:pStyle w:val="ListParagraph"/>
        <w:numPr>
          <w:ilvl w:val="1"/>
          <w:numId w:val="7"/>
        </w:numPr>
        <w:spacing w:after="0"/>
        <w:rPr>
          <w:rFonts w:asciiTheme="minorHAnsi" w:hAnsiTheme="minorHAnsi" w:cstheme="minorHAnsi"/>
        </w:rPr>
      </w:pPr>
      <w:r>
        <w:rPr>
          <w:rFonts w:asciiTheme="minorHAnsi" w:hAnsiTheme="minorHAnsi" w:cstheme="minorHAnsi"/>
          <w:color w:val="333333"/>
          <w:shd w:val="clear" w:color="auto" w:fill="FFFFFF"/>
        </w:rPr>
        <w:t>overall grades and performance in UP 201;</w:t>
      </w:r>
    </w:p>
    <w:p w14:paraId="5B6B3AC7" w14:textId="77777777" w:rsidR="007E4F7F" w:rsidRDefault="007E4F7F" w:rsidP="007E4F7F">
      <w:pPr>
        <w:pStyle w:val="ListParagraph"/>
        <w:numPr>
          <w:ilvl w:val="1"/>
          <w:numId w:val="7"/>
        </w:numPr>
        <w:spacing w:after="0"/>
        <w:rPr>
          <w:rFonts w:asciiTheme="minorHAnsi" w:hAnsiTheme="minorHAnsi" w:cstheme="minorHAnsi"/>
        </w:rPr>
      </w:pPr>
      <w:r>
        <w:rPr>
          <w:rFonts w:asciiTheme="minorHAnsi" w:hAnsiTheme="minorHAnsi" w:cstheme="minorHAnsi"/>
        </w:rPr>
        <w:t>m</w:t>
      </w:r>
      <w:r w:rsidRPr="00504511">
        <w:rPr>
          <w:rFonts w:asciiTheme="minorHAnsi" w:hAnsiTheme="minorHAnsi" w:cstheme="minorHAnsi"/>
        </w:rPr>
        <w:t>otivation and goals relative to the major and potential career;</w:t>
      </w:r>
      <w:r>
        <w:rPr>
          <w:rFonts w:asciiTheme="minorHAnsi" w:hAnsiTheme="minorHAnsi" w:cstheme="minorHAnsi"/>
        </w:rPr>
        <w:t xml:space="preserve"> and</w:t>
      </w:r>
    </w:p>
    <w:p w14:paraId="3BBACE04" w14:textId="77777777" w:rsidR="007E4F7F" w:rsidRDefault="007E4F7F" w:rsidP="007E4F7F">
      <w:pPr>
        <w:pStyle w:val="ListParagraph"/>
        <w:numPr>
          <w:ilvl w:val="1"/>
          <w:numId w:val="7"/>
        </w:numPr>
        <w:spacing w:after="0"/>
        <w:rPr>
          <w:rFonts w:asciiTheme="minorHAnsi" w:hAnsiTheme="minorHAnsi" w:cstheme="minorHAnsi"/>
        </w:rPr>
      </w:pPr>
      <w:r>
        <w:rPr>
          <w:rFonts w:asciiTheme="minorHAnsi" w:hAnsiTheme="minorHAnsi" w:cstheme="minorHAnsi"/>
        </w:rPr>
        <w:t>non</w:t>
      </w:r>
      <w:r w:rsidRPr="00504511">
        <w:rPr>
          <w:rFonts w:asciiTheme="minorHAnsi" w:hAnsiTheme="minorHAnsi" w:cstheme="minorHAnsi"/>
        </w:rPr>
        <w:t>-cognitive factors such as ability to overcome adversity, perseverance, teamwork, and work ethic.</w:t>
      </w:r>
    </w:p>
    <w:p w14:paraId="087E549C" w14:textId="77777777" w:rsidR="007E4F7F" w:rsidRDefault="007E4F7F" w:rsidP="007E4F7F">
      <w:pPr>
        <w:pStyle w:val="ListParagraph"/>
        <w:numPr>
          <w:ilvl w:val="0"/>
          <w:numId w:val="7"/>
        </w:numPr>
        <w:spacing w:after="0"/>
        <w:rPr>
          <w:rFonts w:asciiTheme="minorHAnsi" w:hAnsiTheme="minorHAnsi" w:cstheme="minorHAnsi"/>
        </w:rPr>
      </w:pPr>
      <w:r w:rsidRPr="0085653E">
        <w:rPr>
          <w:rFonts w:asciiTheme="minorHAnsi" w:hAnsiTheme="minorHAnsi" w:cstheme="minorHAnsi"/>
        </w:rPr>
        <w:t xml:space="preserve">The faculty will distribute admission decisions </w:t>
      </w:r>
      <w:r>
        <w:rPr>
          <w:rFonts w:asciiTheme="minorHAnsi" w:hAnsiTheme="minorHAnsi" w:cstheme="minorHAnsi"/>
        </w:rPr>
        <w:t xml:space="preserve">at the end of the Spring semester </w:t>
      </w:r>
      <w:r w:rsidRPr="0085653E">
        <w:rPr>
          <w:rFonts w:asciiTheme="minorHAnsi" w:hAnsiTheme="minorHAnsi" w:cstheme="minorHAnsi"/>
        </w:rPr>
        <w:t xml:space="preserve">prior to the start of the Summer semester. </w:t>
      </w:r>
    </w:p>
    <w:p w14:paraId="7180A063" w14:textId="77777777" w:rsidR="007E4F7F" w:rsidRPr="009A488E" w:rsidRDefault="007E4F7F" w:rsidP="007E4F7F">
      <w:pPr>
        <w:pStyle w:val="ListParagraph"/>
        <w:numPr>
          <w:ilvl w:val="0"/>
          <w:numId w:val="7"/>
        </w:numPr>
        <w:spacing w:after="0"/>
        <w:rPr>
          <w:rFonts w:asciiTheme="minorHAnsi" w:hAnsiTheme="minorHAnsi" w:cstheme="minorHAnsi"/>
        </w:rPr>
      </w:pPr>
      <w:r w:rsidRPr="009A488E">
        <w:rPr>
          <w:rFonts w:asciiTheme="minorHAnsi" w:hAnsiTheme="minorHAnsi" w:cstheme="minorHAnsi"/>
          <w:color w:val="000000"/>
        </w:rPr>
        <w:t>Students admitted into the major will be eligible</w:t>
      </w:r>
      <w:r>
        <w:rPr>
          <w:rFonts w:asciiTheme="minorHAnsi" w:hAnsiTheme="minorHAnsi" w:cstheme="minorHAnsi"/>
          <w:color w:val="000000"/>
        </w:rPr>
        <w:t xml:space="preserve">, as a cohort, to take core classes </w:t>
      </w:r>
      <w:r w:rsidRPr="009A488E">
        <w:rPr>
          <w:rFonts w:asciiTheme="minorHAnsi" w:hAnsiTheme="minorHAnsi" w:cstheme="minorHAnsi"/>
          <w:color w:val="000000"/>
        </w:rPr>
        <w:t>and be advised to enroll accordingly.</w:t>
      </w:r>
    </w:p>
    <w:p w14:paraId="6E95ED40" w14:textId="77777777" w:rsidR="007E4F7F" w:rsidRDefault="007E4F7F" w:rsidP="007E4F7F">
      <w:pPr>
        <w:spacing w:after="0"/>
        <w:rPr>
          <w:rFonts w:asciiTheme="minorHAnsi" w:hAnsiTheme="minorHAnsi" w:cstheme="minorHAnsi"/>
        </w:rPr>
      </w:pPr>
    </w:p>
    <w:p w14:paraId="08BB90B0" w14:textId="77777777" w:rsidR="007E4F7F" w:rsidRPr="00AB113F" w:rsidRDefault="007E4F7F" w:rsidP="007E4F7F">
      <w:pPr>
        <w:spacing w:after="0"/>
        <w:rPr>
          <w:rFonts w:asciiTheme="minorHAnsi" w:hAnsiTheme="minorHAnsi" w:cstheme="minorHAnsi"/>
          <w:b/>
          <w:bCs/>
          <w:u w:val="single"/>
        </w:rPr>
      </w:pPr>
      <w:r w:rsidRPr="00AB113F">
        <w:rPr>
          <w:rFonts w:asciiTheme="minorHAnsi" w:hAnsiTheme="minorHAnsi" w:cstheme="minorHAnsi"/>
          <w:b/>
          <w:bCs/>
          <w:u w:val="single"/>
        </w:rPr>
        <w:t>Current Academic Plan</w:t>
      </w:r>
    </w:p>
    <w:p w14:paraId="1EAA5AB9" w14:textId="77777777" w:rsidR="007E4F7F" w:rsidRDefault="007E4F7F" w:rsidP="007E4F7F">
      <w:pPr>
        <w:spacing w:after="0"/>
        <w:rPr>
          <w:rFonts w:asciiTheme="minorHAnsi" w:hAnsiTheme="minorHAnsi" w:cstheme="minorHAnsi"/>
        </w:rPr>
      </w:pPr>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498"/>
        <w:gridCol w:w="1350"/>
        <w:gridCol w:w="1440"/>
        <w:gridCol w:w="1530"/>
        <w:gridCol w:w="1440"/>
      </w:tblGrid>
      <w:tr w:rsidR="007E4F7F" w:rsidRPr="0042712F" w14:paraId="0FD18512" w14:textId="77777777" w:rsidTr="0062517B">
        <w:trPr>
          <w:trHeight w:val="300"/>
        </w:trPr>
        <w:tc>
          <w:tcPr>
            <w:tcW w:w="1305" w:type="dxa"/>
            <w:shd w:val="clear" w:color="auto" w:fill="9BBB59" w:themeFill="accent3"/>
            <w:noWrap/>
            <w:vAlign w:val="bottom"/>
            <w:hideMark/>
          </w:tcPr>
          <w:p w14:paraId="08673A2F" w14:textId="77777777" w:rsidR="007E4F7F" w:rsidRPr="0042712F" w:rsidRDefault="007E4F7F" w:rsidP="0062517B">
            <w:pPr>
              <w:spacing w:after="0"/>
              <w:ind w:left="62"/>
              <w:jc w:val="center"/>
              <w:rPr>
                <w:rFonts w:eastAsia="Times New Roman" w:cs="Calibri"/>
                <w:b/>
                <w:bCs/>
                <w:color w:val="000000"/>
              </w:rPr>
            </w:pPr>
            <w:r>
              <w:rPr>
                <w:rFonts w:eastAsia="Times New Roman" w:cs="Calibri"/>
                <w:b/>
                <w:bCs/>
                <w:color w:val="000000"/>
              </w:rPr>
              <w:t>2</w:t>
            </w:r>
            <w:r w:rsidRPr="009A488E">
              <w:rPr>
                <w:rFonts w:eastAsia="Times New Roman" w:cs="Calibri"/>
                <w:b/>
                <w:bCs/>
                <w:color w:val="000000"/>
                <w:vertAlign w:val="superscript"/>
              </w:rPr>
              <w:t>nd</w:t>
            </w:r>
            <w:r>
              <w:rPr>
                <w:rFonts w:eastAsia="Times New Roman" w:cs="Calibri"/>
                <w:b/>
                <w:bCs/>
                <w:color w:val="000000"/>
              </w:rPr>
              <w:t xml:space="preserve"> Year</w:t>
            </w:r>
          </w:p>
        </w:tc>
        <w:tc>
          <w:tcPr>
            <w:tcW w:w="310" w:type="dxa"/>
            <w:vMerge w:val="restart"/>
            <w:shd w:val="clear" w:color="auto" w:fill="9BBB59" w:themeFill="accent3"/>
            <w:textDirection w:val="tbRl"/>
          </w:tcPr>
          <w:p w14:paraId="7B2FE1C8" w14:textId="77777777" w:rsidR="007E4F7F" w:rsidRDefault="007E4F7F" w:rsidP="0062517B">
            <w:pPr>
              <w:spacing w:after="0"/>
              <w:ind w:left="62" w:right="113"/>
              <w:jc w:val="center"/>
              <w:rPr>
                <w:rFonts w:eastAsia="Times New Roman" w:cs="Calibri"/>
                <w:b/>
                <w:bCs/>
                <w:color w:val="000000"/>
              </w:rPr>
            </w:pPr>
            <w:r>
              <w:rPr>
                <w:rFonts w:eastAsia="Times New Roman" w:cs="Calibri"/>
                <w:b/>
                <w:bCs/>
                <w:color w:val="000000"/>
              </w:rPr>
              <w:t>Admission</w:t>
            </w:r>
          </w:p>
        </w:tc>
        <w:tc>
          <w:tcPr>
            <w:tcW w:w="2790" w:type="dxa"/>
            <w:gridSpan w:val="2"/>
            <w:shd w:val="clear" w:color="auto" w:fill="9BBB59" w:themeFill="accent3"/>
            <w:noWrap/>
            <w:vAlign w:val="bottom"/>
            <w:hideMark/>
          </w:tcPr>
          <w:p w14:paraId="76F5A526" w14:textId="77777777" w:rsidR="007E4F7F" w:rsidRPr="0042712F" w:rsidRDefault="007E4F7F" w:rsidP="0062517B">
            <w:pPr>
              <w:spacing w:after="0"/>
              <w:ind w:left="62"/>
              <w:jc w:val="center"/>
              <w:rPr>
                <w:rFonts w:eastAsia="Times New Roman" w:cs="Calibri"/>
                <w:b/>
                <w:bCs/>
                <w:color w:val="000000"/>
              </w:rPr>
            </w:pPr>
            <w:r>
              <w:rPr>
                <w:rFonts w:eastAsia="Times New Roman" w:cs="Calibri"/>
                <w:b/>
                <w:bCs/>
                <w:color w:val="000000"/>
              </w:rPr>
              <w:t>3</w:t>
            </w:r>
            <w:r w:rsidRPr="009A488E">
              <w:rPr>
                <w:rFonts w:eastAsia="Times New Roman" w:cs="Calibri"/>
                <w:b/>
                <w:bCs/>
                <w:color w:val="000000"/>
                <w:vertAlign w:val="superscript"/>
              </w:rPr>
              <w:t>rd</w:t>
            </w:r>
            <w:r>
              <w:rPr>
                <w:rFonts w:eastAsia="Times New Roman" w:cs="Calibri"/>
                <w:b/>
                <w:bCs/>
                <w:color w:val="000000"/>
              </w:rPr>
              <w:t xml:space="preserve"> Year</w:t>
            </w:r>
          </w:p>
        </w:tc>
        <w:tc>
          <w:tcPr>
            <w:tcW w:w="2970" w:type="dxa"/>
            <w:gridSpan w:val="2"/>
            <w:shd w:val="clear" w:color="auto" w:fill="9BBB59" w:themeFill="accent3"/>
            <w:noWrap/>
            <w:vAlign w:val="bottom"/>
            <w:hideMark/>
          </w:tcPr>
          <w:p w14:paraId="48CD876F" w14:textId="77777777" w:rsidR="007E4F7F" w:rsidRPr="0042712F" w:rsidRDefault="007E4F7F" w:rsidP="0062517B">
            <w:pPr>
              <w:spacing w:after="0"/>
              <w:ind w:left="62"/>
              <w:jc w:val="center"/>
              <w:rPr>
                <w:rFonts w:eastAsia="Times New Roman" w:cs="Calibri"/>
                <w:b/>
                <w:bCs/>
                <w:color w:val="000000"/>
              </w:rPr>
            </w:pPr>
            <w:r>
              <w:rPr>
                <w:rFonts w:eastAsia="Times New Roman" w:cs="Calibri"/>
                <w:b/>
                <w:bCs/>
                <w:color w:val="000000"/>
              </w:rPr>
              <w:t>4</w:t>
            </w:r>
            <w:r w:rsidRPr="009A488E">
              <w:rPr>
                <w:rFonts w:eastAsia="Times New Roman" w:cs="Calibri"/>
                <w:b/>
                <w:bCs/>
                <w:color w:val="000000"/>
                <w:vertAlign w:val="superscript"/>
              </w:rPr>
              <w:t>th</w:t>
            </w:r>
            <w:r>
              <w:rPr>
                <w:rFonts w:eastAsia="Times New Roman" w:cs="Calibri"/>
                <w:b/>
                <w:bCs/>
                <w:color w:val="000000"/>
              </w:rPr>
              <w:t xml:space="preserve"> Year</w:t>
            </w:r>
          </w:p>
        </w:tc>
      </w:tr>
      <w:tr w:rsidR="007E4F7F" w:rsidRPr="0042712F" w14:paraId="6EC02785" w14:textId="77777777" w:rsidTr="0062517B">
        <w:trPr>
          <w:trHeight w:val="300"/>
        </w:trPr>
        <w:tc>
          <w:tcPr>
            <w:tcW w:w="1305" w:type="dxa"/>
            <w:shd w:val="clear" w:color="auto" w:fill="auto"/>
            <w:noWrap/>
            <w:vAlign w:val="bottom"/>
            <w:hideMark/>
          </w:tcPr>
          <w:p w14:paraId="73EAAB8C" w14:textId="77777777" w:rsidR="007E4F7F" w:rsidRPr="0042712F" w:rsidRDefault="007E4F7F" w:rsidP="0062517B">
            <w:pPr>
              <w:spacing w:after="0"/>
              <w:ind w:left="62"/>
              <w:rPr>
                <w:rFonts w:ascii="Times New Roman" w:eastAsia="Times New Roman" w:hAnsi="Times New Roman" w:cs="Times New Roman"/>
                <w:sz w:val="20"/>
                <w:szCs w:val="20"/>
              </w:rPr>
            </w:pPr>
          </w:p>
        </w:tc>
        <w:tc>
          <w:tcPr>
            <w:tcW w:w="310" w:type="dxa"/>
            <w:vMerge/>
          </w:tcPr>
          <w:p w14:paraId="0CC419EA" w14:textId="77777777" w:rsidR="007E4F7F" w:rsidRPr="0042712F" w:rsidRDefault="007E4F7F" w:rsidP="0062517B">
            <w:pPr>
              <w:spacing w:after="0"/>
              <w:ind w:left="62"/>
              <w:jc w:val="center"/>
              <w:rPr>
                <w:rFonts w:eastAsia="Times New Roman" w:cs="Calibri"/>
                <w:b/>
                <w:bCs/>
                <w:color w:val="000000"/>
              </w:rPr>
            </w:pPr>
          </w:p>
        </w:tc>
        <w:tc>
          <w:tcPr>
            <w:tcW w:w="1350" w:type="dxa"/>
            <w:shd w:val="clear" w:color="auto" w:fill="EAF1DD" w:themeFill="accent3" w:themeFillTint="33"/>
            <w:noWrap/>
            <w:vAlign w:val="bottom"/>
            <w:hideMark/>
          </w:tcPr>
          <w:p w14:paraId="5A22E9D1" w14:textId="77777777" w:rsidR="007E4F7F" w:rsidRPr="0042712F" w:rsidRDefault="007E4F7F" w:rsidP="0062517B">
            <w:pPr>
              <w:spacing w:after="0"/>
              <w:ind w:left="62"/>
              <w:jc w:val="center"/>
              <w:rPr>
                <w:rFonts w:eastAsia="Times New Roman" w:cs="Calibri"/>
                <w:b/>
                <w:bCs/>
                <w:color w:val="000000"/>
              </w:rPr>
            </w:pPr>
            <w:r w:rsidRPr="0042712F">
              <w:rPr>
                <w:rFonts w:eastAsia="Times New Roman" w:cs="Calibri"/>
                <w:b/>
                <w:bCs/>
                <w:color w:val="000000"/>
              </w:rPr>
              <w:t>Fall</w:t>
            </w:r>
          </w:p>
        </w:tc>
        <w:tc>
          <w:tcPr>
            <w:tcW w:w="1440" w:type="dxa"/>
            <w:shd w:val="clear" w:color="auto" w:fill="D6E3BC" w:themeFill="accent3" w:themeFillTint="66"/>
            <w:noWrap/>
            <w:vAlign w:val="bottom"/>
            <w:hideMark/>
          </w:tcPr>
          <w:p w14:paraId="0870DF88" w14:textId="77777777" w:rsidR="007E4F7F" w:rsidRPr="0042712F" w:rsidRDefault="007E4F7F" w:rsidP="0062517B">
            <w:pPr>
              <w:spacing w:after="0"/>
              <w:ind w:left="62"/>
              <w:jc w:val="center"/>
              <w:rPr>
                <w:rFonts w:eastAsia="Times New Roman" w:cs="Calibri"/>
                <w:b/>
                <w:bCs/>
                <w:color w:val="000000"/>
              </w:rPr>
            </w:pPr>
            <w:r w:rsidRPr="0042712F">
              <w:rPr>
                <w:rFonts w:eastAsia="Times New Roman" w:cs="Calibri"/>
                <w:b/>
                <w:bCs/>
                <w:color w:val="000000"/>
              </w:rPr>
              <w:t>Spring</w:t>
            </w:r>
          </w:p>
        </w:tc>
        <w:tc>
          <w:tcPr>
            <w:tcW w:w="1530" w:type="dxa"/>
            <w:shd w:val="clear" w:color="auto" w:fill="EAF1DD" w:themeFill="accent3" w:themeFillTint="33"/>
            <w:noWrap/>
            <w:vAlign w:val="bottom"/>
            <w:hideMark/>
          </w:tcPr>
          <w:p w14:paraId="6D3C0765" w14:textId="77777777" w:rsidR="007E4F7F" w:rsidRPr="0042712F" w:rsidRDefault="007E4F7F" w:rsidP="0062517B">
            <w:pPr>
              <w:spacing w:after="0"/>
              <w:ind w:left="62"/>
              <w:jc w:val="center"/>
              <w:rPr>
                <w:rFonts w:eastAsia="Times New Roman" w:cs="Calibri"/>
                <w:b/>
                <w:bCs/>
                <w:color w:val="000000"/>
              </w:rPr>
            </w:pPr>
            <w:r w:rsidRPr="0042712F">
              <w:rPr>
                <w:rFonts w:eastAsia="Times New Roman" w:cs="Calibri"/>
                <w:b/>
                <w:bCs/>
                <w:color w:val="000000"/>
              </w:rPr>
              <w:t>Fall</w:t>
            </w:r>
          </w:p>
        </w:tc>
        <w:tc>
          <w:tcPr>
            <w:tcW w:w="1440" w:type="dxa"/>
            <w:shd w:val="clear" w:color="auto" w:fill="D6E3BC" w:themeFill="accent3" w:themeFillTint="66"/>
            <w:noWrap/>
            <w:vAlign w:val="bottom"/>
            <w:hideMark/>
          </w:tcPr>
          <w:p w14:paraId="32F4A73A" w14:textId="77777777" w:rsidR="007E4F7F" w:rsidRPr="0042712F" w:rsidRDefault="007E4F7F" w:rsidP="0062517B">
            <w:pPr>
              <w:spacing w:after="0"/>
              <w:ind w:left="62"/>
              <w:jc w:val="center"/>
              <w:rPr>
                <w:rFonts w:eastAsia="Times New Roman" w:cs="Calibri"/>
                <w:b/>
                <w:bCs/>
                <w:color w:val="000000"/>
              </w:rPr>
            </w:pPr>
            <w:r w:rsidRPr="0042712F">
              <w:rPr>
                <w:rFonts w:eastAsia="Times New Roman" w:cs="Calibri"/>
                <w:b/>
                <w:bCs/>
                <w:color w:val="000000"/>
              </w:rPr>
              <w:t>Spring</w:t>
            </w:r>
          </w:p>
        </w:tc>
      </w:tr>
      <w:tr w:rsidR="007E4F7F" w14:paraId="4AE25519" w14:textId="77777777" w:rsidTr="0062517B">
        <w:tblPrEx>
          <w:tblCellMar>
            <w:left w:w="30" w:type="dxa"/>
            <w:right w:w="30" w:type="dxa"/>
          </w:tblCellMar>
          <w:tblLook w:val="0000" w:firstRow="0" w:lastRow="0" w:firstColumn="0" w:lastColumn="0" w:noHBand="0" w:noVBand="0"/>
        </w:tblPrEx>
        <w:trPr>
          <w:trHeight w:val="280"/>
        </w:trPr>
        <w:tc>
          <w:tcPr>
            <w:tcW w:w="1305" w:type="dxa"/>
          </w:tcPr>
          <w:p w14:paraId="5CB91625" w14:textId="77777777" w:rsidR="007E4F7F" w:rsidRDefault="007E4F7F" w:rsidP="0062517B">
            <w:pPr>
              <w:autoSpaceDE w:val="0"/>
              <w:autoSpaceDN w:val="0"/>
              <w:adjustRightInd w:val="0"/>
              <w:spacing w:after="0"/>
              <w:jc w:val="center"/>
              <w:rPr>
                <w:rFonts w:cs="Calibri"/>
                <w:color w:val="000000"/>
              </w:rPr>
            </w:pPr>
            <w:r>
              <w:rPr>
                <w:rFonts w:cs="Calibri"/>
                <w:color w:val="000000"/>
              </w:rPr>
              <w:t>UP201</w:t>
            </w:r>
          </w:p>
        </w:tc>
        <w:tc>
          <w:tcPr>
            <w:tcW w:w="310" w:type="dxa"/>
            <w:vMerge/>
          </w:tcPr>
          <w:p w14:paraId="43937AF5" w14:textId="77777777" w:rsidR="007E4F7F" w:rsidRDefault="007E4F7F" w:rsidP="0062517B">
            <w:pPr>
              <w:autoSpaceDE w:val="0"/>
              <w:autoSpaceDN w:val="0"/>
              <w:adjustRightInd w:val="0"/>
              <w:spacing w:after="0"/>
              <w:jc w:val="center"/>
              <w:rPr>
                <w:rFonts w:cs="Calibri"/>
                <w:color w:val="000000"/>
              </w:rPr>
            </w:pPr>
          </w:p>
        </w:tc>
        <w:tc>
          <w:tcPr>
            <w:tcW w:w="1350" w:type="dxa"/>
          </w:tcPr>
          <w:p w14:paraId="0BE0E9F7" w14:textId="77777777" w:rsidR="007E4F7F" w:rsidRDefault="007E4F7F" w:rsidP="0062517B">
            <w:pPr>
              <w:autoSpaceDE w:val="0"/>
              <w:autoSpaceDN w:val="0"/>
              <w:adjustRightInd w:val="0"/>
              <w:spacing w:after="0"/>
              <w:jc w:val="center"/>
              <w:rPr>
                <w:rFonts w:cs="Calibri"/>
                <w:color w:val="000000"/>
              </w:rPr>
            </w:pPr>
            <w:r>
              <w:rPr>
                <w:rFonts w:cs="Calibri"/>
                <w:color w:val="000000"/>
              </w:rPr>
              <w:t>UP 353</w:t>
            </w:r>
          </w:p>
        </w:tc>
        <w:tc>
          <w:tcPr>
            <w:tcW w:w="1440" w:type="dxa"/>
          </w:tcPr>
          <w:p w14:paraId="4E7C5DDB" w14:textId="77777777" w:rsidR="007E4F7F" w:rsidRDefault="007E4F7F" w:rsidP="0062517B">
            <w:pPr>
              <w:autoSpaceDE w:val="0"/>
              <w:autoSpaceDN w:val="0"/>
              <w:adjustRightInd w:val="0"/>
              <w:spacing w:after="0"/>
              <w:jc w:val="center"/>
              <w:rPr>
                <w:rFonts w:cs="Calibri"/>
                <w:color w:val="000000"/>
              </w:rPr>
            </w:pPr>
            <w:r>
              <w:rPr>
                <w:rFonts w:cs="Calibri"/>
                <w:color w:val="000000"/>
              </w:rPr>
              <w:t>UP 314</w:t>
            </w:r>
          </w:p>
        </w:tc>
        <w:tc>
          <w:tcPr>
            <w:tcW w:w="1530" w:type="dxa"/>
          </w:tcPr>
          <w:p w14:paraId="14296C15" w14:textId="77777777" w:rsidR="007E4F7F" w:rsidRDefault="007E4F7F" w:rsidP="0062517B">
            <w:pPr>
              <w:autoSpaceDE w:val="0"/>
              <w:autoSpaceDN w:val="0"/>
              <w:adjustRightInd w:val="0"/>
              <w:spacing w:after="0"/>
              <w:jc w:val="center"/>
              <w:rPr>
                <w:rFonts w:cs="Calibri"/>
                <w:color w:val="000000"/>
              </w:rPr>
            </w:pPr>
            <w:r>
              <w:rPr>
                <w:rFonts w:cs="Calibri"/>
                <w:color w:val="000000"/>
              </w:rPr>
              <w:t>UP 424</w:t>
            </w:r>
          </w:p>
        </w:tc>
        <w:tc>
          <w:tcPr>
            <w:tcW w:w="1440" w:type="dxa"/>
          </w:tcPr>
          <w:p w14:paraId="14242D16" w14:textId="77777777" w:rsidR="007E4F7F" w:rsidRDefault="007E4F7F" w:rsidP="0062517B">
            <w:pPr>
              <w:autoSpaceDE w:val="0"/>
              <w:autoSpaceDN w:val="0"/>
              <w:adjustRightInd w:val="0"/>
              <w:spacing w:after="0"/>
              <w:jc w:val="center"/>
              <w:rPr>
                <w:rFonts w:cs="Calibri"/>
                <w:color w:val="000000"/>
              </w:rPr>
            </w:pPr>
            <w:r>
              <w:rPr>
                <w:rFonts w:cs="Calibri"/>
                <w:color w:val="000000"/>
              </w:rPr>
              <w:t>UP 494</w:t>
            </w:r>
          </w:p>
        </w:tc>
      </w:tr>
      <w:tr w:rsidR="007E4F7F" w14:paraId="1A0D11B6" w14:textId="77777777" w:rsidTr="0062517B">
        <w:tblPrEx>
          <w:tblCellMar>
            <w:left w:w="30" w:type="dxa"/>
            <w:right w:w="30" w:type="dxa"/>
          </w:tblCellMar>
          <w:tblLook w:val="0000" w:firstRow="0" w:lastRow="0" w:firstColumn="0" w:lastColumn="0" w:noHBand="0" w:noVBand="0"/>
        </w:tblPrEx>
        <w:trPr>
          <w:trHeight w:val="280"/>
        </w:trPr>
        <w:tc>
          <w:tcPr>
            <w:tcW w:w="1305" w:type="dxa"/>
          </w:tcPr>
          <w:p w14:paraId="67E76B15" w14:textId="77777777" w:rsidR="007E4F7F" w:rsidRDefault="007E4F7F" w:rsidP="0062517B">
            <w:pPr>
              <w:autoSpaceDE w:val="0"/>
              <w:autoSpaceDN w:val="0"/>
              <w:adjustRightInd w:val="0"/>
              <w:spacing w:after="0"/>
              <w:jc w:val="center"/>
              <w:rPr>
                <w:rFonts w:cs="Calibri"/>
                <w:color w:val="000000"/>
              </w:rPr>
            </w:pPr>
          </w:p>
        </w:tc>
        <w:tc>
          <w:tcPr>
            <w:tcW w:w="310" w:type="dxa"/>
            <w:vMerge/>
          </w:tcPr>
          <w:p w14:paraId="3403FE04" w14:textId="77777777" w:rsidR="007E4F7F" w:rsidRDefault="007E4F7F" w:rsidP="0062517B">
            <w:pPr>
              <w:autoSpaceDE w:val="0"/>
              <w:autoSpaceDN w:val="0"/>
              <w:adjustRightInd w:val="0"/>
              <w:spacing w:after="0"/>
              <w:jc w:val="center"/>
              <w:rPr>
                <w:rFonts w:cs="Calibri"/>
                <w:color w:val="000000"/>
              </w:rPr>
            </w:pPr>
          </w:p>
        </w:tc>
        <w:tc>
          <w:tcPr>
            <w:tcW w:w="1350" w:type="dxa"/>
          </w:tcPr>
          <w:p w14:paraId="18349CD2" w14:textId="77777777" w:rsidR="007E4F7F" w:rsidRDefault="007E4F7F" w:rsidP="0062517B">
            <w:pPr>
              <w:autoSpaceDE w:val="0"/>
              <w:autoSpaceDN w:val="0"/>
              <w:adjustRightInd w:val="0"/>
              <w:spacing w:after="0"/>
              <w:jc w:val="center"/>
              <w:rPr>
                <w:rFonts w:cs="Calibri"/>
                <w:color w:val="000000"/>
              </w:rPr>
            </w:pPr>
          </w:p>
        </w:tc>
        <w:tc>
          <w:tcPr>
            <w:tcW w:w="1440" w:type="dxa"/>
          </w:tcPr>
          <w:p w14:paraId="3570F510" w14:textId="77777777" w:rsidR="007E4F7F" w:rsidRDefault="007E4F7F" w:rsidP="0062517B">
            <w:pPr>
              <w:autoSpaceDE w:val="0"/>
              <w:autoSpaceDN w:val="0"/>
              <w:adjustRightInd w:val="0"/>
              <w:spacing w:after="0"/>
              <w:jc w:val="center"/>
              <w:rPr>
                <w:rFonts w:cs="Calibri"/>
                <w:color w:val="000000"/>
              </w:rPr>
            </w:pPr>
            <w:r>
              <w:rPr>
                <w:rFonts w:cs="Calibri"/>
                <w:color w:val="000000"/>
              </w:rPr>
              <w:t>UP 365</w:t>
            </w:r>
          </w:p>
        </w:tc>
        <w:tc>
          <w:tcPr>
            <w:tcW w:w="1530" w:type="dxa"/>
          </w:tcPr>
          <w:p w14:paraId="4976394F" w14:textId="77777777" w:rsidR="007E4F7F" w:rsidRDefault="007E4F7F" w:rsidP="0062517B">
            <w:pPr>
              <w:autoSpaceDE w:val="0"/>
              <w:autoSpaceDN w:val="0"/>
              <w:adjustRightInd w:val="0"/>
              <w:spacing w:after="0"/>
              <w:jc w:val="center"/>
              <w:rPr>
                <w:rFonts w:cs="Calibri"/>
                <w:color w:val="000000"/>
              </w:rPr>
            </w:pPr>
            <w:r>
              <w:rPr>
                <w:rFonts w:cs="Calibri"/>
                <w:color w:val="000000"/>
              </w:rPr>
              <w:t>UP 454</w:t>
            </w:r>
          </w:p>
        </w:tc>
        <w:tc>
          <w:tcPr>
            <w:tcW w:w="1440" w:type="dxa"/>
            <w:vAlign w:val="bottom"/>
          </w:tcPr>
          <w:p w14:paraId="57816503" w14:textId="77777777" w:rsidR="007E4F7F" w:rsidRDefault="007E4F7F" w:rsidP="0062517B">
            <w:pPr>
              <w:spacing w:after="0"/>
              <w:jc w:val="center"/>
              <w:rPr>
                <w:rFonts w:cs="Calibri"/>
                <w:color w:val="000000"/>
              </w:rPr>
            </w:pPr>
          </w:p>
        </w:tc>
      </w:tr>
      <w:tr w:rsidR="007E4F7F" w14:paraId="710ED5BF" w14:textId="77777777" w:rsidTr="0062517B">
        <w:tblPrEx>
          <w:tblCellMar>
            <w:left w:w="30" w:type="dxa"/>
            <w:right w:w="30" w:type="dxa"/>
          </w:tblCellMar>
          <w:tblLook w:val="0000" w:firstRow="0" w:lastRow="0" w:firstColumn="0" w:lastColumn="0" w:noHBand="0" w:noVBand="0"/>
        </w:tblPrEx>
        <w:trPr>
          <w:trHeight w:val="280"/>
        </w:trPr>
        <w:tc>
          <w:tcPr>
            <w:tcW w:w="1305" w:type="dxa"/>
          </w:tcPr>
          <w:p w14:paraId="026D42FF" w14:textId="77777777" w:rsidR="007E4F7F" w:rsidRDefault="007E4F7F" w:rsidP="0062517B">
            <w:pPr>
              <w:autoSpaceDE w:val="0"/>
              <w:autoSpaceDN w:val="0"/>
              <w:adjustRightInd w:val="0"/>
              <w:spacing w:after="0"/>
              <w:jc w:val="center"/>
              <w:rPr>
                <w:rFonts w:cs="Calibri"/>
                <w:color w:val="000000"/>
              </w:rPr>
            </w:pPr>
          </w:p>
        </w:tc>
        <w:tc>
          <w:tcPr>
            <w:tcW w:w="310" w:type="dxa"/>
            <w:vMerge/>
          </w:tcPr>
          <w:p w14:paraId="34AFD5E1" w14:textId="77777777" w:rsidR="007E4F7F" w:rsidRDefault="007E4F7F" w:rsidP="0062517B">
            <w:pPr>
              <w:autoSpaceDE w:val="0"/>
              <w:autoSpaceDN w:val="0"/>
              <w:adjustRightInd w:val="0"/>
              <w:spacing w:after="0"/>
              <w:jc w:val="center"/>
              <w:rPr>
                <w:rFonts w:cs="Calibri"/>
                <w:color w:val="000000"/>
              </w:rPr>
            </w:pPr>
          </w:p>
        </w:tc>
        <w:tc>
          <w:tcPr>
            <w:tcW w:w="1350" w:type="dxa"/>
          </w:tcPr>
          <w:p w14:paraId="58ACD6C8" w14:textId="77777777" w:rsidR="007E4F7F" w:rsidRDefault="007E4F7F" w:rsidP="0062517B">
            <w:pPr>
              <w:autoSpaceDE w:val="0"/>
              <w:autoSpaceDN w:val="0"/>
              <w:adjustRightInd w:val="0"/>
              <w:spacing w:after="0"/>
              <w:jc w:val="center"/>
              <w:rPr>
                <w:rFonts w:cs="Calibri"/>
                <w:color w:val="000000"/>
              </w:rPr>
            </w:pPr>
          </w:p>
        </w:tc>
        <w:tc>
          <w:tcPr>
            <w:tcW w:w="1440" w:type="dxa"/>
          </w:tcPr>
          <w:p w14:paraId="79B8906B" w14:textId="77777777" w:rsidR="007E4F7F" w:rsidRDefault="007E4F7F" w:rsidP="0062517B">
            <w:pPr>
              <w:autoSpaceDE w:val="0"/>
              <w:autoSpaceDN w:val="0"/>
              <w:adjustRightInd w:val="0"/>
              <w:spacing w:after="0"/>
              <w:jc w:val="center"/>
              <w:rPr>
                <w:rFonts w:cs="Calibri"/>
                <w:color w:val="000000"/>
              </w:rPr>
            </w:pPr>
          </w:p>
        </w:tc>
        <w:tc>
          <w:tcPr>
            <w:tcW w:w="1530" w:type="dxa"/>
          </w:tcPr>
          <w:p w14:paraId="388949F0" w14:textId="77777777" w:rsidR="007E4F7F" w:rsidRDefault="007E4F7F" w:rsidP="0062517B">
            <w:pPr>
              <w:autoSpaceDE w:val="0"/>
              <w:autoSpaceDN w:val="0"/>
              <w:adjustRightInd w:val="0"/>
              <w:spacing w:after="0"/>
              <w:jc w:val="center"/>
              <w:rPr>
                <w:rFonts w:cs="Calibri"/>
                <w:color w:val="000000"/>
              </w:rPr>
            </w:pPr>
            <w:r>
              <w:rPr>
                <w:rFonts w:cs="Calibri"/>
                <w:color w:val="000000"/>
              </w:rPr>
              <w:t>UP 433</w:t>
            </w:r>
          </w:p>
        </w:tc>
        <w:tc>
          <w:tcPr>
            <w:tcW w:w="1440" w:type="dxa"/>
            <w:vAlign w:val="bottom"/>
          </w:tcPr>
          <w:p w14:paraId="05E659C7" w14:textId="77777777" w:rsidR="007E4F7F" w:rsidRDefault="007E4F7F" w:rsidP="0062517B">
            <w:pPr>
              <w:spacing w:after="0"/>
              <w:jc w:val="center"/>
              <w:rPr>
                <w:rFonts w:cs="Calibri"/>
                <w:color w:val="000000"/>
              </w:rPr>
            </w:pPr>
          </w:p>
        </w:tc>
      </w:tr>
    </w:tbl>
    <w:p w14:paraId="478F0BF3" w14:textId="77777777" w:rsidR="007E4F7F" w:rsidRPr="00AB113F" w:rsidRDefault="007E4F7F" w:rsidP="007E4F7F">
      <w:pPr>
        <w:spacing w:after="0"/>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lastRenderedPageBreak/>
        <w:t>The secondary-admission process will also serve as a point of assessment for the BSURP program. Faculty will assess the admission process to identify who our students are and why they chose the program. This will allow us to better plan our recruitment efforts and student success programming for the future. Additionally, the program will use the secondary-admission process to track the volume of that interest over time. If interest continues to grow beyond our program capacity, as determined by accreditation, we can use the data to advocate for more instructional resources to increase program capacity while still maintaining FTE ratios.</w:t>
      </w:r>
    </w:p>
    <w:p w14:paraId="55CA4BBB" w14:textId="77777777" w:rsidR="007E4F7F" w:rsidRDefault="007E4F7F" w:rsidP="007E4F7F">
      <w:pPr>
        <w:spacing w:after="0"/>
        <w:rPr>
          <w:rFonts w:asciiTheme="minorHAnsi" w:hAnsiTheme="minorHAnsi" w:cstheme="minorHAnsi"/>
          <w:b/>
          <w:bCs/>
          <w:color w:val="333333"/>
          <w:u w:val="single"/>
          <w:shd w:val="clear" w:color="auto" w:fill="FFFFFF"/>
        </w:rPr>
      </w:pPr>
    </w:p>
    <w:p w14:paraId="4CC838B3" w14:textId="77777777" w:rsidR="007E4F7F" w:rsidRPr="0085653E" w:rsidRDefault="007E4F7F" w:rsidP="007E4F7F">
      <w:pPr>
        <w:spacing w:after="0"/>
        <w:rPr>
          <w:rFonts w:asciiTheme="minorHAnsi" w:hAnsiTheme="minorHAnsi" w:cstheme="minorHAnsi"/>
          <w:b/>
          <w:bCs/>
          <w:color w:val="333333"/>
          <w:u w:val="single"/>
          <w:shd w:val="clear" w:color="auto" w:fill="FFFFFF"/>
        </w:rPr>
      </w:pPr>
      <w:r w:rsidRPr="0085653E">
        <w:rPr>
          <w:rFonts w:asciiTheme="minorHAnsi" w:hAnsiTheme="minorHAnsi" w:cstheme="minorHAnsi"/>
          <w:b/>
          <w:bCs/>
          <w:color w:val="333333"/>
          <w:u w:val="single"/>
          <w:shd w:val="clear" w:color="auto" w:fill="FFFFFF"/>
        </w:rPr>
        <w:t>Communication</w:t>
      </w:r>
      <w:r>
        <w:rPr>
          <w:rFonts w:asciiTheme="minorHAnsi" w:hAnsiTheme="minorHAnsi" w:cstheme="minorHAnsi"/>
          <w:b/>
          <w:bCs/>
          <w:color w:val="333333"/>
          <w:u w:val="single"/>
          <w:shd w:val="clear" w:color="auto" w:fill="FFFFFF"/>
        </w:rPr>
        <w:t xml:space="preserve"> and </w:t>
      </w:r>
      <w:r w:rsidRPr="0085653E">
        <w:rPr>
          <w:rFonts w:asciiTheme="minorHAnsi" w:hAnsiTheme="minorHAnsi" w:cstheme="minorHAnsi"/>
          <w:b/>
          <w:bCs/>
          <w:color w:val="333333"/>
          <w:u w:val="single"/>
          <w:shd w:val="clear" w:color="auto" w:fill="FFFFFF"/>
        </w:rPr>
        <w:t>Support</w:t>
      </w:r>
    </w:p>
    <w:p w14:paraId="3833F6DB" w14:textId="77777777" w:rsidR="007E4F7F" w:rsidRDefault="007E4F7F" w:rsidP="007E4F7F">
      <w:pPr>
        <w:spacing w:after="0"/>
        <w:rPr>
          <w:rFonts w:asciiTheme="minorHAnsi" w:hAnsiTheme="minorHAnsi" w:cstheme="minorHAnsi"/>
          <w:color w:val="333333"/>
          <w:shd w:val="clear" w:color="auto" w:fill="FFFFFF"/>
        </w:rPr>
      </w:pPr>
      <w:r w:rsidRPr="00252420">
        <w:rPr>
          <w:rFonts w:asciiTheme="minorHAnsi" w:hAnsiTheme="minorHAnsi" w:cstheme="minorHAnsi"/>
          <w:color w:val="333333"/>
          <w:shd w:val="clear" w:color="auto" w:fill="FFFFFF"/>
        </w:rPr>
        <w:t>The School of Planning, Design and Construction</w:t>
      </w:r>
      <w:r>
        <w:rPr>
          <w:rFonts w:asciiTheme="minorHAnsi" w:hAnsiTheme="minorHAnsi" w:cstheme="minorHAnsi"/>
          <w:color w:val="333333"/>
          <w:shd w:val="clear" w:color="auto" w:fill="FFFFFF"/>
        </w:rPr>
        <w:t xml:space="preserve"> (SPDC)</w:t>
      </w:r>
      <w:r w:rsidRPr="00252420">
        <w:rPr>
          <w:rFonts w:asciiTheme="minorHAnsi" w:hAnsiTheme="minorHAnsi" w:cstheme="minorHAnsi"/>
          <w:color w:val="333333"/>
          <w:shd w:val="clear" w:color="auto" w:fill="FFFFFF"/>
        </w:rPr>
        <w:t xml:space="preserve"> already houses three other </w:t>
      </w:r>
      <w:r>
        <w:rPr>
          <w:rFonts w:asciiTheme="minorHAnsi" w:hAnsiTheme="minorHAnsi" w:cstheme="minorHAnsi"/>
          <w:color w:val="333333"/>
          <w:shd w:val="clear" w:color="auto" w:fill="FFFFFF"/>
        </w:rPr>
        <w:t>accredited undergraduate</w:t>
      </w:r>
      <w:r w:rsidRPr="00252420">
        <w:rPr>
          <w:rFonts w:asciiTheme="minorHAnsi" w:hAnsiTheme="minorHAnsi" w:cstheme="minorHAnsi"/>
          <w:color w:val="333333"/>
          <w:shd w:val="clear" w:color="auto" w:fill="FFFFFF"/>
        </w:rPr>
        <w:t xml:space="preserve"> programs </w:t>
      </w:r>
      <w:r>
        <w:rPr>
          <w:rFonts w:asciiTheme="minorHAnsi" w:hAnsiTheme="minorHAnsi" w:cstheme="minorHAnsi"/>
          <w:color w:val="333333"/>
          <w:shd w:val="clear" w:color="auto" w:fill="FFFFFF"/>
        </w:rPr>
        <w:t xml:space="preserve">that are cohort-modeled </w:t>
      </w:r>
      <w:r w:rsidRPr="00252420">
        <w:rPr>
          <w:rFonts w:asciiTheme="minorHAnsi" w:hAnsiTheme="minorHAnsi" w:cstheme="minorHAnsi"/>
          <w:color w:val="333333"/>
          <w:shd w:val="clear" w:color="auto" w:fill="FFFFFF"/>
        </w:rPr>
        <w:t>with limited enrollment and secondary</w:t>
      </w:r>
      <w:r>
        <w:rPr>
          <w:rFonts w:asciiTheme="minorHAnsi" w:hAnsiTheme="minorHAnsi" w:cstheme="minorHAnsi"/>
          <w:color w:val="333333"/>
          <w:shd w:val="clear" w:color="auto" w:fill="FFFFFF"/>
        </w:rPr>
        <w:t>-</w:t>
      </w:r>
      <w:r w:rsidRPr="00252420">
        <w:rPr>
          <w:rFonts w:asciiTheme="minorHAnsi" w:hAnsiTheme="minorHAnsi" w:cstheme="minorHAnsi"/>
          <w:color w:val="333333"/>
          <w:shd w:val="clear" w:color="auto" w:fill="FFFFFF"/>
        </w:rPr>
        <w:t xml:space="preserve">admission processes. Prospective students are informed of all admissions processes on our School’s website, on the transfer admission requirements page maintained by the Office of Admissions, and in all meetings with academic advisors and College recruitment staff prior to coming to MSU. As they matriculate to MSU, students are informed about admission requirements during New Student Orientation, during our Fall Welcome events, through in-class presentations, and through emails from </w:t>
      </w:r>
      <w:r>
        <w:rPr>
          <w:rFonts w:asciiTheme="minorHAnsi" w:hAnsiTheme="minorHAnsi" w:cstheme="minorHAnsi"/>
          <w:color w:val="333333"/>
          <w:shd w:val="clear" w:color="auto" w:fill="FFFFFF"/>
        </w:rPr>
        <w:t xml:space="preserve">and appointments with </w:t>
      </w:r>
      <w:r w:rsidRPr="00252420">
        <w:rPr>
          <w:rFonts w:asciiTheme="minorHAnsi" w:hAnsiTheme="minorHAnsi" w:cstheme="minorHAnsi"/>
          <w:color w:val="333333"/>
          <w:shd w:val="clear" w:color="auto" w:fill="FFFFFF"/>
        </w:rPr>
        <w:t>academic advisors</w:t>
      </w:r>
      <w:r>
        <w:rPr>
          <w:rFonts w:asciiTheme="minorHAnsi" w:hAnsiTheme="minorHAnsi" w:cstheme="minorHAnsi"/>
          <w:color w:val="333333"/>
          <w:shd w:val="clear" w:color="auto" w:fill="FFFFFF"/>
        </w:rPr>
        <w:t xml:space="preserve">. </w:t>
      </w:r>
      <w:r w:rsidRPr="00252420">
        <w:rPr>
          <w:rFonts w:asciiTheme="minorHAnsi" w:hAnsiTheme="minorHAnsi" w:cstheme="minorHAnsi"/>
          <w:color w:val="333333"/>
          <w:shd w:val="clear" w:color="auto" w:fill="FFFFFF"/>
        </w:rPr>
        <w:t>The SPDC Student Services office maintains lists of alternative major programs</w:t>
      </w:r>
      <w:r>
        <w:rPr>
          <w:rFonts w:asciiTheme="minorHAnsi" w:hAnsiTheme="minorHAnsi" w:cstheme="minorHAnsi"/>
          <w:color w:val="333333"/>
          <w:shd w:val="clear" w:color="auto" w:fill="FFFFFF"/>
        </w:rPr>
        <w:t xml:space="preserve">, </w:t>
      </w:r>
      <w:r w:rsidRPr="00252420">
        <w:rPr>
          <w:rFonts w:asciiTheme="minorHAnsi" w:hAnsiTheme="minorHAnsi" w:cstheme="minorHAnsi"/>
          <w:color w:val="333333"/>
          <w:shd w:val="clear" w:color="auto" w:fill="FFFFFF"/>
        </w:rPr>
        <w:t>provides alternative major advising</w:t>
      </w:r>
      <w:r>
        <w:rPr>
          <w:rFonts w:asciiTheme="minorHAnsi" w:hAnsiTheme="minorHAnsi" w:cstheme="minorHAnsi"/>
          <w:color w:val="333333"/>
          <w:shd w:val="clear" w:color="auto" w:fill="FFFFFF"/>
        </w:rPr>
        <w:t>,</w:t>
      </w:r>
      <w:r w:rsidRPr="00252420">
        <w:rPr>
          <w:rFonts w:asciiTheme="minorHAnsi" w:hAnsiTheme="minorHAnsi" w:cstheme="minorHAnsi"/>
          <w:color w:val="333333"/>
          <w:shd w:val="clear" w:color="auto" w:fill="FFFFFF"/>
        </w:rPr>
        <w:t xml:space="preserve"> and supports parallel program planning to students both before and after admission decisions are rendered</w:t>
      </w:r>
      <w:r>
        <w:rPr>
          <w:rFonts w:asciiTheme="minorHAnsi" w:hAnsiTheme="minorHAnsi" w:cstheme="minorHAnsi"/>
          <w:color w:val="333333"/>
          <w:shd w:val="clear" w:color="auto" w:fill="FFFFFF"/>
        </w:rPr>
        <w:t>.</w:t>
      </w:r>
    </w:p>
    <w:p w14:paraId="3C920281" w14:textId="77777777" w:rsidR="007E4F7F" w:rsidRPr="00252420" w:rsidRDefault="007E4F7F" w:rsidP="007E4F7F">
      <w:pPr>
        <w:spacing w:after="0"/>
        <w:rPr>
          <w:rFonts w:asciiTheme="minorHAnsi" w:hAnsiTheme="minorHAnsi" w:cstheme="minorHAnsi"/>
          <w:b/>
          <w:bCs/>
        </w:rPr>
      </w:pPr>
    </w:p>
    <w:p w14:paraId="4876EBA0" w14:textId="77777777" w:rsidR="007E4F7F" w:rsidRDefault="007E4F7F" w:rsidP="007E4F7F">
      <w:pPr>
        <w:spacing w:after="0"/>
        <w:rPr>
          <w:rFonts w:asciiTheme="minorHAnsi" w:hAnsiTheme="minorHAnsi" w:cstheme="minorHAnsi"/>
          <w:color w:val="333333"/>
          <w:shd w:val="clear" w:color="auto" w:fill="FFFFFF"/>
        </w:rPr>
      </w:pPr>
      <w:r w:rsidRPr="00252420">
        <w:rPr>
          <w:rFonts w:asciiTheme="minorHAnsi" w:hAnsiTheme="minorHAnsi" w:cstheme="minorHAnsi"/>
          <w:color w:val="333333"/>
          <w:shd w:val="clear" w:color="auto" w:fill="FFFFFF"/>
        </w:rPr>
        <w:t xml:space="preserve">Transfer students starting at MSU below junior status will not be adversely affected by these admission requirements. Transfer students who are coming in at junior status will be advised to transfer with credit equivalent to UP 201 and to apply for secondary admission along with our on-campus students. If transfer students do not have credit in UP 201, they would be required to take that course on campus and </w:t>
      </w:r>
      <w:r>
        <w:rPr>
          <w:rFonts w:asciiTheme="minorHAnsi" w:hAnsiTheme="minorHAnsi" w:cstheme="minorHAnsi"/>
          <w:color w:val="333333"/>
          <w:shd w:val="clear" w:color="auto" w:fill="FFFFFF"/>
        </w:rPr>
        <w:t xml:space="preserve">the advisors will work with them on fast-track options for secondary admission after their primary admission to MSU is complete.  </w:t>
      </w:r>
      <w:r w:rsidRPr="00252420">
        <w:rPr>
          <w:rFonts w:asciiTheme="minorHAnsi" w:hAnsiTheme="minorHAnsi" w:cstheme="minorHAnsi"/>
          <w:color w:val="333333"/>
          <w:shd w:val="clear" w:color="auto" w:fill="FFFFFF"/>
        </w:rPr>
        <w:t>UP 201 is offered every semester (Fall, Spring and Summer).</w:t>
      </w:r>
      <w:r>
        <w:rPr>
          <w:rFonts w:asciiTheme="minorHAnsi" w:hAnsiTheme="minorHAnsi" w:cstheme="minorHAnsi"/>
          <w:color w:val="333333"/>
          <w:shd w:val="clear" w:color="auto" w:fill="FFFFFF"/>
        </w:rPr>
        <w:t xml:space="preserve">  </w:t>
      </w:r>
      <w:r w:rsidRPr="00252420">
        <w:rPr>
          <w:rFonts w:asciiTheme="minorHAnsi" w:hAnsiTheme="minorHAnsi" w:cstheme="minorHAnsi"/>
          <w:color w:val="333333"/>
          <w:shd w:val="clear" w:color="auto" w:fill="FFFFFF"/>
        </w:rPr>
        <w:t>We maintain similar expectations for our three other limited enrollment programs with secondary admissions processes, and those transfer requirements are posted on the Office of Admissions Web site.</w:t>
      </w:r>
    </w:p>
    <w:p w14:paraId="153A2E06" w14:textId="77777777" w:rsidR="007E4F7F" w:rsidRDefault="007E4F7F" w:rsidP="007E4F7F">
      <w:pPr>
        <w:spacing w:after="0"/>
        <w:rPr>
          <w:rFonts w:asciiTheme="minorHAnsi" w:hAnsiTheme="minorHAnsi" w:cstheme="minorHAnsi"/>
          <w:color w:val="333333"/>
          <w:shd w:val="clear" w:color="auto" w:fill="FFFFFF"/>
        </w:rPr>
      </w:pPr>
    </w:p>
    <w:p w14:paraId="740447EF" w14:textId="77777777" w:rsidR="007E4F7F" w:rsidRDefault="007E4F7F" w:rsidP="007E4F7F">
      <w:pPr>
        <w:spacing w:after="0"/>
        <w:rPr>
          <w:rFonts w:asciiTheme="minorHAnsi" w:hAnsiTheme="minorHAnsi" w:cstheme="minorHAnsi"/>
          <w:color w:val="333333"/>
          <w:shd w:val="clear" w:color="auto" w:fill="FFFFFF"/>
        </w:rPr>
      </w:pPr>
      <w:r w:rsidRPr="00252420">
        <w:rPr>
          <w:rFonts w:asciiTheme="minorHAnsi" w:hAnsiTheme="minorHAnsi" w:cstheme="minorHAnsi"/>
          <w:color w:val="333333"/>
          <w:shd w:val="clear" w:color="auto" w:fill="FFFFFF"/>
        </w:rPr>
        <w:t xml:space="preserve">Advisors in </w:t>
      </w:r>
      <w:r>
        <w:rPr>
          <w:rFonts w:asciiTheme="minorHAnsi" w:hAnsiTheme="minorHAnsi" w:cstheme="minorHAnsi"/>
          <w:color w:val="333333"/>
          <w:shd w:val="clear" w:color="auto" w:fill="FFFFFF"/>
        </w:rPr>
        <w:t>SPDC</w:t>
      </w:r>
      <w:r w:rsidRPr="00252420">
        <w:rPr>
          <w:rFonts w:asciiTheme="minorHAnsi" w:hAnsiTheme="minorHAnsi" w:cstheme="minorHAnsi"/>
          <w:color w:val="333333"/>
          <w:shd w:val="clear" w:color="auto" w:fill="FFFFFF"/>
        </w:rPr>
        <w:t xml:space="preserve"> regularly talk with prospective transfer students about how to navigate our secondary admission processes. We network with admissions counselors working with transfer students to ensure they also understand how to talk about our admissions processes with students. We have historically provided advisors at feeder institutions with trainings/presentations on our secondary admissions processes and on how to advise students who intend to transfer into one of our programs. We will continue this pattern with the Urban and Regional Planning program, as well.</w:t>
      </w:r>
      <w:r>
        <w:rPr>
          <w:rFonts w:asciiTheme="minorHAnsi" w:hAnsiTheme="minorHAnsi" w:cstheme="minorHAnsi"/>
          <w:color w:val="333333"/>
          <w:shd w:val="clear" w:color="auto" w:fill="FFFFFF"/>
        </w:rPr>
        <w:t xml:space="preserve"> </w:t>
      </w:r>
    </w:p>
    <w:p w14:paraId="63489F06" w14:textId="77777777" w:rsidR="007E4F7F" w:rsidRDefault="007E4F7F" w:rsidP="007E4F7F">
      <w:pPr>
        <w:spacing w:after="0"/>
        <w:rPr>
          <w:rFonts w:asciiTheme="minorHAnsi" w:hAnsiTheme="minorHAnsi" w:cstheme="minorHAnsi"/>
          <w:color w:val="333333"/>
          <w:shd w:val="clear" w:color="auto" w:fill="FFFFFF"/>
        </w:rPr>
      </w:pPr>
    </w:p>
    <w:p w14:paraId="0E6CF04C" w14:textId="77777777" w:rsidR="00B37E58" w:rsidRDefault="00B37E58">
      <w:pPr>
        <w:spacing w:after="0"/>
        <w:rPr>
          <w:rFonts w:asciiTheme="minorHAnsi" w:hAnsiTheme="minorHAnsi" w:cstheme="minorHAnsi"/>
          <w:b/>
          <w:bCs/>
          <w:color w:val="333333"/>
          <w:u w:val="single"/>
          <w:shd w:val="clear" w:color="auto" w:fill="FFFFFF"/>
        </w:rPr>
      </w:pPr>
      <w:r>
        <w:rPr>
          <w:rFonts w:asciiTheme="minorHAnsi" w:hAnsiTheme="minorHAnsi" w:cstheme="minorHAnsi"/>
          <w:b/>
          <w:bCs/>
          <w:color w:val="333333"/>
          <w:u w:val="single"/>
          <w:shd w:val="clear" w:color="auto" w:fill="FFFFFF"/>
        </w:rPr>
        <w:br w:type="page"/>
      </w:r>
    </w:p>
    <w:p w14:paraId="7409851D" w14:textId="4B2CBD74" w:rsidR="007E4F7F" w:rsidRPr="00B53E5E" w:rsidRDefault="007E4F7F" w:rsidP="007E4F7F">
      <w:pPr>
        <w:spacing w:after="0"/>
        <w:rPr>
          <w:rFonts w:asciiTheme="minorHAnsi" w:hAnsiTheme="minorHAnsi" w:cstheme="minorHAnsi"/>
          <w:b/>
          <w:bCs/>
          <w:u w:val="single"/>
        </w:rPr>
      </w:pPr>
      <w:r>
        <w:rPr>
          <w:rFonts w:asciiTheme="minorHAnsi" w:hAnsiTheme="minorHAnsi" w:cstheme="minorHAnsi"/>
          <w:b/>
          <w:bCs/>
          <w:color w:val="333333"/>
          <w:u w:val="single"/>
          <w:shd w:val="clear" w:color="auto" w:fill="FFFFFF"/>
        </w:rPr>
        <w:lastRenderedPageBreak/>
        <w:t>Timeline Explanation</w:t>
      </w:r>
    </w:p>
    <w:p w14:paraId="2C44A4DE" w14:textId="77777777" w:rsidR="007E4F7F" w:rsidRDefault="007E4F7F" w:rsidP="007E4F7F">
      <w:pPr>
        <w:spacing w:after="0"/>
        <w:rPr>
          <w:rFonts w:asciiTheme="minorHAnsi" w:hAnsiTheme="minorHAnsi" w:cstheme="minorHAnsi"/>
        </w:rPr>
      </w:pPr>
      <w:r>
        <w:rPr>
          <w:rFonts w:asciiTheme="minorHAnsi" w:hAnsiTheme="minorHAnsi" w:cstheme="minorHAnsi"/>
        </w:rPr>
        <w:t xml:space="preserve">The URP faculty intend to carry out admission reviews every Spring semester for students to begin the upper-division course sequence the following Fall semester (i.e., UP 353 is a fall course). Prior to admission as a junior, students will be required to take UP 201. To remain connected with the program before entering the upper division, students will have the option to take non-core UP courses (12 credits required) to meet major requirements, in addition to any courses toward minor, College, and University requirements, including free electives. Upon admission to the upper-division of the BSURP program, students will proceed as a cohort, completing the remaining UP-core courses together over a two-year period. </w:t>
      </w:r>
    </w:p>
    <w:p w14:paraId="6075B1E3" w14:textId="77777777" w:rsidR="007E4F7F" w:rsidRDefault="007E4F7F" w:rsidP="007E4F7F">
      <w:pPr>
        <w:spacing w:after="0"/>
        <w:rPr>
          <w:rFonts w:asciiTheme="minorHAnsi" w:hAnsiTheme="minorHAnsi" w:cstheme="minorHAnsi"/>
        </w:rPr>
      </w:pPr>
    </w:p>
    <w:p w14:paraId="1E36381E" w14:textId="77777777" w:rsidR="007E4F7F" w:rsidRDefault="007E4F7F" w:rsidP="007E4F7F">
      <w:pPr>
        <w:spacing w:after="0"/>
        <w:rPr>
          <w:rFonts w:asciiTheme="minorHAnsi" w:hAnsiTheme="minorHAnsi" w:cstheme="minorHAnsi"/>
        </w:rPr>
      </w:pPr>
      <w:r>
        <w:rPr>
          <w:rFonts w:asciiTheme="minorHAnsi" w:hAnsiTheme="minorHAnsi" w:cstheme="minorHAnsi"/>
        </w:rPr>
        <w:t xml:space="preserve">This timeline and cohort model is on par with the three other limited enrollment programs within SPDC, so it will fit in administratively with our unit calendar and School-wide communications. Beyond its administrative consistency for our School, Spring admission will also allow us to better manage our program’s cohort model, which maximizes the number of students we can admit and graduate. Additionally, one major admission cycle per cohort allows us to distribute the level of competition for seats within each cohort more evenly so that some students are not adversely disadvantaged due to the timing in which they enroll in UP 201. This timeline is particularly important for a program like URP, which has long been a major students discover after spending 1-1.5 years at MSU.  </w:t>
      </w:r>
    </w:p>
    <w:p w14:paraId="2113AAE5" w14:textId="77777777" w:rsidR="007E4F7F" w:rsidRPr="00252420" w:rsidRDefault="007E4F7F" w:rsidP="007E4F7F">
      <w:pPr>
        <w:pStyle w:val="Default"/>
        <w:rPr>
          <w:rFonts w:asciiTheme="minorHAnsi" w:hAnsiTheme="minorHAnsi" w:cstheme="minorHAnsi"/>
          <w:b/>
          <w:bCs/>
          <w:color w:val="auto"/>
          <w:sz w:val="22"/>
          <w:szCs w:val="22"/>
        </w:rPr>
      </w:pPr>
    </w:p>
    <w:p w14:paraId="3B82C86D" w14:textId="77777777" w:rsidR="00B37E58" w:rsidRDefault="00B37E58">
      <w:pPr>
        <w:spacing w:after="0"/>
        <w:rPr>
          <w:rFonts w:asciiTheme="minorHAnsi" w:hAnsiTheme="minorHAnsi" w:cstheme="minorHAnsi"/>
          <w:b/>
          <w:bCs/>
          <w:color w:val="1F33FF"/>
          <w:u w:val="single"/>
        </w:rPr>
      </w:pPr>
      <w:r>
        <w:rPr>
          <w:rFonts w:asciiTheme="minorHAnsi" w:hAnsiTheme="minorHAnsi" w:cstheme="minorHAnsi"/>
          <w:b/>
          <w:bCs/>
          <w:color w:val="1F33FF"/>
          <w:u w:val="single"/>
        </w:rPr>
        <w:br w:type="page"/>
      </w:r>
    </w:p>
    <w:p w14:paraId="6429E779" w14:textId="4730F062" w:rsidR="007E4F7F" w:rsidRPr="00AB113F" w:rsidRDefault="007E4F7F" w:rsidP="007E4F7F">
      <w:pPr>
        <w:spacing w:after="0"/>
        <w:rPr>
          <w:rFonts w:asciiTheme="minorHAnsi" w:hAnsiTheme="minorHAnsi" w:cstheme="minorHAnsi"/>
          <w:b/>
          <w:bCs/>
          <w:color w:val="1F33FF"/>
          <w:u w:val="single"/>
        </w:rPr>
      </w:pPr>
      <w:r w:rsidRPr="00AB113F">
        <w:rPr>
          <w:rFonts w:asciiTheme="minorHAnsi" w:hAnsiTheme="minorHAnsi" w:cstheme="minorHAnsi"/>
          <w:b/>
          <w:bCs/>
          <w:color w:val="1F33FF"/>
          <w:u w:val="single"/>
        </w:rPr>
        <w:lastRenderedPageBreak/>
        <w:t>Potential language for the re-instated admissions policy</w:t>
      </w:r>
    </w:p>
    <w:p w14:paraId="36A20538" w14:textId="77777777" w:rsidR="007E4F7F" w:rsidRPr="00AB113F" w:rsidRDefault="007E4F7F" w:rsidP="007E4F7F">
      <w:pPr>
        <w:pStyle w:val="Default"/>
        <w:rPr>
          <w:rFonts w:asciiTheme="minorHAnsi" w:hAnsiTheme="minorHAnsi" w:cstheme="minorHAnsi"/>
          <w:b/>
          <w:bCs/>
          <w:color w:val="1F33FF"/>
          <w:sz w:val="22"/>
          <w:szCs w:val="22"/>
        </w:rPr>
      </w:pPr>
    </w:p>
    <w:p w14:paraId="00AEFD47" w14:textId="77777777" w:rsidR="007E4F7F" w:rsidRPr="00AB113F" w:rsidRDefault="007E4F7F" w:rsidP="007E4F7F">
      <w:pPr>
        <w:pStyle w:val="Default"/>
        <w:rPr>
          <w:rFonts w:asciiTheme="minorHAnsi" w:hAnsiTheme="minorHAnsi" w:cstheme="minorHAnsi"/>
          <w:i/>
          <w:iCs/>
          <w:color w:val="1F33FF"/>
          <w:sz w:val="22"/>
          <w:szCs w:val="22"/>
          <w:u w:val="single"/>
        </w:rPr>
      </w:pPr>
      <w:r w:rsidRPr="00AB113F">
        <w:rPr>
          <w:rFonts w:asciiTheme="minorHAnsi" w:hAnsiTheme="minorHAnsi" w:cstheme="minorHAnsi"/>
          <w:i/>
          <w:iCs/>
          <w:color w:val="1F33FF"/>
          <w:sz w:val="22"/>
          <w:szCs w:val="22"/>
        </w:rPr>
        <w:t>Admission</w:t>
      </w:r>
    </w:p>
    <w:p w14:paraId="54374EA7" w14:textId="77777777" w:rsidR="007E4F7F" w:rsidRPr="00AB113F" w:rsidRDefault="007E4F7F" w:rsidP="007E4F7F">
      <w:pPr>
        <w:spacing w:after="0"/>
        <w:rPr>
          <w:rFonts w:asciiTheme="minorHAnsi" w:eastAsia="Times New Roman" w:hAnsiTheme="minorHAnsi" w:cstheme="minorHAnsi"/>
          <w:color w:val="1F33FF"/>
        </w:rPr>
      </w:pPr>
      <w:r w:rsidRPr="00AB113F">
        <w:rPr>
          <w:rFonts w:asciiTheme="minorHAnsi" w:eastAsia="Times New Roman" w:hAnsiTheme="minorHAnsi" w:cstheme="minorHAnsi"/>
          <w:color w:val="1F33FF"/>
          <w:shd w:val="clear" w:color="auto" w:fill="FFFFFF"/>
        </w:rPr>
        <w:t>Admission is competitive, and enrollment is limited for each entering class</w:t>
      </w:r>
      <w:r w:rsidRPr="00AB113F">
        <w:rPr>
          <w:rFonts w:asciiTheme="minorHAnsi" w:hAnsiTheme="minorHAnsi" w:cstheme="minorHAnsi"/>
          <w:color w:val="1F33FF"/>
        </w:rPr>
        <w:t xml:space="preserve">. The department accepts and reviews applications during the Spring semester of each year for admission into the UP core courses the following Fall. </w:t>
      </w:r>
    </w:p>
    <w:p w14:paraId="68D14FE8" w14:textId="77777777" w:rsidR="007E4F7F" w:rsidRPr="00AB113F" w:rsidRDefault="007E4F7F" w:rsidP="007E4F7F">
      <w:pPr>
        <w:pStyle w:val="Default"/>
        <w:rPr>
          <w:rFonts w:asciiTheme="minorHAnsi" w:hAnsiTheme="minorHAnsi" w:cstheme="minorHAnsi"/>
          <w:color w:val="1F33FF"/>
          <w:sz w:val="22"/>
          <w:szCs w:val="22"/>
        </w:rPr>
      </w:pPr>
    </w:p>
    <w:p w14:paraId="40F36A85" w14:textId="77777777" w:rsidR="007E4F7F" w:rsidRPr="00AB113F" w:rsidRDefault="007E4F7F" w:rsidP="007E4F7F">
      <w:pPr>
        <w:pStyle w:val="Default"/>
        <w:rPr>
          <w:rFonts w:asciiTheme="minorHAnsi" w:hAnsiTheme="minorHAnsi" w:cstheme="minorHAnsi"/>
          <w:color w:val="1F33FF"/>
          <w:sz w:val="22"/>
          <w:szCs w:val="22"/>
        </w:rPr>
      </w:pPr>
      <w:r w:rsidRPr="00AB113F">
        <w:rPr>
          <w:rFonts w:asciiTheme="minorHAnsi" w:hAnsiTheme="minorHAnsi" w:cstheme="minorHAnsi"/>
          <w:color w:val="1F33FF"/>
          <w:sz w:val="22"/>
          <w:szCs w:val="22"/>
        </w:rPr>
        <w:t xml:space="preserve">All students interested in applying for admission as juniors to the bachelor’s degree program in Urban and Regional Planning must: </w:t>
      </w:r>
    </w:p>
    <w:p w14:paraId="20225A27" w14:textId="77777777" w:rsidR="007E4F7F" w:rsidRPr="00AB113F" w:rsidRDefault="007E4F7F" w:rsidP="007E4F7F">
      <w:pPr>
        <w:pStyle w:val="Default"/>
        <w:numPr>
          <w:ilvl w:val="0"/>
          <w:numId w:val="4"/>
        </w:numPr>
        <w:rPr>
          <w:rFonts w:asciiTheme="minorHAnsi" w:hAnsiTheme="minorHAnsi" w:cstheme="minorHAnsi"/>
          <w:color w:val="1F33FF"/>
          <w:sz w:val="22"/>
          <w:szCs w:val="22"/>
        </w:rPr>
      </w:pPr>
      <w:r w:rsidRPr="00AB113F">
        <w:rPr>
          <w:rFonts w:asciiTheme="minorHAnsi" w:hAnsiTheme="minorHAnsi" w:cstheme="minorHAnsi"/>
          <w:color w:val="1F33FF"/>
          <w:sz w:val="22"/>
          <w:szCs w:val="22"/>
        </w:rPr>
        <w:t>Complete UP 201 with 2.0 or better</w:t>
      </w:r>
    </w:p>
    <w:p w14:paraId="60E93DF1" w14:textId="77777777" w:rsidR="007E4F7F" w:rsidRPr="00AB113F" w:rsidRDefault="007E4F7F" w:rsidP="007E4F7F">
      <w:pPr>
        <w:pStyle w:val="Default"/>
        <w:numPr>
          <w:ilvl w:val="0"/>
          <w:numId w:val="4"/>
        </w:numPr>
        <w:rPr>
          <w:rFonts w:asciiTheme="minorHAnsi" w:hAnsiTheme="minorHAnsi" w:cstheme="minorHAnsi"/>
          <w:color w:val="1F33FF"/>
          <w:sz w:val="22"/>
          <w:szCs w:val="22"/>
        </w:rPr>
      </w:pPr>
      <w:r w:rsidRPr="00AB113F">
        <w:rPr>
          <w:rFonts w:asciiTheme="minorHAnsi" w:hAnsiTheme="minorHAnsi" w:cstheme="minorHAnsi"/>
          <w:color w:val="1F33FF"/>
          <w:sz w:val="22"/>
          <w:szCs w:val="22"/>
        </w:rPr>
        <w:t xml:space="preserve">Submit an application package that will include: </w:t>
      </w:r>
    </w:p>
    <w:p w14:paraId="6EFA3418" w14:textId="77777777" w:rsidR="007E4F7F" w:rsidRPr="00AB113F" w:rsidRDefault="007E4F7F" w:rsidP="007E4F7F">
      <w:pPr>
        <w:pStyle w:val="Default"/>
        <w:numPr>
          <w:ilvl w:val="1"/>
          <w:numId w:val="4"/>
        </w:numPr>
        <w:rPr>
          <w:rFonts w:asciiTheme="minorHAnsi" w:hAnsiTheme="minorHAnsi" w:cstheme="minorHAnsi"/>
          <w:color w:val="1F33FF"/>
          <w:sz w:val="22"/>
          <w:szCs w:val="22"/>
        </w:rPr>
      </w:pPr>
      <w:r w:rsidRPr="00AB113F">
        <w:rPr>
          <w:rFonts w:asciiTheme="minorHAnsi" w:hAnsiTheme="minorHAnsi" w:cstheme="minorHAnsi"/>
          <w:color w:val="1F33FF"/>
          <w:sz w:val="22"/>
          <w:szCs w:val="22"/>
        </w:rPr>
        <w:t>a resume;</w:t>
      </w:r>
    </w:p>
    <w:p w14:paraId="0FAD6BFE" w14:textId="77777777" w:rsidR="007E4F7F" w:rsidRPr="00AB113F" w:rsidRDefault="007E4F7F" w:rsidP="007E4F7F">
      <w:pPr>
        <w:pStyle w:val="Default"/>
        <w:numPr>
          <w:ilvl w:val="1"/>
          <w:numId w:val="4"/>
        </w:numPr>
        <w:rPr>
          <w:rFonts w:asciiTheme="minorHAnsi" w:hAnsiTheme="minorHAnsi" w:cstheme="minorHAnsi"/>
          <w:color w:val="1F33FF"/>
          <w:sz w:val="22"/>
          <w:szCs w:val="22"/>
        </w:rPr>
      </w:pPr>
      <w:r w:rsidRPr="00AB113F">
        <w:rPr>
          <w:rFonts w:asciiTheme="minorHAnsi" w:hAnsiTheme="minorHAnsi" w:cstheme="minorHAnsi"/>
          <w:color w:val="1F33FF"/>
          <w:sz w:val="22"/>
          <w:szCs w:val="22"/>
        </w:rPr>
        <w:t>an application form indicating intent to apply to the upper division of the URP program for the upcoming academic year; and</w:t>
      </w:r>
    </w:p>
    <w:p w14:paraId="0B1498B6" w14:textId="77777777" w:rsidR="007E4F7F" w:rsidRPr="00AB113F" w:rsidRDefault="007E4F7F" w:rsidP="007E4F7F">
      <w:pPr>
        <w:pStyle w:val="Default"/>
        <w:numPr>
          <w:ilvl w:val="1"/>
          <w:numId w:val="4"/>
        </w:numPr>
        <w:rPr>
          <w:rFonts w:asciiTheme="minorHAnsi" w:hAnsiTheme="minorHAnsi" w:cstheme="minorHAnsi"/>
          <w:color w:val="1F33FF"/>
          <w:sz w:val="22"/>
          <w:szCs w:val="22"/>
        </w:rPr>
      </w:pPr>
      <w:r w:rsidRPr="00AB113F">
        <w:rPr>
          <w:rFonts w:asciiTheme="minorHAnsi" w:hAnsiTheme="minorHAnsi" w:cstheme="minorHAnsi"/>
          <w:color w:val="1F33FF"/>
          <w:sz w:val="22"/>
          <w:szCs w:val="22"/>
        </w:rPr>
        <w:t>an academic/career goals statement, which can be submitted in essay or video format.</w:t>
      </w:r>
    </w:p>
    <w:p w14:paraId="303342C1" w14:textId="77777777" w:rsidR="007E4F7F" w:rsidRPr="00AB113F" w:rsidRDefault="007E4F7F" w:rsidP="007E4F7F">
      <w:pPr>
        <w:pStyle w:val="Default"/>
        <w:rPr>
          <w:rFonts w:asciiTheme="minorHAnsi" w:hAnsiTheme="minorHAnsi" w:cstheme="minorHAnsi"/>
          <w:color w:val="1F33FF"/>
          <w:sz w:val="22"/>
          <w:szCs w:val="22"/>
        </w:rPr>
      </w:pPr>
    </w:p>
    <w:p w14:paraId="3994A847" w14:textId="77777777" w:rsidR="007E4F7F" w:rsidRPr="00AB113F" w:rsidRDefault="007E4F7F" w:rsidP="007E4F7F">
      <w:pPr>
        <w:pStyle w:val="Default"/>
        <w:rPr>
          <w:rFonts w:asciiTheme="minorHAnsi" w:hAnsiTheme="minorHAnsi" w:cstheme="minorHAnsi"/>
          <w:color w:val="1F33FF"/>
          <w:sz w:val="22"/>
          <w:szCs w:val="22"/>
        </w:rPr>
      </w:pPr>
      <w:r w:rsidRPr="00AB113F">
        <w:rPr>
          <w:rFonts w:asciiTheme="minorHAnsi" w:hAnsiTheme="minorHAnsi" w:cstheme="minorHAnsi"/>
          <w:color w:val="1F33FF"/>
          <w:sz w:val="22"/>
          <w:szCs w:val="22"/>
        </w:rPr>
        <w:t xml:space="preserve">Program faculty and academic staff determine admissions based on the applicants’ qualifications and the program’s enrollment capacity. Review committees will consider factors such as applicants’: </w:t>
      </w:r>
    </w:p>
    <w:p w14:paraId="3977B201" w14:textId="77777777" w:rsidR="007E4F7F" w:rsidRPr="00AB113F" w:rsidRDefault="007E4F7F" w:rsidP="007E4F7F">
      <w:pPr>
        <w:pStyle w:val="Default"/>
        <w:numPr>
          <w:ilvl w:val="0"/>
          <w:numId w:val="5"/>
        </w:numPr>
        <w:rPr>
          <w:rFonts w:asciiTheme="minorHAnsi" w:hAnsiTheme="minorHAnsi" w:cstheme="minorHAnsi"/>
          <w:color w:val="1F33FF"/>
          <w:sz w:val="22"/>
          <w:szCs w:val="22"/>
        </w:rPr>
      </w:pPr>
      <w:r w:rsidRPr="00AB113F">
        <w:rPr>
          <w:rFonts w:asciiTheme="minorHAnsi" w:hAnsiTheme="minorHAnsi" w:cstheme="minorHAnsi"/>
          <w:color w:val="1F33FF"/>
          <w:sz w:val="22"/>
          <w:szCs w:val="22"/>
        </w:rPr>
        <w:t>Previous work, service, and research experiences;</w:t>
      </w:r>
    </w:p>
    <w:p w14:paraId="3FF49B4B" w14:textId="77777777" w:rsidR="007E4F7F" w:rsidRPr="00AB113F" w:rsidRDefault="007E4F7F" w:rsidP="007E4F7F">
      <w:pPr>
        <w:pStyle w:val="Default"/>
        <w:numPr>
          <w:ilvl w:val="0"/>
          <w:numId w:val="5"/>
        </w:numPr>
        <w:rPr>
          <w:rFonts w:asciiTheme="minorHAnsi" w:hAnsiTheme="minorHAnsi" w:cstheme="minorHAnsi"/>
          <w:color w:val="1F33FF"/>
          <w:sz w:val="22"/>
          <w:szCs w:val="22"/>
        </w:rPr>
      </w:pPr>
      <w:r w:rsidRPr="00AB113F">
        <w:rPr>
          <w:rFonts w:asciiTheme="minorHAnsi" w:hAnsiTheme="minorHAnsi" w:cstheme="minorHAnsi"/>
          <w:color w:val="1F33FF"/>
          <w:sz w:val="22"/>
          <w:szCs w:val="22"/>
        </w:rPr>
        <w:t xml:space="preserve">Overall GPA and performance in UP 201; </w:t>
      </w:r>
    </w:p>
    <w:p w14:paraId="25F6584D" w14:textId="77777777" w:rsidR="007E4F7F" w:rsidRPr="00AB113F" w:rsidRDefault="007E4F7F" w:rsidP="007E4F7F">
      <w:pPr>
        <w:pStyle w:val="Default"/>
        <w:numPr>
          <w:ilvl w:val="0"/>
          <w:numId w:val="5"/>
        </w:numPr>
        <w:rPr>
          <w:rFonts w:asciiTheme="minorHAnsi" w:hAnsiTheme="minorHAnsi" w:cstheme="minorHAnsi"/>
          <w:color w:val="1F33FF"/>
          <w:sz w:val="22"/>
          <w:szCs w:val="22"/>
        </w:rPr>
      </w:pPr>
      <w:r w:rsidRPr="00AB113F">
        <w:rPr>
          <w:rFonts w:asciiTheme="minorHAnsi" w:hAnsiTheme="minorHAnsi" w:cstheme="minorHAnsi"/>
          <w:color w:val="1F33FF"/>
          <w:sz w:val="22"/>
          <w:szCs w:val="22"/>
        </w:rPr>
        <w:t>Motivation and goals relative to the major and potential career; and</w:t>
      </w:r>
    </w:p>
    <w:p w14:paraId="76A64375" w14:textId="77777777" w:rsidR="007E4F7F" w:rsidRPr="00AB113F" w:rsidRDefault="007E4F7F" w:rsidP="007E4F7F">
      <w:pPr>
        <w:pStyle w:val="Default"/>
        <w:numPr>
          <w:ilvl w:val="0"/>
          <w:numId w:val="5"/>
        </w:numPr>
        <w:rPr>
          <w:rFonts w:asciiTheme="minorHAnsi" w:hAnsiTheme="minorHAnsi" w:cstheme="minorHAnsi"/>
          <w:color w:val="1F33FF"/>
          <w:sz w:val="22"/>
          <w:szCs w:val="22"/>
        </w:rPr>
      </w:pPr>
      <w:r w:rsidRPr="00AB113F">
        <w:rPr>
          <w:rFonts w:asciiTheme="minorHAnsi" w:hAnsiTheme="minorHAnsi" w:cstheme="minorHAnsi"/>
          <w:color w:val="1F33FF"/>
          <w:sz w:val="22"/>
          <w:szCs w:val="22"/>
        </w:rPr>
        <w:t>Factors such as ability to overcome adversity, perseverance, teamwork, and work ethic.</w:t>
      </w:r>
    </w:p>
    <w:p w14:paraId="6376D643" w14:textId="77777777" w:rsidR="007E4F7F" w:rsidRPr="00AB113F" w:rsidRDefault="007E4F7F" w:rsidP="007E4F7F">
      <w:pPr>
        <w:pStyle w:val="Default"/>
        <w:ind w:left="407"/>
        <w:rPr>
          <w:rFonts w:asciiTheme="minorHAnsi" w:hAnsiTheme="minorHAnsi" w:cstheme="minorHAnsi"/>
          <w:color w:val="1F33FF"/>
          <w:sz w:val="22"/>
          <w:szCs w:val="22"/>
        </w:rPr>
      </w:pPr>
    </w:p>
    <w:p w14:paraId="6106C4CB" w14:textId="77777777" w:rsidR="007E4F7F" w:rsidRPr="00AB113F" w:rsidRDefault="007E4F7F" w:rsidP="007E4F7F">
      <w:pPr>
        <w:pStyle w:val="Default"/>
        <w:rPr>
          <w:rFonts w:asciiTheme="minorHAnsi" w:hAnsiTheme="minorHAnsi" w:cstheme="minorHAnsi"/>
          <w:color w:val="1F33FF"/>
          <w:sz w:val="22"/>
          <w:szCs w:val="22"/>
        </w:rPr>
      </w:pPr>
      <w:r w:rsidRPr="00AB113F">
        <w:rPr>
          <w:rFonts w:asciiTheme="minorHAnsi" w:hAnsiTheme="minorHAnsi" w:cstheme="minorHAnsi"/>
          <w:color w:val="1F33FF"/>
          <w:sz w:val="22"/>
          <w:szCs w:val="22"/>
        </w:rPr>
        <w:t xml:space="preserve">Admission decisions are made each year at the end of the Spring semester. </w:t>
      </w:r>
    </w:p>
    <w:p w14:paraId="5BB894A2" w14:textId="77777777" w:rsidR="007E4F7F" w:rsidRPr="00AB113F" w:rsidRDefault="007E4F7F" w:rsidP="007E4F7F">
      <w:pPr>
        <w:pStyle w:val="Default"/>
        <w:rPr>
          <w:rFonts w:asciiTheme="minorHAnsi" w:hAnsiTheme="minorHAnsi" w:cstheme="minorHAnsi"/>
          <w:color w:val="1F33FF"/>
          <w:sz w:val="22"/>
          <w:szCs w:val="22"/>
        </w:rPr>
      </w:pPr>
    </w:p>
    <w:p w14:paraId="532AF27A" w14:textId="77777777" w:rsidR="007E4F7F" w:rsidRPr="00AB113F" w:rsidRDefault="007E4F7F" w:rsidP="007E4F7F">
      <w:pPr>
        <w:pStyle w:val="Default"/>
        <w:rPr>
          <w:rFonts w:asciiTheme="minorHAnsi" w:hAnsiTheme="minorHAnsi" w:cstheme="minorHAnsi"/>
          <w:color w:val="1F33FF"/>
          <w:sz w:val="22"/>
          <w:szCs w:val="22"/>
        </w:rPr>
      </w:pPr>
      <w:r w:rsidRPr="00AB113F">
        <w:rPr>
          <w:rFonts w:asciiTheme="minorHAnsi" w:hAnsiTheme="minorHAnsi" w:cstheme="minorHAnsi"/>
          <w:color w:val="1F33FF"/>
          <w:sz w:val="22"/>
          <w:szCs w:val="22"/>
        </w:rPr>
        <w:t xml:space="preserve">For additional information about admission criteria and procedures, students should contact the Urban and Regional Planning program in the School of Planning, Design and Construction. </w:t>
      </w:r>
    </w:p>
    <w:p w14:paraId="31A5142E" w14:textId="77777777" w:rsidR="007E4F7F" w:rsidRPr="00AB113F" w:rsidRDefault="007E4F7F" w:rsidP="007E4F7F">
      <w:pPr>
        <w:pStyle w:val="Default"/>
        <w:rPr>
          <w:rFonts w:asciiTheme="minorHAnsi" w:hAnsiTheme="minorHAnsi" w:cstheme="minorHAnsi"/>
          <w:color w:val="1F33FF"/>
          <w:sz w:val="22"/>
          <w:szCs w:val="22"/>
        </w:rPr>
      </w:pPr>
    </w:p>
    <w:p w14:paraId="2503E4BB" w14:textId="77777777" w:rsidR="007E4F7F" w:rsidRPr="00252420" w:rsidRDefault="007E4F7F" w:rsidP="007E4F7F">
      <w:pPr>
        <w:spacing w:after="0"/>
        <w:rPr>
          <w:rFonts w:asciiTheme="minorHAnsi" w:hAnsiTheme="minorHAnsi" w:cstheme="minorHAnsi"/>
        </w:rPr>
      </w:pPr>
    </w:p>
    <w:p w14:paraId="771723F3" w14:textId="77777777" w:rsidR="003E6F8C" w:rsidRPr="003B0A2A" w:rsidRDefault="003E6F8C" w:rsidP="00BD40AF"/>
    <w:sectPr w:rsidR="003E6F8C" w:rsidRPr="003B0A2A" w:rsidSect="00BD40AF">
      <w:footerReference w:type="even" r:id="rId8"/>
      <w:footerReference w:type="default" r:id="rId9"/>
      <w:headerReference w:type="first" r:id="rId10"/>
      <w:footerReference w:type="first" r:id="rId11"/>
      <w:pgSz w:w="12240" w:h="15840" w:code="1"/>
      <w:pgMar w:top="1800" w:right="1800" w:bottom="1440" w:left="26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D874C" w14:textId="77777777" w:rsidR="00832668" w:rsidRDefault="00832668" w:rsidP="00CD24C7">
      <w:pPr>
        <w:spacing w:after="0"/>
      </w:pPr>
      <w:r>
        <w:separator/>
      </w:r>
    </w:p>
  </w:endnote>
  <w:endnote w:type="continuationSeparator" w:id="0">
    <w:p w14:paraId="77028A66" w14:textId="77777777" w:rsidR="00832668" w:rsidRDefault="00832668"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0878159"/>
      <w:docPartObj>
        <w:docPartGallery w:val="Page Numbers (Bottom of Page)"/>
        <w:docPartUnique/>
      </w:docPartObj>
    </w:sdtPr>
    <w:sdtEndPr>
      <w:rPr>
        <w:rStyle w:val="PageNumber"/>
      </w:rPr>
    </w:sdtEndPr>
    <w:sdtContent>
      <w:p w14:paraId="5B1D9389" w14:textId="7E367985" w:rsidR="00B37E58" w:rsidRDefault="00B37E58" w:rsidP="008271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C919C1" w14:textId="77777777" w:rsidR="00B37E58" w:rsidRDefault="00B37E58" w:rsidP="00B37E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9764939"/>
      <w:docPartObj>
        <w:docPartGallery w:val="Page Numbers (Bottom of Page)"/>
        <w:docPartUnique/>
      </w:docPartObj>
    </w:sdtPr>
    <w:sdtEndPr>
      <w:rPr>
        <w:rStyle w:val="PageNumber"/>
      </w:rPr>
    </w:sdtEndPr>
    <w:sdtContent>
      <w:p w14:paraId="165CA75C" w14:textId="7276809D" w:rsidR="00B37E58" w:rsidRDefault="00B37E58" w:rsidP="008271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BAC91A8" w14:textId="77777777" w:rsidR="00B37E58" w:rsidRDefault="00B37E58" w:rsidP="00B37E5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E530" w14:textId="77777777" w:rsidR="0082785D" w:rsidRDefault="00041648">
    <w:pPr>
      <w:pStyle w:val="Footer"/>
    </w:pPr>
    <w:r>
      <w:rPr>
        <w:noProof/>
      </w:rPr>
      <w:drawing>
        <wp:anchor distT="0" distB="0" distL="114300" distR="114300" simplePos="0" relativeHeight="251659264" behindDoc="1" locked="0" layoutInCell="1" allowOverlap="1" wp14:anchorId="24F21660" wp14:editId="76512AC0">
          <wp:simplePos x="0" y="0"/>
          <wp:positionH relativeFrom="page">
            <wp:posOffset>402590</wp:posOffset>
          </wp:positionH>
          <wp:positionV relativeFrom="page">
            <wp:posOffset>9610090</wp:posOffset>
          </wp:positionV>
          <wp:extent cx="999490" cy="198120"/>
          <wp:effectExtent l="19050" t="0" r="0" b="0"/>
          <wp:wrapTight wrapText="bothSides">
            <wp:wrapPolygon edited="0">
              <wp:start x="-412" y="0"/>
              <wp:lineTo x="-412" y="18692"/>
              <wp:lineTo x="21408" y="18692"/>
              <wp:lineTo x="21408" y="0"/>
              <wp:lineTo x="-412" y="0"/>
            </wp:wrapPolygon>
          </wp:wrapTight>
          <wp:docPr id="4" name="Picture 4" descr="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W-BOTM"/>
                  <pic:cNvPicPr>
                    <a:picLocks noChangeAspect="1" noChangeArrowheads="1"/>
                  </pic:cNvPicPr>
                </pic:nvPicPr>
                <pic:blipFill>
                  <a:blip r:embed="rId1"/>
                  <a:srcRect/>
                  <a:stretch>
                    <a:fillRect/>
                  </a:stretch>
                </pic:blipFill>
                <pic:spPr bwMode="auto">
                  <a:xfrm>
                    <a:off x="0" y="0"/>
                    <a:ext cx="999490" cy="1981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7912" w14:textId="77777777" w:rsidR="00832668" w:rsidRDefault="00832668" w:rsidP="00CD24C7">
      <w:pPr>
        <w:spacing w:after="0"/>
      </w:pPr>
      <w:r>
        <w:separator/>
      </w:r>
    </w:p>
  </w:footnote>
  <w:footnote w:type="continuationSeparator" w:id="0">
    <w:p w14:paraId="4B990ED0" w14:textId="77777777" w:rsidR="00832668" w:rsidRDefault="00832668"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E6B6" w14:textId="77777777" w:rsidR="003B0A2A" w:rsidRDefault="00041648" w:rsidP="003B0A2A">
    <w:pPr>
      <w:pStyle w:val="Header"/>
      <w:tabs>
        <w:tab w:val="clear" w:pos="4680"/>
        <w:tab w:val="clear" w:pos="9360"/>
      </w:tabs>
    </w:pPr>
    <w:r>
      <w:rPr>
        <w:noProof/>
      </w:rPr>
      <w:drawing>
        <wp:anchor distT="0" distB="0" distL="114300" distR="114300" simplePos="0" relativeHeight="251657216" behindDoc="0" locked="0" layoutInCell="1" allowOverlap="1" wp14:anchorId="2D97C041" wp14:editId="31B73F67">
          <wp:simplePos x="0" y="0"/>
          <wp:positionH relativeFrom="page">
            <wp:posOffset>1673225</wp:posOffset>
          </wp:positionH>
          <wp:positionV relativeFrom="page">
            <wp:posOffset>758825</wp:posOffset>
          </wp:positionV>
          <wp:extent cx="1852930" cy="396240"/>
          <wp:effectExtent l="19050" t="0" r="0" b="0"/>
          <wp:wrapTight wrapText="bothSides">
            <wp:wrapPolygon edited="0">
              <wp:start x="-222" y="0"/>
              <wp:lineTo x="-222" y="20769"/>
              <wp:lineTo x="21541" y="20769"/>
              <wp:lineTo x="21541" y="0"/>
              <wp:lineTo x="-222" y="0"/>
            </wp:wrapPolygon>
          </wp:wrapTight>
          <wp:docPr id="2" name="Picture 0" descr="MSU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SU20.TIF"/>
                  <pic:cNvPicPr>
                    <a:picLocks noChangeAspect="1" noChangeArrowheads="1"/>
                  </pic:cNvPicPr>
                </pic:nvPicPr>
                <pic:blipFill>
                  <a:blip r:embed="rId1"/>
                  <a:srcRect/>
                  <a:stretch>
                    <a:fillRect/>
                  </a:stretch>
                </pic:blipFill>
                <pic:spPr bwMode="auto">
                  <a:xfrm>
                    <a:off x="0" y="0"/>
                    <a:ext cx="1852930" cy="396240"/>
                  </a:xfrm>
                  <a:prstGeom prst="rect">
                    <a:avLst/>
                  </a:prstGeom>
                  <a:noFill/>
                </pic:spPr>
              </pic:pic>
            </a:graphicData>
          </a:graphic>
        </wp:anchor>
      </w:drawing>
    </w:r>
    <w:r w:rsidR="0095595E">
      <w:rPr>
        <w:noProof/>
      </w:rPr>
      <mc:AlternateContent>
        <mc:Choice Requires="wps">
          <w:drawing>
            <wp:anchor distT="0" distB="0" distL="114300" distR="114300" simplePos="0" relativeHeight="251656192" behindDoc="0" locked="0" layoutInCell="1" allowOverlap="0" wp14:anchorId="5E081853">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20BB3" w14:textId="77777777" w:rsidR="00A075EC" w:rsidRDefault="00A075EC" w:rsidP="00A075EC">
                          <w:pPr>
                            <w:autoSpaceDE w:val="0"/>
                            <w:autoSpaceDN w:val="0"/>
                            <w:adjustRightInd w:val="0"/>
                            <w:spacing w:after="0"/>
                            <w:contextualSpacing/>
                            <w:jc w:val="right"/>
                            <w:textAlignment w:val="center"/>
                            <w:rPr>
                              <w:rFonts w:ascii="Arial" w:hAnsi="Arial"/>
                              <w:b/>
                              <w:bCs/>
                              <w:color w:val="000000"/>
                              <w:w w:val="92"/>
                            </w:rPr>
                          </w:pPr>
                          <w:r>
                            <w:rPr>
                              <w:rFonts w:ascii="Arial" w:hAnsi="Arial"/>
                              <w:b/>
                              <w:bCs/>
                              <w:color w:val="000000"/>
                              <w:w w:val="92"/>
                            </w:rPr>
                            <w:t>School of Planning, Design</w:t>
                          </w:r>
                        </w:p>
                        <w:p w14:paraId="54E7A6EC" w14:textId="77777777" w:rsidR="00A075EC" w:rsidRDefault="00A075EC" w:rsidP="00A075EC">
                          <w:pPr>
                            <w:autoSpaceDE w:val="0"/>
                            <w:autoSpaceDN w:val="0"/>
                            <w:adjustRightInd w:val="0"/>
                            <w:spacing w:after="0"/>
                            <w:contextualSpacing/>
                            <w:jc w:val="right"/>
                            <w:textAlignment w:val="center"/>
                            <w:rPr>
                              <w:rFonts w:ascii="Arial" w:hAnsi="Arial"/>
                              <w:b/>
                              <w:bCs/>
                              <w:color w:val="000000"/>
                              <w:w w:val="92"/>
                            </w:rPr>
                          </w:pPr>
                          <w:r>
                            <w:rPr>
                              <w:rFonts w:ascii="Arial" w:hAnsi="Arial"/>
                              <w:b/>
                              <w:bCs/>
                              <w:color w:val="000000"/>
                              <w:w w:val="92"/>
                            </w:rPr>
                            <w:t>&amp; Construction</w:t>
                          </w:r>
                        </w:p>
                        <w:p w14:paraId="55FB7DDB" w14:textId="77777777" w:rsidR="00972DF5" w:rsidRDefault="00972DF5" w:rsidP="00972DF5">
                          <w:pPr>
                            <w:autoSpaceDE w:val="0"/>
                            <w:autoSpaceDN w:val="0"/>
                            <w:adjustRightInd w:val="0"/>
                            <w:spacing w:after="0"/>
                            <w:contextualSpacing/>
                            <w:jc w:val="right"/>
                            <w:textAlignment w:val="center"/>
                            <w:rPr>
                              <w:rFonts w:ascii="Arial" w:hAnsi="Arial"/>
                              <w:color w:val="000000"/>
                              <w:spacing w:val="1"/>
                              <w:sz w:val="24"/>
                              <w:szCs w:val="24"/>
                            </w:rPr>
                          </w:pPr>
                        </w:p>
                        <w:p w14:paraId="2C181765" w14:textId="77777777" w:rsidR="000B014D" w:rsidRPr="008812CC" w:rsidRDefault="000B014D"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Construction M</w:t>
                          </w:r>
                          <w:r w:rsidR="00DC16BF" w:rsidRPr="008812CC">
                            <w:rPr>
                              <w:rFonts w:ascii="Arial" w:hAnsi="Arial"/>
                              <w:color w:val="000000"/>
                              <w:sz w:val="14"/>
                              <w:szCs w:val="14"/>
                            </w:rPr>
                            <w:t>ana</w:t>
                          </w:r>
                          <w:r w:rsidRPr="008812CC">
                            <w:rPr>
                              <w:rFonts w:ascii="Arial" w:hAnsi="Arial"/>
                              <w:color w:val="000000"/>
                              <w:sz w:val="14"/>
                              <w:szCs w:val="14"/>
                            </w:rPr>
                            <w:t>g</w:t>
                          </w:r>
                          <w:r w:rsidR="00DC16BF" w:rsidRPr="008812CC">
                            <w:rPr>
                              <w:rFonts w:ascii="Arial" w:hAnsi="Arial"/>
                              <w:color w:val="000000"/>
                              <w:sz w:val="14"/>
                              <w:szCs w:val="14"/>
                            </w:rPr>
                            <w:t>e</w:t>
                          </w:r>
                          <w:r w:rsidRPr="008812CC">
                            <w:rPr>
                              <w:rFonts w:ascii="Arial" w:hAnsi="Arial"/>
                              <w:color w:val="000000"/>
                              <w:sz w:val="14"/>
                              <w:szCs w:val="14"/>
                            </w:rPr>
                            <w:t>m</w:t>
                          </w:r>
                          <w:r w:rsidR="00DC16BF" w:rsidRPr="008812CC">
                            <w:rPr>
                              <w:rFonts w:ascii="Arial" w:hAnsi="Arial"/>
                              <w:color w:val="000000"/>
                              <w:sz w:val="14"/>
                              <w:szCs w:val="14"/>
                            </w:rPr>
                            <w:t>en</w:t>
                          </w:r>
                          <w:r w:rsidRPr="008812CC">
                            <w:rPr>
                              <w:rFonts w:ascii="Arial" w:hAnsi="Arial"/>
                              <w:color w:val="000000"/>
                              <w:sz w:val="14"/>
                              <w:szCs w:val="14"/>
                            </w:rPr>
                            <w:t>t</w:t>
                          </w:r>
                        </w:p>
                        <w:p w14:paraId="3346598E" w14:textId="77777777" w:rsidR="000B014D" w:rsidRPr="008812CC" w:rsidRDefault="00A63BEC"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Interior Design</w:t>
                          </w:r>
                        </w:p>
                        <w:p w14:paraId="2CE66A96" w14:textId="77777777" w:rsidR="00A63BEC" w:rsidRPr="008812CC" w:rsidRDefault="00A63BEC"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Landscape Architecture</w:t>
                          </w:r>
                        </w:p>
                        <w:p w14:paraId="1E93D9B5" w14:textId="77777777" w:rsidR="00A63BEC" w:rsidRPr="008812CC" w:rsidRDefault="00A63BEC"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Urban &amp; Regional Plan</w:t>
                          </w:r>
                          <w:r w:rsidR="00DC16BF" w:rsidRPr="008812CC">
                            <w:rPr>
                              <w:rFonts w:ascii="Arial" w:hAnsi="Arial"/>
                              <w:color w:val="000000"/>
                              <w:sz w:val="14"/>
                              <w:szCs w:val="14"/>
                            </w:rPr>
                            <w:t>ning</w:t>
                          </w:r>
                        </w:p>
                        <w:p w14:paraId="2913A6BC" w14:textId="77777777" w:rsidR="000B014D" w:rsidRPr="008812CC" w:rsidRDefault="000B014D" w:rsidP="00972DF5">
                          <w:pPr>
                            <w:autoSpaceDE w:val="0"/>
                            <w:autoSpaceDN w:val="0"/>
                            <w:adjustRightInd w:val="0"/>
                            <w:spacing w:after="0"/>
                            <w:contextualSpacing/>
                            <w:jc w:val="right"/>
                            <w:textAlignment w:val="center"/>
                            <w:rPr>
                              <w:rFonts w:ascii="Arial" w:hAnsi="Arial"/>
                              <w:color w:val="000000"/>
                              <w:sz w:val="14"/>
                              <w:szCs w:val="14"/>
                            </w:rPr>
                          </w:pPr>
                        </w:p>
                        <w:p w14:paraId="71F033B0" w14:textId="77777777" w:rsidR="00972DF5" w:rsidRDefault="00A63BEC"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Human Ecology B</w:t>
                          </w:r>
                          <w:r w:rsidR="008812CC">
                            <w:rPr>
                              <w:rFonts w:ascii="Arial" w:hAnsi="Arial"/>
                              <w:color w:val="000000"/>
                              <w:sz w:val="14"/>
                              <w:szCs w:val="14"/>
                            </w:rPr>
                            <w:t>ui</w:t>
                          </w:r>
                          <w:r w:rsidRPr="008812CC">
                            <w:rPr>
                              <w:rFonts w:ascii="Arial" w:hAnsi="Arial"/>
                              <w:color w:val="000000"/>
                              <w:sz w:val="14"/>
                              <w:szCs w:val="14"/>
                            </w:rPr>
                            <w:t>ld</w:t>
                          </w:r>
                          <w:r w:rsidR="008812CC">
                            <w:rPr>
                              <w:rFonts w:ascii="Arial" w:hAnsi="Arial"/>
                              <w:color w:val="000000"/>
                              <w:sz w:val="14"/>
                              <w:szCs w:val="14"/>
                            </w:rPr>
                            <w:t>in</w:t>
                          </w:r>
                          <w:r w:rsidRPr="008812CC">
                            <w:rPr>
                              <w:rFonts w:ascii="Arial" w:hAnsi="Arial"/>
                              <w:color w:val="000000"/>
                              <w:sz w:val="14"/>
                              <w:szCs w:val="14"/>
                            </w:rPr>
                            <w:t>g</w:t>
                          </w:r>
                        </w:p>
                        <w:p w14:paraId="26FBEC63" w14:textId="77777777" w:rsidR="008812CC" w:rsidRPr="008812CC" w:rsidRDefault="008812CC" w:rsidP="00972DF5">
                          <w:pPr>
                            <w:autoSpaceDE w:val="0"/>
                            <w:autoSpaceDN w:val="0"/>
                            <w:adjustRightInd w:val="0"/>
                            <w:spacing w:after="0"/>
                            <w:contextualSpacing/>
                            <w:jc w:val="right"/>
                            <w:textAlignment w:val="center"/>
                            <w:rPr>
                              <w:rFonts w:ascii="Arial" w:hAnsi="Arial"/>
                              <w:color w:val="000000"/>
                              <w:sz w:val="14"/>
                              <w:szCs w:val="14"/>
                            </w:rPr>
                          </w:pPr>
                          <w:r>
                            <w:rPr>
                              <w:rFonts w:ascii="Arial" w:hAnsi="Arial"/>
                              <w:color w:val="000000"/>
                              <w:sz w:val="14"/>
                              <w:szCs w:val="14"/>
                            </w:rPr>
                            <w:t>552 W Circle Drive Rm 404</w:t>
                          </w:r>
                        </w:p>
                        <w:p w14:paraId="29A858C6" w14:textId="77777777" w:rsidR="00A63BEC" w:rsidRPr="008812CC" w:rsidRDefault="00A63BEC"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East Lansing, MI 48824</w:t>
                          </w:r>
                        </w:p>
                        <w:p w14:paraId="3A62705B" w14:textId="77777777" w:rsidR="00972DF5" w:rsidRPr="008812CC" w:rsidRDefault="00972DF5" w:rsidP="00972DF5">
                          <w:pPr>
                            <w:autoSpaceDE w:val="0"/>
                            <w:autoSpaceDN w:val="0"/>
                            <w:adjustRightInd w:val="0"/>
                            <w:spacing w:after="0"/>
                            <w:contextualSpacing/>
                            <w:jc w:val="right"/>
                            <w:textAlignment w:val="center"/>
                            <w:rPr>
                              <w:rFonts w:ascii="Arial" w:hAnsi="Arial"/>
                              <w:color w:val="000000"/>
                              <w:sz w:val="14"/>
                              <w:szCs w:val="14"/>
                            </w:rPr>
                          </w:pPr>
                        </w:p>
                        <w:p w14:paraId="6D7D3763" w14:textId="77777777" w:rsidR="00972DF5" w:rsidRPr="008812CC" w:rsidRDefault="00A63BEC"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517</w:t>
                          </w:r>
                          <w:r w:rsidR="00972DF5" w:rsidRPr="008812CC">
                            <w:rPr>
                              <w:rFonts w:ascii="Arial" w:hAnsi="Arial"/>
                              <w:color w:val="000000"/>
                              <w:sz w:val="14"/>
                              <w:szCs w:val="14"/>
                            </w:rPr>
                            <w:t>-</w:t>
                          </w:r>
                          <w:r w:rsidR="00C0532C" w:rsidRPr="008812CC">
                            <w:rPr>
                              <w:rFonts w:ascii="Arial" w:hAnsi="Arial"/>
                              <w:color w:val="000000"/>
                              <w:sz w:val="14"/>
                              <w:szCs w:val="14"/>
                            </w:rPr>
                            <w:t>353</w:t>
                          </w:r>
                          <w:r w:rsidR="00972DF5" w:rsidRPr="008812CC">
                            <w:rPr>
                              <w:rFonts w:ascii="Arial" w:hAnsi="Arial"/>
                              <w:color w:val="000000"/>
                              <w:sz w:val="14"/>
                              <w:szCs w:val="14"/>
                            </w:rPr>
                            <w:t>-</w:t>
                          </w:r>
                          <w:r w:rsidR="00C0532C" w:rsidRPr="008812CC">
                            <w:rPr>
                              <w:rFonts w:ascii="Arial" w:hAnsi="Arial"/>
                              <w:color w:val="000000"/>
                              <w:sz w:val="14"/>
                              <w:szCs w:val="14"/>
                            </w:rPr>
                            <w:t>9362</w:t>
                          </w:r>
                        </w:p>
                        <w:p w14:paraId="77C2B31E" w14:textId="77777777" w:rsidR="00972DF5" w:rsidRPr="008812CC" w:rsidRDefault="00972DF5"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 xml:space="preserve">Fax: </w:t>
                          </w:r>
                          <w:r w:rsidR="00A63BEC" w:rsidRPr="008812CC">
                            <w:rPr>
                              <w:rFonts w:ascii="Arial" w:hAnsi="Arial"/>
                              <w:color w:val="000000"/>
                              <w:sz w:val="14"/>
                              <w:szCs w:val="14"/>
                            </w:rPr>
                            <w:t>517</w:t>
                          </w:r>
                          <w:r w:rsidRPr="008812CC">
                            <w:rPr>
                              <w:rFonts w:ascii="Arial" w:hAnsi="Arial"/>
                              <w:color w:val="000000"/>
                              <w:sz w:val="14"/>
                              <w:szCs w:val="14"/>
                            </w:rPr>
                            <w:t>-</w:t>
                          </w:r>
                          <w:r w:rsidR="00A63BEC" w:rsidRPr="008812CC">
                            <w:rPr>
                              <w:rFonts w:ascii="Arial" w:hAnsi="Arial"/>
                              <w:color w:val="000000"/>
                              <w:sz w:val="14"/>
                              <w:szCs w:val="14"/>
                            </w:rPr>
                            <w:t>432</w:t>
                          </w:r>
                          <w:r w:rsidRPr="008812CC">
                            <w:rPr>
                              <w:rFonts w:ascii="Arial" w:hAnsi="Arial"/>
                              <w:color w:val="000000"/>
                              <w:sz w:val="14"/>
                              <w:szCs w:val="14"/>
                            </w:rPr>
                            <w:t>-</w:t>
                          </w:r>
                          <w:r w:rsidR="00A63BEC" w:rsidRPr="008812CC">
                            <w:rPr>
                              <w:rFonts w:ascii="Arial" w:hAnsi="Arial"/>
                              <w:color w:val="000000"/>
                              <w:sz w:val="14"/>
                              <w:szCs w:val="14"/>
                            </w:rPr>
                            <w:t>8108</w:t>
                          </w:r>
                        </w:p>
                        <w:p w14:paraId="035E844E" w14:textId="77777777" w:rsidR="00A63BEC" w:rsidRPr="008812CC" w:rsidRDefault="00C0532C" w:rsidP="00972DF5">
                          <w:pPr>
                            <w:autoSpaceDE w:val="0"/>
                            <w:autoSpaceDN w:val="0"/>
                            <w:adjustRightInd w:val="0"/>
                            <w:spacing w:after="0"/>
                            <w:jc w:val="right"/>
                            <w:textAlignment w:val="center"/>
                            <w:rPr>
                              <w:rFonts w:ascii="Arial" w:hAnsi="Arial"/>
                              <w:color w:val="000000"/>
                              <w:sz w:val="14"/>
                              <w:szCs w:val="14"/>
                            </w:rPr>
                          </w:pPr>
                          <w:r w:rsidRPr="008812CC">
                            <w:rPr>
                              <w:rFonts w:ascii="Arial" w:hAnsi="Arial"/>
                              <w:color w:val="000000"/>
                              <w:sz w:val="14"/>
                              <w:szCs w:val="14"/>
                            </w:rPr>
                            <w:t>Email: kotval</w:t>
                          </w:r>
                          <w:r w:rsidR="00A63BEC" w:rsidRPr="008812CC">
                            <w:rPr>
                              <w:rFonts w:ascii="Arial" w:hAnsi="Arial"/>
                              <w:color w:val="000000"/>
                              <w:sz w:val="14"/>
                              <w:szCs w:val="14"/>
                            </w:rPr>
                            <w:t>@msu.edu</w:t>
                          </w:r>
                        </w:p>
                        <w:p w14:paraId="5C06684B" w14:textId="77777777" w:rsidR="00972DF5" w:rsidRPr="008812CC" w:rsidRDefault="00A63BEC" w:rsidP="00972DF5">
                          <w:pPr>
                            <w:autoSpaceDE w:val="0"/>
                            <w:autoSpaceDN w:val="0"/>
                            <w:adjustRightInd w:val="0"/>
                            <w:spacing w:after="0"/>
                            <w:jc w:val="right"/>
                            <w:textAlignment w:val="center"/>
                            <w:rPr>
                              <w:rFonts w:ascii="Arial" w:hAnsi="Arial"/>
                              <w:color w:val="000000"/>
                              <w:sz w:val="14"/>
                              <w:szCs w:val="14"/>
                            </w:rPr>
                          </w:pPr>
                          <w:r w:rsidRPr="008812CC">
                            <w:rPr>
                              <w:rFonts w:ascii="Arial" w:hAnsi="Arial"/>
                              <w:color w:val="000000"/>
                              <w:sz w:val="14"/>
                              <w:szCs w:val="14"/>
                            </w:rPr>
                            <w:t>spdc.msu.edu</w:t>
                          </w:r>
                        </w:p>
                        <w:p w14:paraId="7CDBFBC7" w14:textId="77777777" w:rsidR="00A63BEC" w:rsidRDefault="00A63BEC" w:rsidP="00A63BEC">
                          <w:pPr>
                            <w:autoSpaceDE w:val="0"/>
                            <w:autoSpaceDN w:val="0"/>
                            <w:adjustRightInd w:val="0"/>
                            <w:spacing w:after="0"/>
                            <w:jc w:val="center"/>
                            <w:textAlignment w:val="center"/>
                            <w:rPr>
                              <w:rFonts w:ascii="Arial" w:hAnsi="Arial"/>
                            </w:rPr>
                          </w:pPr>
                        </w:p>
                        <w:p w14:paraId="1E570F22" w14:textId="77777777" w:rsidR="003B0A2A" w:rsidRDefault="003B0A2A" w:rsidP="00A11C9D">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81853" id="_x0000_t202" coordsize="21600,21600" o:spt="202" path="m,l,21600r21600,l21600,xe">
              <v:stroke joinstyle="miter"/>
              <v:path gradientshapeok="t" o:connecttype="rect"/>
            </v:shapetype>
            <v:shape id="Text Box 1" o:spid="_x0000_s1026" type="#_x0000_t202" style="position:absolute;margin-left:17.3pt;margin-top:462.25pt;width:90pt;height:23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" o:allowoverlap="f" filled="f" stroked="f">
              <v:path arrowok="t"/>
              <v:textbox inset="0,0,0,0">
                <w:txbxContent>
                  <w:p w14:paraId="22E20BB3" w14:textId="77777777" w:rsidR="00A075EC" w:rsidRDefault="00A075EC" w:rsidP="00A075EC">
                    <w:pPr>
                      <w:autoSpaceDE w:val="0"/>
                      <w:autoSpaceDN w:val="0"/>
                      <w:adjustRightInd w:val="0"/>
                      <w:spacing w:after="0"/>
                      <w:contextualSpacing/>
                      <w:jc w:val="right"/>
                      <w:textAlignment w:val="center"/>
                      <w:rPr>
                        <w:rFonts w:ascii="Arial" w:hAnsi="Arial"/>
                        <w:b/>
                        <w:bCs/>
                        <w:color w:val="000000"/>
                        <w:w w:val="92"/>
                      </w:rPr>
                    </w:pPr>
                    <w:r>
                      <w:rPr>
                        <w:rFonts w:ascii="Arial" w:hAnsi="Arial"/>
                        <w:b/>
                        <w:bCs/>
                        <w:color w:val="000000"/>
                        <w:w w:val="92"/>
                      </w:rPr>
                      <w:t>School of Planning, Design</w:t>
                    </w:r>
                  </w:p>
                  <w:p w14:paraId="54E7A6EC" w14:textId="77777777" w:rsidR="00A075EC" w:rsidRDefault="00A075EC" w:rsidP="00A075EC">
                    <w:pPr>
                      <w:autoSpaceDE w:val="0"/>
                      <w:autoSpaceDN w:val="0"/>
                      <w:adjustRightInd w:val="0"/>
                      <w:spacing w:after="0"/>
                      <w:contextualSpacing/>
                      <w:jc w:val="right"/>
                      <w:textAlignment w:val="center"/>
                      <w:rPr>
                        <w:rFonts w:ascii="Arial" w:hAnsi="Arial"/>
                        <w:b/>
                        <w:bCs/>
                        <w:color w:val="000000"/>
                        <w:w w:val="92"/>
                      </w:rPr>
                    </w:pPr>
                    <w:r>
                      <w:rPr>
                        <w:rFonts w:ascii="Arial" w:hAnsi="Arial"/>
                        <w:b/>
                        <w:bCs/>
                        <w:color w:val="000000"/>
                        <w:w w:val="92"/>
                      </w:rPr>
                      <w:t>&amp; Construction</w:t>
                    </w:r>
                  </w:p>
                  <w:p w14:paraId="55FB7DDB" w14:textId="77777777" w:rsidR="00972DF5" w:rsidRDefault="00972DF5" w:rsidP="00972DF5">
                    <w:pPr>
                      <w:autoSpaceDE w:val="0"/>
                      <w:autoSpaceDN w:val="0"/>
                      <w:adjustRightInd w:val="0"/>
                      <w:spacing w:after="0"/>
                      <w:contextualSpacing/>
                      <w:jc w:val="right"/>
                      <w:textAlignment w:val="center"/>
                      <w:rPr>
                        <w:rFonts w:ascii="Arial" w:hAnsi="Arial"/>
                        <w:color w:val="000000"/>
                        <w:spacing w:val="1"/>
                        <w:sz w:val="24"/>
                        <w:szCs w:val="24"/>
                      </w:rPr>
                    </w:pPr>
                  </w:p>
                  <w:p w14:paraId="2C181765" w14:textId="77777777" w:rsidR="000B014D" w:rsidRPr="008812CC" w:rsidRDefault="000B014D"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Construction M</w:t>
                    </w:r>
                    <w:r w:rsidR="00DC16BF" w:rsidRPr="008812CC">
                      <w:rPr>
                        <w:rFonts w:ascii="Arial" w:hAnsi="Arial"/>
                        <w:color w:val="000000"/>
                        <w:sz w:val="14"/>
                        <w:szCs w:val="14"/>
                      </w:rPr>
                      <w:t>ana</w:t>
                    </w:r>
                    <w:r w:rsidRPr="008812CC">
                      <w:rPr>
                        <w:rFonts w:ascii="Arial" w:hAnsi="Arial"/>
                        <w:color w:val="000000"/>
                        <w:sz w:val="14"/>
                        <w:szCs w:val="14"/>
                      </w:rPr>
                      <w:t>g</w:t>
                    </w:r>
                    <w:r w:rsidR="00DC16BF" w:rsidRPr="008812CC">
                      <w:rPr>
                        <w:rFonts w:ascii="Arial" w:hAnsi="Arial"/>
                        <w:color w:val="000000"/>
                        <w:sz w:val="14"/>
                        <w:szCs w:val="14"/>
                      </w:rPr>
                      <w:t>e</w:t>
                    </w:r>
                    <w:r w:rsidRPr="008812CC">
                      <w:rPr>
                        <w:rFonts w:ascii="Arial" w:hAnsi="Arial"/>
                        <w:color w:val="000000"/>
                        <w:sz w:val="14"/>
                        <w:szCs w:val="14"/>
                      </w:rPr>
                      <w:t>m</w:t>
                    </w:r>
                    <w:r w:rsidR="00DC16BF" w:rsidRPr="008812CC">
                      <w:rPr>
                        <w:rFonts w:ascii="Arial" w:hAnsi="Arial"/>
                        <w:color w:val="000000"/>
                        <w:sz w:val="14"/>
                        <w:szCs w:val="14"/>
                      </w:rPr>
                      <w:t>en</w:t>
                    </w:r>
                    <w:r w:rsidRPr="008812CC">
                      <w:rPr>
                        <w:rFonts w:ascii="Arial" w:hAnsi="Arial"/>
                        <w:color w:val="000000"/>
                        <w:sz w:val="14"/>
                        <w:szCs w:val="14"/>
                      </w:rPr>
                      <w:t>t</w:t>
                    </w:r>
                  </w:p>
                  <w:p w14:paraId="3346598E" w14:textId="77777777" w:rsidR="000B014D" w:rsidRPr="008812CC" w:rsidRDefault="00A63BEC"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Interior Design</w:t>
                    </w:r>
                  </w:p>
                  <w:p w14:paraId="2CE66A96" w14:textId="77777777" w:rsidR="00A63BEC" w:rsidRPr="008812CC" w:rsidRDefault="00A63BEC"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Landscape Architecture</w:t>
                    </w:r>
                  </w:p>
                  <w:p w14:paraId="1E93D9B5" w14:textId="77777777" w:rsidR="00A63BEC" w:rsidRPr="008812CC" w:rsidRDefault="00A63BEC"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Urban &amp; Regional Plan</w:t>
                    </w:r>
                    <w:r w:rsidR="00DC16BF" w:rsidRPr="008812CC">
                      <w:rPr>
                        <w:rFonts w:ascii="Arial" w:hAnsi="Arial"/>
                        <w:color w:val="000000"/>
                        <w:sz w:val="14"/>
                        <w:szCs w:val="14"/>
                      </w:rPr>
                      <w:t>ning</w:t>
                    </w:r>
                  </w:p>
                  <w:p w14:paraId="2913A6BC" w14:textId="77777777" w:rsidR="000B014D" w:rsidRPr="008812CC" w:rsidRDefault="000B014D" w:rsidP="00972DF5">
                    <w:pPr>
                      <w:autoSpaceDE w:val="0"/>
                      <w:autoSpaceDN w:val="0"/>
                      <w:adjustRightInd w:val="0"/>
                      <w:spacing w:after="0"/>
                      <w:contextualSpacing/>
                      <w:jc w:val="right"/>
                      <w:textAlignment w:val="center"/>
                      <w:rPr>
                        <w:rFonts w:ascii="Arial" w:hAnsi="Arial"/>
                        <w:color w:val="000000"/>
                        <w:sz w:val="14"/>
                        <w:szCs w:val="14"/>
                      </w:rPr>
                    </w:pPr>
                  </w:p>
                  <w:p w14:paraId="71F033B0" w14:textId="77777777" w:rsidR="00972DF5" w:rsidRDefault="00A63BEC"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Human Ecology B</w:t>
                    </w:r>
                    <w:r w:rsidR="008812CC">
                      <w:rPr>
                        <w:rFonts w:ascii="Arial" w:hAnsi="Arial"/>
                        <w:color w:val="000000"/>
                        <w:sz w:val="14"/>
                        <w:szCs w:val="14"/>
                      </w:rPr>
                      <w:t>ui</w:t>
                    </w:r>
                    <w:r w:rsidRPr="008812CC">
                      <w:rPr>
                        <w:rFonts w:ascii="Arial" w:hAnsi="Arial"/>
                        <w:color w:val="000000"/>
                        <w:sz w:val="14"/>
                        <w:szCs w:val="14"/>
                      </w:rPr>
                      <w:t>ld</w:t>
                    </w:r>
                    <w:r w:rsidR="008812CC">
                      <w:rPr>
                        <w:rFonts w:ascii="Arial" w:hAnsi="Arial"/>
                        <w:color w:val="000000"/>
                        <w:sz w:val="14"/>
                        <w:szCs w:val="14"/>
                      </w:rPr>
                      <w:t>in</w:t>
                    </w:r>
                    <w:r w:rsidRPr="008812CC">
                      <w:rPr>
                        <w:rFonts w:ascii="Arial" w:hAnsi="Arial"/>
                        <w:color w:val="000000"/>
                        <w:sz w:val="14"/>
                        <w:szCs w:val="14"/>
                      </w:rPr>
                      <w:t>g</w:t>
                    </w:r>
                  </w:p>
                  <w:p w14:paraId="26FBEC63" w14:textId="77777777" w:rsidR="008812CC" w:rsidRPr="008812CC" w:rsidRDefault="008812CC" w:rsidP="00972DF5">
                    <w:pPr>
                      <w:autoSpaceDE w:val="0"/>
                      <w:autoSpaceDN w:val="0"/>
                      <w:adjustRightInd w:val="0"/>
                      <w:spacing w:after="0"/>
                      <w:contextualSpacing/>
                      <w:jc w:val="right"/>
                      <w:textAlignment w:val="center"/>
                      <w:rPr>
                        <w:rFonts w:ascii="Arial" w:hAnsi="Arial"/>
                        <w:color w:val="000000"/>
                        <w:sz w:val="14"/>
                        <w:szCs w:val="14"/>
                      </w:rPr>
                    </w:pPr>
                    <w:r>
                      <w:rPr>
                        <w:rFonts w:ascii="Arial" w:hAnsi="Arial"/>
                        <w:color w:val="000000"/>
                        <w:sz w:val="14"/>
                        <w:szCs w:val="14"/>
                      </w:rPr>
                      <w:t>552 W Circle Drive Rm 404</w:t>
                    </w:r>
                  </w:p>
                  <w:p w14:paraId="29A858C6" w14:textId="77777777" w:rsidR="00A63BEC" w:rsidRPr="008812CC" w:rsidRDefault="00A63BEC"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East Lansing, MI 48824</w:t>
                    </w:r>
                  </w:p>
                  <w:p w14:paraId="3A62705B" w14:textId="77777777" w:rsidR="00972DF5" w:rsidRPr="008812CC" w:rsidRDefault="00972DF5" w:rsidP="00972DF5">
                    <w:pPr>
                      <w:autoSpaceDE w:val="0"/>
                      <w:autoSpaceDN w:val="0"/>
                      <w:adjustRightInd w:val="0"/>
                      <w:spacing w:after="0"/>
                      <w:contextualSpacing/>
                      <w:jc w:val="right"/>
                      <w:textAlignment w:val="center"/>
                      <w:rPr>
                        <w:rFonts w:ascii="Arial" w:hAnsi="Arial"/>
                        <w:color w:val="000000"/>
                        <w:sz w:val="14"/>
                        <w:szCs w:val="14"/>
                      </w:rPr>
                    </w:pPr>
                  </w:p>
                  <w:p w14:paraId="6D7D3763" w14:textId="77777777" w:rsidR="00972DF5" w:rsidRPr="008812CC" w:rsidRDefault="00A63BEC"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517</w:t>
                    </w:r>
                    <w:r w:rsidR="00972DF5" w:rsidRPr="008812CC">
                      <w:rPr>
                        <w:rFonts w:ascii="Arial" w:hAnsi="Arial"/>
                        <w:color w:val="000000"/>
                        <w:sz w:val="14"/>
                        <w:szCs w:val="14"/>
                      </w:rPr>
                      <w:t>-</w:t>
                    </w:r>
                    <w:r w:rsidR="00C0532C" w:rsidRPr="008812CC">
                      <w:rPr>
                        <w:rFonts w:ascii="Arial" w:hAnsi="Arial"/>
                        <w:color w:val="000000"/>
                        <w:sz w:val="14"/>
                        <w:szCs w:val="14"/>
                      </w:rPr>
                      <w:t>353</w:t>
                    </w:r>
                    <w:r w:rsidR="00972DF5" w:rsidRPr="008812CC">
                      <w:rPr>
                        <w:rFonts w:ascii="Arial" w:hAnsi="Arial"/>
                        <w:color w:val="000000"/>
                        <w:sz w:val="14"/>
                        <w:szCs w:val="14"/>
                      </w:rPr>
                      <w:t>-</w:t>
                    </w:r>
                    <w:r w:rsidR="00C0532C" w:rsidRPr="008812CC">
                      <w:rPr>
                        <w:rFonts w:ascii="Arial" w:hAnsi="Arial"/>
                        <w:color w:val="000000"/>
                        <w:sz w:val="14"/>
                        <w:szCs w:val="14"/>
                      </w:rPr>
                      <w:t>9362</w:t>
                    </w:r>
                  </w:p>
                  <w:p w14:paraId="77C2B31E" w14:textId="77777777" w:rsidR="00972DF5" w:rsidRPr="008812CC" w:rsidRDefault="00972DF5" w:rsidP="00972DF5">
                    <w:pPr>
                      <w:autoSpaceDE w:val="0"/>
                      <w:autoSpaceDN w:val="0"/>
                      <w:adjustRightInd w:val="0"/>
                      <w:spacing w:after="0"/>
                      <w:contextualSpacing/>
                      <w:jc w:val="right"/>
                      <w:textAlignment w:val="center"/>
                      <w:rPr>
                        <w:rFonts w:ascii="Arial" w:hAnsi="Arial"/>
                        <w:color w:val="000000"/>
                        <w:sz w:val="14"/>
                        <w:szCs w:val="14"/>
                      </w:rPr>
                    </w:pPr>
                    <w:r w:rsidRPr="008812CC">
                      <w:rPr>
                        <w:rFonts w:ascii="Arial" w:hAnsi="Arial"/>
                        <w:color w:val="000000"/>
                        <w:sz w:val="14"/>
                        <w:szCs w:val="14"/>
                      </w:rPr>
                      <w:t xml:space="preserve">Fax: </w:t>
                    </w:r>
                    <w:r w:rsidR="00A63BEC" w:rsidRPr="008812CC">
                      <w:rPr>
                        <w:rFonts w:ascii="Arial" w:hAnsi="Arial"/>
                        <w:color w:val="000000"/>
                        <w:sz w:val="14"/>
                        <w:szCs w:val="14"/>
                      </w:rPr>
                      <w:t>517</w:t>
                    </w:r>
                    <w:r w:rsidRPr="008812CC">
                      <w:rPr>
                        <w:rFonts w:ascii="Arial" w:hAnsi="Arial"/>
                        <w:color w:val="000000"/>
                        <w:sz w:val="14"/>
                        <w:szCs w:val="14"/>
                      </w:rPr>
                      <w:t>-</w:t>
                    </w:r>
                    <w:r w:rsidR="00A63BEC" w:rsidRPr="008812CC">
                      <w:rPr>
                        <w:rFonts w:ascii="Arial" w:hAnsi="Arial"/>
                        <w:color w:val="000000"/>
                        <w:sz w:val="14"/>
                        <w:szCs w:val="14"/>
                      </w:rPr>
                      <w:t>432</w:t>
                    </w:r>
                    <w:r w:rsidRPr="008812CC">
                      <w:rPr>
                        <w:rFonts w:ascii="Arial" w:hAnsi="Arial"/>
                        <w:color w:val="000000"/>
                        <w:sz w:val="14"/>
                        <w:szCs w:val="14"/>
                      </w:rPr>
                      <w:t>-</w:t>
                    </w:r>
                    <w:r w:rsidR="00A63BEC" w:rsidRPr="008812CC">
                      <w:rPr>
                        <w:rFonts w:ascii="Arial" w:hAnsi="Arial"/>
                        <w:color w:val="000000"/>
                        <w:sz w:val="14"/>
                        <w:szCs w:val="14"/>
                      </w:rPr>
                      <w:t>8108</w:t>
                    </w:r>
                  </w:p>
                  <w:p w14:paraId="035E844E" w14:textId="77777777" w:rsidR="00A63BEC" w:rsidRPr="008812CC" w:rsidRDefault="00C0532C" w:rsidP="00972DF5">
                    <w:pPr>
                      <w:autoSpaceDE w:val="0"/>
                      <w:autoSpaceDN w:val="0"/>
                      <w:adjustRightInd w:val="0"/>
                      <w:spacing w:after="0"/>
                      <w:jc w:val="right"/>
                      <w:textAlignment w:val="center"/>
                      <w:rPr>
                        <w:rFonts w:ascii="Arial" w:hAnsi="Arial"/>
                        <w:color w:val="000000"/>
                        <w:sz w:val="14"/>
                        <w:szCs w:val="14"/>
                      </w:rPr>
                    </w:pPr>
                    <w:r w:rsidRPr="008812CC">
                      <w:rPr>
                        <w:rFonts w:ascii="Arial" w:hAnsi="Arial"/>
                        <w:color w:val="000000"/>
                        <w:sz w:val="14"/>
                        <w:szCs w:val="14"/>
                      </w:rPr>
                      <w:t>Email: kotval</w:t>
                    </w:r>
                    <w:r w:rsidR="00A63BEC" w:rsidRPr="008812CC">
                      <w:rPr>
                        <w:rFonts w:ascii="Arial" w:hAnsi="Arial"/>
                        <w:color w:val="000000"/>
                        <w:sz w:val="14"/>
                        <w:szCs w:val="14"/>
                      </w:rPr>
                      <w:t>@msu.edu</w:t>
                    </w:r>
                  </w:p>
                  <w:p w14:paraId="5C06684B" w14:textId="77777777" w:rsidR="00972DF5" w:rsidRPr="008812CC" w:rsidRDefault="00A63BEC" w:rsidP="00972DF5">
                    <w:pPr>
                      <w:autoSpaceDE w:val="0"/>
                      <w:autoSpaceDN w:val="0"/>
                      <w:adjustRightInd w:val="0"/>
                      <w:spacing w:after="0"/>
                      <w:jc w:val="right"/>
                      <w:textAlignment w:val="center"/>
                      <w:rPr>
                        <w:rFonts w:ascii="Arial" w:hAnsi="Arial"/>
                        <w:color w:val="000000"/>
                        <w:sz w:val="14"/>
                        <w:szCs w:val="14"/>
                      </w:rPr>
                    </w:pPr>
                    <w:r w:rsidRPr="008812CC">
                      <w:rPr>
                        <w:rFonts w:ascii="Arial" w:hAnsi="Arial"/>
                        <w:color w:val="000000"/>
                        <w:sz w:val="14"/>
                        <w:szCs w:val="14"/>
                      </w:rPr>
                      <w:t>spdc.msu.edu</w:t>
                    </w:r>
                  </w:p>
                  <w:p w14:paraId="7CDBFBC7" w14:textId="77777777" w:rsidR="00A63BEC" w:rsidRDefault="00A63BEC" w:rsidP="00A63BEC">
                    <w:pPr>
                      <w:autoSpaceDE w:val="0"/>
                      <w:autoSpaceDN w:val="0"/>
                      <w:adjustRightInd w:val="0"/>
                      <w:spacing w:after="0"/>
                      <w:jc w:val="center"/>
                      <w:textAlignment w:val="center"/>
                      <w:rPr>
                        <w:rFonts w:ascii="Arial" w:hAnsi="Arial"/>
                      </w:rPr>
                    </w:pPr>
                  </w:p>
                  <w:p w14:paraId="1E570F22" w14:textId="77777777" w:rsidR="003B0A2A" w:rsidRDefault="003B0A2A" w:rsidP="00A11C9D">
                    <w:pPr>
                      <w:jc w:val="right"/>
                    </w:pPr>
                  </w:p>
                </w:txbxContent>
              </v:textbox>
              <w10:wrap type="tight" anchorx="page" anchory="page"/>
            </v:shape>
          </w:pict>
        </mc:Fallback>
      </mc:AlternateContent>
    </w:r>
    <w:r>
      <w:rPr>
        <w:noProof/>
      </w:rPr>
      <w:drawing>
        <wp:anchor distT="0" distB="0" distL="114300" distR="114300" simplePos="0" relativeHeight="251658240" behindDoc="1" locked="0" layoutInCell="1" allowOverlap="0" wp14:anchorId="6CFFFFC6" wp14:editId="34045308">
          <wp:simplePos x="0" y="0"/>
          <wp:positionH relativeFrom="page">
            <wp:posOffset>685800</wp:posOffset>
          </wp:positionH>
          <wp:positionV relativeFrom="page">
            <wp:posOffset>4956175</wp:posOffset>
          </wp:positionV>
          <wp:extent cx="685800" cy="685800"/>
          <wp:effectExtent l="19050" t="0" r="0" b="0"/>
          <wp:wrapTight wrapText="bothSides">
            <wp:wrapPolygon edited="0">
              <wp:start x="-600" y="0"/>
              <wp:lineTo x="-600" y="21000"/>
              <wp:lineTo x="21600" y="21000"/>
              <wp:lineTo x="21600" y="0"/>
              <wp:lineTo x="-600" y="0"/>
            </wp:wrapPolygon>
          </wp:wrapTight>
          <wp:docPr id="3" name="Picture 6" descr="MSU Seal 1 inc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U Seal 1 inch Black"/>
                  <pic:cNvPicPr>
                    <a:picLocks noChangeAspect="1" noChangeArrowheads="1"/>
                  </pic:cNvPicPr>
                </pic:nvPicPr>
                <pic:blipFill>
                  <a:blip r:embed="rId2"/>
                  <a:srcRect/>
                  <a:stretch>
                    <a:fillRect/>
                  </a:stretch>
                </pic:blipFill>
                <pic:spPr bwMode="auto">
                  <a:xfrm>
                    <a:off x="0" y="0"/>
                    <a:ext cx="685800" cy="6858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A7F6B33"/>
    <w:multiLevelType w:val="hybridMultilevel"/>
    <w:tmpl w:val="B22A7F28"/>
    <w:lvl w:ilvl="0" w:tplc="77F80748">
      <w:start w:val="1"/>
      <w:numFmt w:val="decimal"/>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F2AFE"/>
    <w:multiLevelType w:val="hybridMultilevel"/>
    <w:tmpl w:val="F716A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E322E"/>
    <w:multiLevelType w:val="hybridMultilevel"/>
    <w:tmpl w:val="200E2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F0020"/>
    <w:multiLevelType w:val="hybridMultilevel"/>
    <w:tmpl w:val="009A7650"/>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6" w15:restartNumberingAfterBreak="0">
    <w:nsid w:val="67E92D38"/>
    <w:multiLevelType w:val="hybridMultilevel"/>
    <w:tmpl w:val="179C3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57641657">
    <w:abstractNumId w:val="0"/>
  </w:num>
  <w:num w:numId="2" w16cid:durableId="328679291">
    <w:abstractNumId w:val="1"/>
  </w:num>
  <w:num w:numId="3" w16cid:durableId="1115948410">
    <w:abstractNumId w:val="7"/>
  </w:num>
  <w:num w:numId="4" w16cid:durableId="1514999971">
    <w:abstractNumId w:val="4"/>
  </w:num>
  <w:num w:numId="5" w16cid:durableId="1957247234">
    <w:abstractNumId w:val="5"/>
  </w:num>
  <w:num w:numId="6" w16cid:durableId="1202204962">
    <w:abstractNumId w:val="6"/>
  </w:num>
  <w:num w:numId="7" w16cid:durableId="656879114">
    <w:abstractNumId w:val="2"/>
  </w:num>
  <w:num w:numId="8" w16cid:durableId="18539546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C7"/>
    <w:rsid w:val="00004DB8"/>
    <w:rsid w:val="000317A9"/>
    <w:rsid w:val="00041289"/>
    <w:rsid w:val="00041648"/>
    <w:rsid w:val="0005238B"/>
    <w:rsid w:val="00060634"/>
    <w:rsid w:val="0009041F"/>
    <w:rsid w:val="000B014D"/>
    <w:rsid w:val="000F137D"/>
    <w:rsid w:val="00264AA3"/>
    <w:rsid w:val="002D28B0"/>
    <w:rsid w:val="002E61B9"/>
    <w:rsid w:val="002E66E4"/>
    <w:rsid w:val="003A0A97"/>
    <w:rsid w:val="003B0A2A"/>
    <w:rsid w:val="003E6F8C"/>
    <w:rsid w:val="0045201A"/>
    <w:rsid w:val="00464CD8"/>
    <w:rsid w:val="004B074A"/>
    <w:rsid w:val="005A0A19"/>
    <w:rsid w:val="005B7554"/>
    <w:rsid w:val="00627202"/>
    <w:rsid w:val="00661358"/>
    <w:rsid w:val="00675290"/>
    <w:rsid w:val="006A40A5"/>
    <w:rsid w:val="006C56AA"/>
    <w:rsid w:val="006E0A6E"/>
    <w:rsid w:val="007302A2"/>
    <w:rsid w:val="00790CEB"/>
    <w:rsid w:val="007E4F7F"/>
    <w:rsid w:val="008132B4"/>
    <w:rsid w:val="0082785D"/>
    <w:rsid w:val="00832668"/>
    <w:rsid w:val="00836257"/>
    <w:rsid w:val="00872991"/>
    <w:rsid w:val="008812CC"/>
    <w:rsid w:val="008B57B4"/>
    <w:rsid w:val="008D5E1B"/>
    <w:rsid w:val="00902F74"/>
    <w:rsid w:val="0095595E"/>
    <w:rsid w:val="0097132D"/>
    <w:rsid w:val="00972DF5"/>
    <w:rsid w:val="009D49A8"/>
    <w:rsid w:val="009E2ADA"/>
    <w:rsid w:val="009F316F"/>
    <w:rsid w:val="00A00070"/>
    <w:rsid w:val="00A075EC"/>
    <w:rsid w:val="00A11C9D"/>
    <w:rsid w:val="00A63BEC"/>
    <w:rsid w:val="00AB30A7"/>
    <w:rsid w:val="00AC60BC"/>
    <w:rsid w:val="00B14AC1"/>
    <w:rsid w:val="00B24938"/>
    <w:rsid w:val="00B3309C"/>
    <w:rsid w:val="00B37E58"/>
    <w:rsid w:val="00B42526"/>
    <w:rsid w:val="00B43D23"/>
    <w:rsid w:val="00B90A6E"/>
    <w:rsid w:val="00BD40AF"/>
    <w:rsid w:val="00BE0E27"/>
    <w:rsid w:val="00BE42E6"/>
    <w:rsid w:val="00C0532C"/>
    <w:rsid w:val="00C6292C"/>
    <w:rsid w:val="00CB1C6A"/>
    <w:rsid w:val="00CC7947"/>
    <w:rsid w:val="00CD24C7"/>
    <w:rsid w:val="00D228F5"/>
    <w:rsid w:val="00D320B2"/>
    <w:rsid w:val="00DC16BF"/>
    <w:rsid w:val="00DE5BE8"/>
    <w:rsid w:val="00E1284C"/>
    <w:rsid w:val="00E3753A"/>
    <w:rsid w:val="00EA51B2"/>
    <w:rsid w:val="00F0031D"/>
    <w:rsid w:val="00F1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C0DBD"/>
  <w15:docId w15:val="{10AF97BC-53E5-C24A-88BD-AD889862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styleId="NoSpacing">
    <w:name w:val="No Spacing"/>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991"/>
    <w:rPr>
      <w:rFonts w:ascii="Tahoma" w:hAnsi="Tahoma" w:cs="Tahoma"/>
      <w:sz w:val="16"/>
      <w:szCs w:val="16"/>
    </w:rPr>
  </w:style>
  <w:style w:type="paragraph" w:customStyle="1" w:styleId="Default">
    <w:name w:val="Default"/>
    <w:rsid w:val="007E4F7F"/>
    <w:pPr>
      <w:autoSpaceDE w:val="0"/>
      <w:autoSpaceDN w:val="0"/>
      <w:adjustRightInd w:val="0"/>
    </w:pPr>
    <w:rPr>
      <w:rFonts w:ascii="Times New Roman" w:eastAsiaTheme="minorHAnsi" w:hAnsi="Times New Roman" w:cs="Times New Roman"/>
      <w:color w:val="000000"/>
      <w:sz w:val="24"/>
      <w:szCs w:val="24"/>
    </w:rPr>
  </w:style>
  <w:style w:type="character" w:styleId="Hyperlink">
    <w:name w:val="Hyperlink"/>
    <w:basedOn w:val="DefaultParagraphFont"/>
    <w:uiPriority w:val="99"/>
    <w:unhideWhenUsed/>
    <w:rsid w:val="007E4F7F"/>
    <w:rPr>
      <w:color w:val="0000FF" w:themeColor="hyperlink"/>
      <w:u w:val="single"/>
    </w:rPr>
  </w:style>
  <w:style w:type="paragraph" w:styleId="ListParagraph">
    <w:name w:val="List Paragraph"/>
    <w:basedOn w:val="Normal"/>
    <w:uiPriority w:val="34"/>
    <w:qFormat/>
    <w:rsid w:val="007E4F7F"/>
    <w:pPr>
      <w:ind w:left="720"/>
      <w:contextualSpacing/>
    </w:pPr>
  </w:style>
  <w:style w:type="character" w:customStyle="1" w:styleId="apple-converted-space">
    <w:name w:val="apple-converted-space"/>
    <w:basedOn w:val="DefaultParagraphFont"/>
    <w:rsid w:val="007E4F7F"/>
  </w:style>
  <w:style w:type="character" w:styleId="PageNumber">
    <w:name w:val="page number"/>
    <w:basedOn w:val="DefaultParagraphFont"/>
    <w:uiPriority w:val="99"/>
    <w:semiHidden/>
    <w:unhideWhenUsed/>
    <w:rsid w:val="00B3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1220165811">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lanningaccreditationboard.org/accreditation-standards-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Issawi</dc:creator>
  <cp:lastModifiedBy>Kotval, Zenia</cp:lastModifiedBy>
  <cp:revision>2</cp:revision>
  <cp:lastPrinted>2010-10-05T14:52:00Z</cp:lastPrinted>
  <dcterms:created xsi:type="dcterms:W3CDTF">2022-09-02T17:07:00Z</dcterms:created>
  <dcterms:modified xsi:type="dcterms:W3CDTF">2022-09-02T17:07:00Z</dcterms:modified>
</cp:coreProperties>
</file>